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9, 2025, Microbot Medical Inc. (the “Company”) issued a press release announcing that it presented for the first time the data from its ACCESS-PVI pivotal trial at the Society of Interventional Radiology (SIR) annual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data presented by the Company from its ACCESS-PVI pivotal trial at the Society of Interventional Radiology (SIR) annual meeting, concluded that robotic endovascular procedures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feasible and significantly minimize radiation exposure. Highlights of the study include:</w:t>
      </w:r>
    </w:p>
    <w:p>
      <w:pPr>
        <w:spacing w:after="0" w:line="20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robotic navigation was achieved in every case (N=20), yielding a success rate of 100%, meeting the primary endpoint of the study.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Adverse Device Events (ADE=0%) were reported through the duration of follow-up.</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difference in radiation exposure between operator and control was (-)29.8 µS, resulting in a mean 92% relative reduction in radiation exposure.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robotic navigation time to target was 3 minutes.</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Participating physicians reported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performed as planned with a 100% satisfaction rate.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40" w:right="60"/>
        <w:spacing w:after="0" w:line="218" w:lineRule="auto"/>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Shares Results from Its Pivotal Clinical Trial, Achieving 100% Robotic Navigation Success for the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Endovascular Robotic System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Successful robotic navigation was achieved in every case 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met the primary endpoint of the study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showed a 92% reduction in radiation exposure with no adverse events reported</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HINGHAM, Mass., April 9,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 System,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for the first time the data from its ACCESS-PVI pivotal trial at the Society of Interventional Radiology (SIR) annual meeting. The study was performed at three leading medical centers in the U.S.; Memorial Sloan Kettering Cancer Center (New York, NY), Baptist Hospital of Miami (Miami, FL) and Brigham and Women’s Hospital (Boston, MA). The late-breaking podium presentation was given by Francois Cornelis, M.D., PhD, Director of the Neuro Vascular Interventional Radiology Program at Memorial Sloan Kettering Cancer Center.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data presented concluded that robotic endovascular procedures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feasible and significantly minimize radiation exposure.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Highlights of the ACCESS-PVI Study:</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robotic navigation was achieved in every case (N=20), yielding a success rate of 100%, meeting the primary endpoint of the study.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Adverse Device Events (ADE=0%) were reported through the duration of follow-up.</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difference in radiation exposure between operator and control was (-)29.8 µS, resulting in a mean 92% relative reduction in radiation exposure.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Median robotic navigation time to target was 3 minutes.</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Participating physicians reported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performed as planned with a 100% satisfaction rate.</w:t>
      </w:r>
    </w:p>
    <w:p>
      <w:pPr>
        <w:spacing w:after="0" w:line="7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ACCESS-PVI data and the performance of the system throughout the study reflect the hard work that the team has put into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over the past few years,” commented Harel Gadot, Chairman, CEO and President. “We are extremely pleased with the results in all aspects. As we shift focus to building our commercial capabilities and preparing for launch, we are confident that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be well received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“We are very satisfied with the clinical data, as well as with the investigators’ feedback in terms of the short learning curve and intuitive operation of the device,” commented Dr. Juan Diaz-Cartelle, the Company’s Chief Medical Officer. “We are looking forward to working with interventional physicians and staff upon FDA’s clearance.”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an investigational device pending FDA 510(k) clearance, and is currently not available for sale in the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redefine endovascular robotics and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to continue its transition to a</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timely grant 510(k) clearance to</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if at all, uncertainty resulting from political, social and geopolitical conditions, particularly any changes in personnel or processes or procedures at the FDA and the recent announcement of tariffs on imports into the U.S., disruptions resulting from new and ongoing hostilities between Israel and the Palestinians and other neighboring countries, and maintenance of</w:t>
      </w: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2025-04-09T07:38:01Z</dcterms:created>
  <dcterms:modified xsi:type="dcterms:W3CDTF">2025-04-09T07:38:01Z</dcterms:modified>
</cp:coreProperties>
</file>