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13D</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________)*</w:t>
      </w:r>
    </w:p>
    <w:p>
      <w:pPr>
        <w:spacing w:after="0" w:line="237" w:lineRule="auto"/>
        <w:rPr>
          <w:sz w:val="20"/>
          <w:szCs w:val="20"/>
          <w:color w:val="auto"/>
        </w:rPr>
      </w:pPr>
      <w:r>
        <w:rPr>
          <w:rFonts w:ascii="Courier New" w:cs="Courier New" w:eastAsia="Courier New" w:hAnsi="Courier New"/>
          <w:sz w:val="18"/>
          <w:szCs w:val="18"/>
          <w:color w:val="auto"/>
        </w:rPr>
        <w:t>Microbot Medical Inc.</w:t>
      </w:r>
    </w:p>
    <w:p>
      <w:pPr>
        <w:spacing w:after="0"/>
        <w:rPr>
          <w:sz w:val="20"/>
          <w:szCs w:val="20"/>
          <w:color w:val="auto"/>
        </w:rPr>
      </w:pPr>
      <w:r>
        <w:rPr>
          <w:rFonts w:ascii="Courier New" w:cs="Courier New" w:eastAsia="Courier New" w:hAnsi="Courier New"/>
          <w:sz w:val="18"/>
          <w:szCs w:val="18"/>
          <w:color w:val="auto"/>
        </w:rPr>
        <w:t>(Name of Issuer)</w:t>
      </w:r>
    </w:p>
    <w:p>
      <w:pPr>
        <w:spacing w:after="0" w:line="237"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7" w:lineRule="auto"/>
        <w:rPr>
          <w:sz w:val="20"/>
          <w:szCs w:val="20"/>
          <w:color w:val="auto"/>
        </w:rPr>
      </w:pPr>
      <w:r>
        <w:rPr>
          <w:rFonts w:ascii="Courier New" w:cs="Courier New" w:eastAsia="Courier New" w:hAnsi="Courier New"/>
          <w:sz w:val="18"/>
          <w:szCs w:val="18"/>
          <w:color w:val="auto"/>
        </w:rPr>
        <w:t>59503A105</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5" w:lineRule="exact"/>
        <w:rPr>
          <w:sz w:val="24"/>
          <w:szCs w:val="24"/>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Alliance Investment Management Limited, 7 Belmont Road, Kingston 5 Jamaica (Name, Address and Telephone Number of Person Authorized to Receive Notices and Communications)</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21, 2018</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5"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??240.13d-1(e), 240.13d-1(f) or 240.13d-1(g), check the following box.</w:t>
      </w:r>
    </w:p>
    <w:p>
      <w:pPr>
        <w:spacing w:after="0" w:line="5" w:lineRule="exact"/>
        <w:rPr>
          <w:sz w:val="24"/>
          <w:szCs w:val="24"/>
          <w:color w:val="auto"/>
        </w:rPr>
      </w:pPr>
    </w:p>
    <w:p>
      <w:pPr>
        <w:ind w:right="2519"/>
        <w:spacing w:after="0" w:line="268" w:lineRule="auto"/>
        <w:rPr>
          <w:sz w:val="20"/>
          <w:szCs w:val="20"/>
          <w:color w:val="auto"/>
        </w:rPr>
      </w:pPr>
      <w:r>
        <w:rPr>
          <w:rFonts w:ascii="Courier New" w:cs="Courier New" w:eastAsia="Courier New" w:hAnsi="Courier New"/>
          <w:sz w:val="16"/>
          <w:szCs w:val="16"/>
          <w:color w:val="auto"/>
        </w:rPr>
        <w:t>Note: Schedules filed in paper format shall include a signed original and five copies of the schedule, including all exhibits. See ?240.13d-7 for other parties to whom copies are to be sent.* The remainder of this cover</w:t>
      </w:r>
    </w:p>
    <w:p>
      <w:pPr>
        <w:spacing w:after="0" w:line="1" w:lineRule="exact"/>
        <w:rPr>
          <w:sz w:val="24"/>
          <w:szCs w:val="24"/>
          <w:color w:val="auto"/>
        </w:rPr>
      </w:pPr>
    </w:p>
    <w:p>
      <w:pPr>
        <w:ind w:right="2519" w:firstLine="105"/>
        <w:spacing w:after="0" w:line="235" w:lineRule="auto"/>
        <w:rPr>
          <w:sz w:val="20"/>
          <w:szCs w:val="20"/>
          <w:color w:val="auto"/>
        </w:rPr>
      </w:pPr>
      <w:r>
        <w:rPr>
          <w:rFonts w:ascii="Courier New" w:cs="Courier New" w:eastAsia="Courier New" w:hAnsi="Courier New"/>
          <w:sz w:val="18"/>
          <w:szCs w:val="18"/>
          <w:color w:val="auto"/>
        </w:rPr>
        <w:t>page shall be filled out for a reporting person's initial filing on this form with respect to</w:t>
      </w:r>
    </w:p>
    <w:p>
      <w:pPr>
        <w:spacing w:after="0" w:line="6"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subject class of securities, and for any subsequent amendment containing information which would alter disclosures provided in a prior cover page. 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59503A105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4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Alliance Investment Management Limited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IF A MEMBER OF A GROUP</w:t>
      </w:r>
    </w:p>
    <w:p>
      <w:pPr>
        <w:spacing w:after="0" w:line="238" w:lineRule="auto"/>
        <w:rPr>
          <w:sz w:val="20"/>
          <w:szCs w:val="20"/>
          <w:color w:val="auto"/>
        </w:rPr>
      </w:pPr>
      <w:r>
        <w:rPr>
          <w:rFonts w:ascii="Courier New" w:cs="Courier New" w:eastAsia="Courier New" w:hAnsi="Courier New"/>
          <w:sz w:val="18"/>
          <w:szCs w:val="18"/>
          <w:color w:val="auto"/>
        </w:rPr>
        <w:t>(see instructions)</w:t>
      </w:r>
    </w:p>
    <w:p>
      <w:pPr>
        <w:ind w:left="740" w:hanging="732"/>
        <w:spacing w:after="0"/>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hanging="732"/>
        <w:spacing w:after="0" w:line="238"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SOURCE OF FUNDS (see instructions)</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WC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BOX IF DISCLOSURE OF LEGAL PROCEEDINGS IS REQUIRED PURSUANT TO ITEMS 2(d)</w:t>
      </w:r>
    </w:p>
    <w:p>
      <w:pPr>
        <w:spacing w:after="0" w:line="1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or 2(e)</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Jamaica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rPr>
          <w:sz w:val="20"/>
          <w:szCs w:val="20"/>
          <w:color w:val="auto"/>
        </w:rPr>
      </w:pPr>
      <w:r>
        <w:rPr>
          <w:rFonts w:ascii="Courier New" w:cs="Courier New" w:eastAsia="Courier New" w:hAnsi="Courier New"/>
          <w:sz w:val="18"/>
          <w:szCs w:val="18"/>
          <w:color w:val="auto"/>
        </w:rPr>
        <w:t>BENEFICIALLY</w:t>
      </w:r>
    </w:p>
    <w:p>
      <w:pPr>
        <w:spacing w:after="0" w:line="237" w:lineRule="auto"/>
        <w:rPr>
          <w:sz w:val="20"/>
          <w:szCs w:val="20"/>
          <w:color w:val="auto"/>
        </w:rPr>
      </w:pPr>
      <w:r>
        <w:rPr>
          <w:rFonts w:ascii="Courier New" w:cs="Courier New" w:eastAsia="Courier New" w:hAnsi="Courier New"/>
          <w:sz w:val="18"/>
          <w:szCs w:val="18"/>
          <w:color w:val="auto"/>
        </w:rPr>
        <w:t>OWNED BY</w:t>
      </w:r>
    </w:p>
    <w:p>
      <w:pPr>
        <w:spacing w:after="0" w:line="238" w:lineRule="auto"/>
        <w:rPr>
          <w:sz w:val="20"/>
          <w:szCs w:val="20"/>
          <w:color w:val="auto"/>
        </w:rPr>
      </w:pPr>
      <w:r>
        <w:rPr>
          <w:rFonts w:ascii="Courier New" w:cs="Courier New" w:eastAsia="Courier New" w:hAnsi="Courier New"/>
          <w:sz w:val="18"/>
          <w:szCs w:val="18"/>
          <w:color w:val="auto"/>
        </w:rPr>
        <w:t>EACH</w:t>
      </w:r>
    </w:p>
    <w:p>
      <w:pPr>
        <w:spacing w:after="0"/>
        <w:rPr>
          <w:sz w:val="20"/>
          <w:szCs w:val="20"/>
          <w:color w:val="auto"/>
        </w:rPr>
      </w:pPr>
      <w:r>
        <w:rPr>
          <w:rFonts w:ascii="Courier New" w:cs="Courier New" w:eastAsia="Courier New" w:hAnsi="Courier New"/>
          <w:sz w:val="18"/>
          <w:szCs w:val="18"/>
          <w:color w:val="auto"/>
        </w:rPr>
        <w:t>REPORTING</w:t>
      </w:r>
    </w:p>
    <w:p>
      <w:pPr>
        <w:spacing w:after="0" w:line="237" w:lineRule="auto"/>
        <w:rPr>
          <w:sz w:val="20"/>
          <w:szCs w:val="20"/>
          <w:color w:val="auto"/>
        </w:rPr>
      </w:pPr>
      <w:r>
        <w:rPr>
          <w:rFonts w:ascii="Courier New" w:cs="Courier New" w:eastAsia="Courier New" w:hAnsi="Courier New"/>
          <w:sz w:val="18"/>
          <w:szCs w:val="18"/>
          <w:color w:val="auto"/>
        </w:rPr>
        <w:t>PERSON WITH</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2,395,495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2,395,495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2,395,495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CHECK BOX IF THE AGGREGATE AMOUNT IN ROW (11) EXCLUDES CERTAIN SHARES</w:t>
      </w:r>
    </w:p>
    <w:p>
      <w:pPr>
        <w:spacing w:after="0" w:line="238" w:lineRule="auto"/>
        <w:tabs>
          <w:tab w:leader="none" w:pos="23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5.69%</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59503A105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4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or Amount of Funds or Other Consideration.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120" w:right="1999" w:hanging="104"/>
        <w:spacing w:after="0" w:line="235" w:lineRule="auto"/>
        <w:rPr>
          <w:sz w:val="20"/>
          <w:szCs w:val="20"/>
          <w:color w:val="auto"/>
        </w:rPr>
      </w:pPr>
      <w:r>
        <w:rPr>
          <w:rFonts w:ascii="Courier New" w:cs="Courier New" w:eastAsia="Courier New" w:hAnsi="Courier New"/>
          <w:sz w:val="18"/>
          <w:szCs w:val="18"/>
          <w:color w:val="auto"/>
        </w:rPr>
        <w:t>Item 6.</w:t>
      </w:r>
      <w:r>
        <w:rPr>
          <w:sz w:val="20"/>
          <w:szCs w:val="20"/>
          <w:color w:val="auto"/>
        </w:rPr>
        <w:t xml:space="preserve"> </w:t>
      </w:r>
      <w:r>
        <w:rPr>
          <w:rFonts w:ascii="Courier New" w:cs="Courier New" w:eastAsia="Courier New" w:hAnsi="Courier New"/>
          <w:sz w:val="18"/>
          <w:szCs w:val="18"/>
          <w:color w:val="auto"/>
        </w:rPr>
        <w:t>Contracts, Arrangements, Understandings or Relationships with Respect to Securities of the Issuer.</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59503A105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4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ind w:left="420"/>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NAME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Peter Chin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2, 2018</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2019-12-05T23:44:00Z</dcterms:created>
  <dcterms:modified xsi:type="dcterms:W3CDTF">2019-12-05T23:44:00Z</dcterms:modified>
</cp:coreProperties>
</file>