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Young Rodney KB</w:t>
              </w:r>
            </w:hyperlink>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Borders>
              <w:bottom w:val="single" w:sz="8" w:color="0000EE"/>
            </w:tcBorders>
            <w:gridSpan w:val="4"/>
            <w:vMerge w:val="continue"/>
          </w:tcPr>
          <w:p>
            <w:pPr>
              <w:spacing w:after="0"/>
              <w:rPr>
                <w:sz w:val="5"/>
                <w:szCs w:val="5"/>
                <w:color w:val="auto"/>
              </w:rPr>
            </w:pPr>
          </w:p>
        </w:tc>
        <w:tc>
          <w:tcPr>
            <w:tcW w:w="8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tcPr>
          <w:p>
            <w:pPr>
              <w:spacing w:after="0"/>
              <w:rPr>
                <w:sz w:val="4"/>
                <w:szCs w:val="4"/>
                <w:color w:val="auto"/>
              </w:rPr>
            </w:pPr>
          </w:p>
        </w:tc>
        <w:tc>
          <w:tcPr>
            <w:tcW w:w="8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gridSpan w:val="2"/>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40" w:type="dxa"/>
            <w:vAlign w:val="bottom"/>
            <w:gridSpan w:val="2"/>
            <w:vMerge w:val="restart"/>
          </w:tcPr>
          <w:p>
            <w:pPr>
              <w:ind w:left="700"/>
              <w:spacing w:after="0"/>
              <w:rPr>
                <w:sz w:val="20"/>
                <w:szCs w:val="20"/>
                <w:color w:val="auto"/>
              </w:rPr>
            </w:pPr>
            <w:r>
              <w:rPr>
                <w:rFonts w:ascii="Arial" w:cs="Arial" w:eastAsia="Arial" w:hAnsi="Arial"/>
                <w:sz w:val="18"/>
                <w:szCs w:val="18"/>
                <w:color w:val="0000FF"/>
              </w:rPr>
              <w:t>CFO</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7"/>
              </w:rPr>
              <w:t>STEMCELLS, INC.</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03/11/2011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198" w:lineRule="exact"/>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5"/>
                <w:szCs w:val="15"/>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03/11/2011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25,750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0.81</w:t>
            </w:r>
          </w:p>
        </w:tc>
        <w:tc>
          <w:tcPr>
            <w:tcW w:w="1260" w:type="dxa"/>
            <w:vAlign w:val="bottom"/>
            <w:tcBorders>
              <w:bottom w:val="single" w:sz="8" w:color="2C2C2C"/>
            </w:tcBorders>
            <w:gridSpan w:val="2"/>
          </w:tcPr>
          <w:p>
            <w:pPr>
              <w:jc w:val="center"/>
              <w:ind w:right="214"/>
              <w:spacing w:after="0"/>
              <w:rPr>
                <w:sz w:val="20"/>
                <w:szCs w:val="20"/>
                <w:color w:val="auto"/>
              </w:rPr>
            </w:pPr>
            <w:r>
              <w:rPr>
                <w:rFonts w:ascii="Arial" w:cs="Arial" w:eastAsia="Arial" w:hAnsi="Arial"/>
                <w:sz w:val="18"/>
                <w:szCs w:val="18"/>
                <w:color w:val="0000FF"/>
              </w:rPr>
              <w:t>449,200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4"/>
              <w:spacing w:after="0"/>
              <w:rPr>
                <w:sz w:val="20"/>
                <w:szCs w:val="20"/>
                <w:color w:val="auto"/>
              </w:rPr>
            </w:pPr>
            <w:r>
              <w:rPr>
                <w:rFonts w:ascii="Arial" w:cs="Arial" w:eastAsia="Arial" w:hAnsi="Arial"/>
                <w:sz w:val="18"/>
                <w:szCs w:val="18"/>
                <w:color w:val="0000FF"/>
                <w:w w:val="88"/>
              </w:rPr>
              <w:t>7,314</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 200,000 restricted stock units, with 50,000 vesting on each of June 1, 2011, June 1, 2012, June 1, 2013, and June 1, 2014 and (2) 170,000 restricted stock units, with 56,667 of this grant vesting on each of May 15, 2011,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03/15/2011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78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2019-12-18T01:20:47Z</dcterms:created>
  <dcterms:modified xsi:type="dcterms:W3CDTF">2019-12-18T01:20:47Z</dcterms:modified>
</cp:coreProperties>
</file>