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40108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January 8,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E_edei--EntityRegistrantName_c2024"/>
      <w:bookmarkEnd w:id="4"/>
      <w:r>
        <w:rPr>
          <w:rFonts w:ascii="Times New Roman;Times;Serif" w:hAnsi="Times New Roman;Times;Serif"/>
          <w:b/>
          <w:i w:val="false"/>
          <w:caps w:val="false"/>
          <w:smallCaps w:val="false"/>
          <w:sz w:val="36"/>
        </w:rPr>
        <w:t>MICROBOT MEDICAL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270"/>
        <w:gridCol w:w="60"/>
        <w:gridCol w:w="117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40108"/>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w:t>
              <w:b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288 Grove Street, </w:t>
      </w:r>
      <w:bookmarkStart w:id="9" w:name="xdx_902_edei--EntityAddressAddressLine2_"/>
      <w:bookmarkEnd w:id="9"/>
      <w:r>
        <w:rPr>
          <w:rFonts w:ascii="Times New Roman;Times;Serif" w:hAnsi="Times New Roman;Times;Serif"/>
          <w:b/>
          <w:i w:val="false"/>
          <w:caps w:val="false"/>
          <w:smallCaps w:val="false"/>
          <w:sz w:val="20"/>
        </w:rPr>
        <w:t>Suite 388</w:t>
      </w:r>
    </w:p>
    <w:p>
      <w:pPr>
        <w:pStyle w:val="TextBody"/>
        <w:bidi w:val="0"/>
        <w:spacing w:before="0" w:after="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Braintree, </w:t>
      </w:r>
      <w:bookmarkStart w:id="11" w:name="xdx_907_edei--EntityAddressStateOrProvin"/>
      <w:bookmarkEnd w:id="11"/>
      <w:r>
        <w:rPr>
          <w:rFonts w:ascii="Times New Roman;Times;Serif" w:hAnsi="Times New Roman;Times;Serif"/>
          <w:b/>
          <w:i w:val="false"/>
          <w:caps w:val="false"/>
          <w:smallCaps w:val="false"/>
          <w:sz w:val="20"/>
        </w:rPr>
        <w:t xml:space="preserve">MA </w:t>
      </w:r>
      <w:bookmarkStart w:id="12" w:name="xdx_909_edei--EntityAddressPostalZipCode"/>
      <w:bookmarkEnd w:id="12"/>
      <w:r>
        <w:rPr>
          <w:rFonts w:ascii="Times New Roman;Times;Serif" w:hAnsi="Times New Roman;Times;Serif"/>
          <w:b/>
          <w:i w:val="false"/>
          <w:caps w:val="false"/>
          <w:smallCaps w:val="false"/>
          <w:sz w:val="20"/>
        </w:rPr>
        <w:t>02184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1_edei--CityAreaCode_c20240108__20"/>
      <w:bookmarkEnd w:id="13"/>
      <w:r>
        <w:rPr>
          <w:rFonts w:ascii="Times New Roman;Times;Serif" w:hAnsi="Times New Roman;Times;Serif"/>
          <w:b/>
          <w:i w:val="false"/>
          <w:caps w:val="false"/>
          <w:smallCaps w:val="false"/>
          <w:sz w:val="20"/>
        </w:rPr>
        <w:t xml:space="preserve">(781) </w:t>
      </w:r>
      <w:bookmarkStart w:id="14" w:name="xdx_90A_edei--LocalPhoneNumber_c20240108"/>
      <w:bookmarkEnd w:id="14"/>
      <w:r>
        <w:rPr>
          <w:rFonts w:ascii="Times New Roman;Times;Serif" w:hAnsi="Times New Roman;Times;Serif"/>
          <w:b/>
          <w:i w:val="false"/>
          <w:caps w:val="false"/>
          <w:smallCaps w:val="false"/>
          <w:sz w:val="20"/>
        </w:rPr>
        <w:t>875-3605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0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8_edei--SolicitingMaterial_c202401"/>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F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40108"/>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40108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8_edei--SecurityExchangeName_c2024"/>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Principal Officers; Election of Directors; Appointment of Principal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2024, the Board of Directors (the “Board”) of Microbot Medical Inc. (the “Company”) authorized the reinstatement of the annual fees payable to the independent members of the Board for their services, effective as of January 1, 2024. Such fees were suspended in May 2023 as a result of the Company’s cost reduction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reinstated in full of the annual compensation of Harel Gadot, the Company’s President, Chief Executive Officer and Chairman, effective as of January 1, 2024. Such compensation was reduced by 50% in May 2023 as a result of the Company’s cost reduction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8395" w:type="dxa"/>
        <w:jc w:val="left"/>
        <w:tblInd w:w="0" w:type="dxa"/>
        <w:tblLayout w:type="fixed"/>
        <w:tblCellMar>
          <w:top w:w="0" w:type="dxa"/>
          <w:left w:w="0" w:type="dxa"/>
          <w:bottom w:w="28" w:type="dxa"/>
          <w:right w:w="0" w:type="dxa"/>
        </w:tblCellMar>
      </w:tblPr>
      <w:tblGrid>
        <w:gridCol w:w="995"/>
        <w:gridCol w:w="60"/>
        <w:gridCol w:w="734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910"/>
        <w:gridCol w:w="3980"/>
      </w:tblGrid>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January 12, 2024</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488</Words>
  <Characters>2662</Characters>
  <CharactersWithSpaces>3159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