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Statement No. 333-250966</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December 4,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2285365</wp:posOffset>
            </wp:positionH>
            <wp:positionV relativeFrom="paragraph">
              <wp:posOffset>142875</wp:posOffset>
            </wp:positionV>
            <wp:extent cx="2571750" cy="9429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71750" cy="9429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MICROBOT MEDICAL INC.</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701,756 Shares of Common Stock</w:t>
      </w:r>
    </w:p>
    <w:p>
      <w:pPr>
        <w:spacing w:after="0" w:line="229" w:lineRule="exact"/>
        <w:rPr>
          <w:sz w:val="24"/>
          <w:szCs w:val="24"/>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are offering 701,756 shares of our common stock, par value $0.01 per share (“common stock”), to an institutional investor at an offering price of $2.1375 per share, pursuant to this prospectus supplement and the accompanying prospectus.</w:t>
      </w:r>
    </w:p>
    <w:p>
      <w:pPr>
        <w:spacing w:after="0" w:line="170" w:lineRule="exact"/>
        <w:rPr>
          <w:sz w:val="24"/>
          <w:szCs w:val="24"/>
          <w:color w:val="auto"/>
        </w:rPr>
      </w:pPr>
    </w:p>
    <w:p>
      <w:pPr>
        <w:jc w:val="both"/>
        <w:ind w:firstLine="648"/>
        <w:spacing w:after="0" w:line="284" w:lineRule="auto"/>
        <w:rPr>
          <w:sz w:val="20"/>
          <w:szCs w:val="20"/>
          <w:color w:val="auto"/>
        </w:rPr>
      </w:pPr>
      <w:r>
        <w:rPr>
          <w:rFonts w:ascii="Arial" w:cs="Arial" w:eastAsia="Arial" w:hAnsi="Arial"/>
          <w:sz w:val="16"/>
          <w:szCs w:val="16"/>
          <w:color w:val="auto"/>
        </w:rPr>
        <w:t>In a concurrent private placement, we are also selling to the same institutional investors of our shares of common stock, unregistered series C preferred investment options to purchase up to 350,878 shares of our common stock (the “series C preferred investment options”). Each series C preferred investment option will be exercisable for one share of common stock at an exercise price of $2.075 commencing on the date of issuance and will expire five and one-half years from the initial exercise date. The series C preferred investment options and the shares of common stock issuable upon the exercise of such series C preferred investment options are not being registered under the Securities Act of 1933, as amended (the “Securities Act”), are not being offered pursuant to this prospectus supplement and the accompanying prospectus and are being offered pursuant to the exemption provided in Section 4(a)</w:t>
      </w:r>
    </w:p>
    <w:p>
      <w:pPr>
        <w:spacing w:after="0" w:line="4" w:lineRule="exact"/>
        <w:rPr>
          <w:sz w:val="24"/>
          <w:szCs w:val="24"/>
          <w:color w:val="auto"/>
        </w:rPr>
      </w:pPr>
    </w:p>
    <w:p>
      <w:pPr>
        <w:ind w:firstLine="8"/>
        <w:spacing w:after="0" w:line="260" w:lineRule="auto"/>
        <w:tabs>
          <w:tab w:leader="none" w:pos="259" w:val="left"/>
        </w:tabs>
        <w:numPr>
          <w:ilvl w:val="0"/>
          <w:numId w:val="1"/>
        </w:numPr>
        <w:rPr>
          <w:rFonts w:ascii="Arial" w:cs="Arial" w:eastAsia="Arial" w:hAnsi="Arial"/>
          <w:sz w:val="18"/>
          <w:szCs w:val="18"/>
          <w:color w:val="auto"/>
        </w:rPr>
      </w:pPr>
      <w:r>
        <w:rPr>
          <w:rFonts w:ascii="Arial" w:cs="Arial" w:eastAsia="Arial" w:hAnsi="Arial"/>
          <w:sz w:val="18"/>
          <w:szCs w:val="18"/>
          <w:color w:val="auto"/>
        </w:rPr>
        <w:t>under the Securities Act and Rule 506(b) promulgated thereunder. None of the securities issued in the concurrent private placement are or will be listed for trading on any national securities exchange.</w:t>
      </w:r>
    </w:p>
    <w:p>
      <w:pPr>
        <w:spacing w:after="0" w:line="185" w:lineRule="exact"/>
        <w:rPr>
          <w:sz w:val="24"/>
          <w:szCs w:val="24"/>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common stock is listed and trades on The Nasdaq Capital Market under the symbol “MBOT.” The last sale price of our shares of common stock on June 1, 2023 was $2.16 per share.</w:t>
      </w:r>
    </w:p>
    <w:p>
      <w:pPr>
        <w:spacing w:after="0" w:line="170" w:lineRule="exact"/>
        <w:rPr>
          <w:sz w:val="24"/>
          <w:szCs w:val="24"/>
          <w:color w:val="auto"/>
        </w:rPr>
      </w:pPr>
    </w:p>
    <w:p>
      <w:pPr>
        <w:jc w:val="both"/>
        <w:ind w:firstLine="648"/>
        <w:spacing w:after="0" w:line="254" w:lineRule="auto"/>
        <w:rPr>
          <w:sz w:val="20"/>
          <w:szCs w:val="20"/>
          <w:color w:val="auto"/>
        </w:rPr>
      </w:pPr>
      <w:r>
        <w:rPr>
          <w:rFonts w:ascii="Arial" w:cs="Arial" w:eastAsia="Arial" w:hAnsi="Arial"/>
          <w:sz w:val="18"/>
          <w:szCs w:val="18"/>
          <w:color w:val="auto"/>
        </w:rPr>
        <w:t>As of the date of this prospectus supplement, the aggregate market value of our outstanding common stock held by non-affiliates, computed by reference to the price at which our common stock was last sold on The Nasdaq Capital Market on May 22, 2023, which was $3.19 per share, was approximately $30.7 million, based on 9,995,697 shares of our outstanding common stock as of the date of this prospectus supplement, of which 9,616,822 shares were held by non-affiliates. Pursuant to General Instruction I.B.6 of Form S-3, in no event will we sell securities in a public primary offering with a value exceeding one-third of our public float in any 12-month period so long as our public float remains below $75.0 million. During the 12 calendar months prior to and including the date of this prospectus supplement (excluding this offering), we have sold $8,704,807 in securities pursuant to General Instruction I.B.6 of Form S-3.</w:t>
      </w:r>
    </w:p>
    <w:p>
      <w:pPr>
        <w:spacing w:after="0" w:line="195" w:lineRule="exact"/>
        <w:rPr>
          <w:sz w:val="24"/>
          <w:szCs w:val="24"/>
          <w:color w:val="auto"/>
        </w:rPr>
      </w:pPr>
    </w:p>
    <w:p>
      <w:pPr>
        <w:jc w:val="both"/>
        <w:ind w:firstLine="648"/>
        <w:spacing w:after="0" w:line="253" w:lineRule="auto"/>
        <w:rPr>
          <w:sz w:val="20"/>
          <w:szCs w:val="20"/>
          <w:color w:val="auto"/>
        </w:rPr>
      </w:pPr>
      <w:r>
        <w:rPr>
          <w:rFonts w:ascii="Arial" w:cs="Arial" w:eastAsia="Arial" w:hAnsi="Arial"/>
          <w:sz w:val="18"/>
          <w:szCs w:val="18"/>
          <w:color w:val="auto"/>
        </w:rPr>
        <w:t>We have engaged H.C. Wainwright &amp; Co., LLC, or Wainwright or the placement agent, to act as our exclusive placement agent for this offering. The placement agent has agreed to use its “reasonable best efforts” to arrange for the sale of shares of our common stock offered by this prospectus supplement and the accompanying base prospectus, but the placement agent has no obligation to purchase or sell any of such securities or to arrange for the purchase or sale of any specific number or dollar amount of such securities. There is no required minimum number of securities that must be sold as a condition to completion of this offering. Because there is no minimum offering amount required as a condition to closing this offering, the actual offering amount, placement agent fees, and proceeds to us, if any, are not presently determinable and may be substantially less than the total maximum offering amounts set forth below. We have not arranged to place the funds from investors in an escrow, trust or similar account. We have agreed to pay the placement agent the fees set forth in the table below in connection with this offering, which assumes that we sell all of the shares of common stock we are offering hereby.</w:t>
      </w:r>
    </w:p>
    <w:p>
      <w:pPr>
        <w:spacing w:after="0" w:line="206" w:lineRule="exact"/>
        <w:rPr>
          <w:sz w:val="24"/>
          <w:szCs w:val="24"/>
          <w:color w:val="auto"/>
        </w:rPr>
      </w:pPr>
    </w:p>
    <w:tbl>
      <w:tblPr>
        <w:tblLayout w:type="fixed"/>
        <w:tblInd w:w="2240" w:type="dxa"/>
        <w:tblCellMar>
          <w:top w:w="0" w:type="dxa"/>
          <w:left w:w="0" w:type="dxa"/>
          <w:bottom w:w="0" w:type="dxa"/>
          <w:right w:w="0" w:type="dxa"/>
        </w:tblCellMar>
      </w:tblPr>
      <w:tr>
        <w:trPr>
          <w:trHeight w:val="241"/>
        </w:trPr>
        <w:tc>
          <w:tcPr>
            <w:tcW w:w="3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9"/>
              </w:rPr>
              <w:t>Per Share</w:t>
            </w:r>
          </w:p>
        </w:tc>
        <w:tc>
          <w:tcPr>
            <w:tcW w:w="220" w:type="dxa"/>
            <w:vAlign w:val="bottom"/>
          </w:tcPr>
          <w:p>
            <w:pPr>
              <w:spacing w:after="0"/>
              <w:rPr>
                <w:sz w:val="20"/>
                <w:szCs w:val="20"/>
                <w:color w:val="auto"/>
              </w:rPr>
            </w:pPr>
          </w:p>
        </w:tc>
        <w:tc>
          <w:tcPr>
            <w:tcW w:w="1160" w:type="dxa"/>
            <w:vAlign w:val="bottom"/>
            <w:gridSpan w:val="2"/>
          </w:tcPr>
          <w:p>
            <w:pPr>
              <w:ind w:left="240"/>
              <w:spacing w:after="0"/>
              <w:rPr>
                <w:sz w:val="20"/>
                <w:szCs w:val="20"/>
                <w:color w:val="auto"/>
              </w:rPr>
            </w:pPr>
            <w:r>
              <w:rPr>
                <w:rFonts w:ascii="Arial" w:cs="Arial" w:eastAsia="Arial" w:hAnsi="Arial"/>
                <w:sz w:val="18"/>
                <w:szCs w:val="18"/>
                <w:b w:val="1"/>
                <w:bCs w:val="1"/>
                <w:color w:val="auto"/>
              </w:rPr>
              <w:t>Total</w:t>
            </w:r>
          </w:p>
        </w:tc>
      </w:tr>
      <w:tr>
        <w:trPr>
          <w:trHeight w:val="216"/>
        </w:trPr>
        <w:tc>
          <w:tcPr>
            <w:tcW w:w="3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Offering price</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2.1375</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1,500,003.45</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880" w:type="dxa"/>
            <w:vAlign w:val="bottom"/>
          </w:tcPr>
          <w:p>
            <w:pPr>
              <w:ind w:left="20"/>
              <w:spacing w:after="0"/>
              <w:rPr>
                <w:sz w:val="20"/>
                <w:szCs w:val="20"/>
                <w:color w:val="auto"/>
              </w:rPr>
            </w:pPr>
            <w:r>
              <w:rPr>
                <w:rFonts w:ascii="Arial" w:cs="Arial" w:eastAsia="Arial" w:hAnsi="Arial"/>
                <w:sz w:val="18"/>
                <w:szCs w:val="18"/>
                <w:color w:val="auto"/>
              </w:rPr>
              <w:t>Placement agent’s fees (1)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0.149625</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105,000.24</w:t>
            </w:r>
          </w:p>
        </w:tc>
        <w:tc>
          <w:tcPr>
            <w:tcW w:w="60" w:type="dxa"/>
            <w:vAlign w:val="bottom"/>
          </w:tcPr>
          <w:p>
            <w:pPr>
              <w:spacing w:after="0"/>
              <w:rPr>
                <w:sz w:val="18"/>
                <w:szCs w:val="18"/>
                <w:color w:val="auto"/>
              </w:rPr>
            </w:pPr>
          </w:p>
        </w:tc>
      </w:tr>
      <w:tr>
        <w:trPr>
          <w:trHeight w:val="216"/>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before expenses, to us (2)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1.987875</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1,395,003.21</w:t>
            </w:r>
          </w:p>
        </w:tc>
        <w:tc>
          <w:tcPr>
            <w:tcW w:w="60" w:type="dxa"/>
            <w:vAlign w:val="bottom"/>
            <w:shd w:val="clear" w:color="auto" w:fill="CCEEFF"/>
          </w:tcPr>
          <w:p>
            <w:pPr>
              <w:spacing w:after="0"/>
              <w:rPr>
                <w:sz w:val="18"/>
                <w:szCs w:val="18"/>
                <w:color w:val="auto"/>
              </w:rPr>
            </w:pPr>
          </w:p>
        </w:tc>
      </w:tr>
    </w:tbl>
    <w:p>
      <w:pPr>
        <w:spacing w:after="0" w:line="202" w:lineRule="exact"/>
        <w:rPr>
          <w:sz w:val="24"/>
          <w:szCs w:val="24"/>
          <w:color w:val="auto"/>
        </w:rPr>
      </w:pPr>
    </w:p>
    <w:p>
      <w:pPr>
        <w:jc w:val="both"/>
        <w:ind w:left="660" w:hanging="652"/>
        <w:spacing w:after="0" w:line="25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addition, we have agreed to pay the placement agent a management fee equal to 1.0% of the gross proceeds raised in this offering, to reimburse the placement agent for certain of its expenses and to issue warrants to purchase shares of common stock to the placement agent or its designees (the “placement agent warrants”). Neither the placement agent warrants nor the shares of our common stock issuable upon exercise of the placement agent warrants are being registered hereby. See “Plan of Distribution” beginning on page S-12 of this prospectus supplement for more information.</w:t>
      </w:r>
    </w:p>
    <w:p>
      <w:pPr>
        <w:spacing w:after="0" w:line="187" w:lineRule="exact"/>
        <w:rPr>
          <w:rFonts w:ascii="Arial" w:cs="Arial" w:eastAsia="Arial" w:hAnsi="Arial"/>
          <w:sz w:val="18"/>
          <w:szCs w:val="18"/>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Does not include proceeds from the exercise of the placement agent warrants to be issued to the placement agent in cash, if any.</w:t>
      </w:r>
    </w:p>
    <w:p>
      <w:pPr>
        <w:spacing w:after="0" w:line="225" w:lineRule="exact"/>
        <w:rPr>
          <w:sz w:val="24"/>
          <w:szCs w:val="24"/>
          <w:color w:val="auto"/>
        </w:rPr>
      </w:pPr>
    </w:p>
    <w:p>
      <w:pPr>
        <w:jc w:val="both"/>
        <w:ind w:firstLine="648"/>
        <w:spacing w:after="0" w:line="277" w:lineRule="auto"/>
        <w:rPr>
          <w:sz w:val="20"/>
          <w:szCs w:val="20"/>
          <w:color w:val="auto"/>
        </w:rPr>
      </w:pPr>
      <w:r>
        <w:rPr>
          <w:rFonts w:ascii="Arial" w:cs="Arial" w:eastAsia="Arial" w:hAnsi="Arial"/>
          <w:sz w:val="18"/>
          <w:szCs w:val="18"/>
          <w:color w:val="auto"/>
        </w:rPr>
        <w:t>Delivery of the shares of common stock offered hereby is expected to be made on or about June 6, 2023, subject to satisfaction of customary closing conditions.</w:t>
      </w:r>
    </w:p>
    <w:p>
      <w:pPr>
        <w:spacing w:after="0" w:line="166" w:lineRule="exact"/>
        <w:rPr>
          <w:sz w:val="24"/>
          <w:szCs w:val="24"/>
          <w:color w:val="auto"/>
        </w:rPr>
      </w:pPr>
    </w:p>
    <w:p>
      <w:pPr>
        <w:jc w:val="both"/>
        <w:ind w:firstLine="648"/>
        <w:spacing w:after="0" w:line="303" w:lineRule="auto"/>
        <w:rPr>
          <w:sz w:val="20"/>
          <w:szCs w:val="20"/>
          <w:color w:val="auto"/>
        </w:rPr>
      </w:pPr>
      <w:r>
        <w:rPr>
          <w:rFonts w:ascii="Arial" w:cs="Arial" w:eastAsia="Arial" w:hAnsi="Arial"/>
          <w:sz w:val="16"/>
          <w:szCs w:val="16"/>
          <w:b w:val="1"/>
          <w:bCs w:val="1"/>
          <w:color w:val="auto"/>
        </w:rPr>
        <w:t>Investing in our securities involves a high degree of risk. Before making any investment decision, you should carefully review and consider all the information in this prospectus supplement, the accompanying base prospectus and the documents incorporated by reference herein and therein, including the risks and uncertainties described under “Risk Factors” beginning on page S-7 of this prospectus supplement and the risk factors incorporated by reference into this prospectus supplement and the accompanying base prospectus.</w:t>
      </w:r>
    </w:p>
    <w:p>
      <w:pPr>
        <w:spacing w:after="0" w:line="155" w:lineRule="exact"/>
        <w:rPr>
          <w:sz w:val="24"/>
          <w:szCs w:val="24"/>
          <w:color w:val="auto"/>
        </w:rPr>
      </w:pPr>
    </w:p>
    <w:p>
      <w:pPr>
        <w:jc w:val="both"/>
        <w:ind w:firstLine="648"/>
        <w:spacing w:after="0" w:line="342" w:lineRule="auto"/>
        <w:rPr>
          <w:sz w:val="20"/>
          <w:szCs w:val="20"/>
          <w:color w:val="auto"/>
        </w:rPr>
      </w:pPr>
      <w:r>
        <w:rPr>
          <w:rFonts w:ascii="Arial" w:cs="Arial" w:eastAsia="Arial" w:hAnsi="Arial"/>
          <w:sz w:val="16"/>
          <w:szCs w:val="16"/>
          <w:color w:val="auto"/>
        </w:rPr>
        <w:t>Neither the Securities and Exchange Commission nor any state securities commission has approved or disapproved of these shares or determined if this prospectus supplement or the accompanying base prospectus is truthful or complete. Any representation to the contrary is a criminal offense.</w:t>
      </w:r>
    </w:p>
    <w:p>
      <w:pPr>
        <w:sectPr>
          <w:pgSz w:w="11900" w:h="16838" w:orient="portrait"/>
          <w:cols w:equalWidth="0" w:num="1">
            <w:col w:w="11240"/>
          </w:cols>
          <w:pgMar w:left="320" w:top="445" w:right="339" w:bottom="0" w:gutter="0" w:footer="0" w:header="0"/>
        </w:sectPr>
      </w:pPr>
    </w:p>
    <w:bookmarkStart w:id="1" w:name="page2"/>
    <w:bookmarkEnd w:id="1"/>
    <w:p>
      <w:pPr>
        <w:jc w:val="center"/>
        <w:spacing w:after="0"/>
        <w:rPr>
          <w:sz w:val="20"/>
          <w:szCs w:val="20"/>
          <w:color w:val="auto"/>
        </w:rPr>
      </w:pPr>
      <w:r>
        <w:rPr>
          <w:rFonts w:ascii="Arial" w:cs="Arial" w:eastAsia="Arial" w:hAnsi="Arial"/>
          <w:sz w:val="25"/>
          <w:szCs w:val="25"/>
          <w:b w:val="1"/>
          <w:bCs w:val="1"/>
          <w:color w:val="auto"/>
        </w:rPr>
        <w:t>H.C. Wainwright &amp; Co.</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date of this prospectus supplement is June 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303530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40" w:type="dxa"/>
            <w:vAlign w:val="bottom"/>
            <w:gridSpan w:val="6"/>
          </w:tcPr>
          <w:p>
            <w:pPr>
              <w:ind w:left="100"/>
              <w:spacing w:after="0"/>
              <w:rPr>
                <w:sz w:val="20"/>
                <w:szCs w:val="20"/>
                <w:color w:val="auto"/>
              </w:rPr>
            </w:pPr>
            <w:r>
              <w:rPr>
                <w:rFonts w:ascii="Arial" w:cs="Arial" w:eastAsia="Arial" w:hAnsi="Arial"/>
                <w:sz w:val="18"/>
                <w:szCs w:val="18"/>
                <w:b w:val="1"/>
                <w:bCs w:val="1"/>
                <w:color w:val="auto"/>
              </w:rPr>
              <w:t>TABLE OF CONTENTS</w:t>
            </w:r>
          </w:p>
        </w:tc>
        <w:tc>
          <w:tcPr>
            <w:tcW w:w="640" w:type="dxa"/>
            <w:vAlign w:val="bottom"/>
          </w:tcPr>
          <w:p>
            <w:pPr>
              <w:spacing w:after="0"/>
              <w:rPr>
                <w:sz w:val="17"/>
                <w:szCs w:val="17"/>
                <w:color w:val="auto"/>
              </w:rPr>
            </w:pPr>
          </w:p>
        </w:tc>
      </w:tr>
      <w:tr>
        <w:trPr>
          <w:trHeight w:val="460"/>
        </w:trPr>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4020" w:type="dxa"/>
            <w:vAlign w:val="bottom"/>
          </w:tcPr>
          <w:p>
            <w:pPr>
              <w:spacing w:after="0"/>
              <w:rPr>
                <w:sz w:val="24"/>
                <w:szCs w:val="2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Page</w:t>
            </w:r>
          </w:p>
        </w:tc>
      </w:tr>
      <w:tr>
        <w:trPr>
          <w:trHeight w:val="216"/>
        </w:trPr>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10600" w:type="dxa"/>
            <w:vAlign w:val="bottom"/>
            <w:gridSpan w:val="32"/>
            <w:shd w:val="clear" w:color="auto" w:fill="CCEEFF"/>
          </w:tcPr>
          <w:p>
            <w:pPr>
              <w:spacing w:after="0"/>
              <w:rPr>
                <w:sz w:val="20"/>
                <w:szCs w:val="20"/>
                <w:color w:val="auto"/>
              </w:rPr>
            </w:pPr>
            <w:r>
              <w:rPr>
                <w:rFonts w:ascii="Arial" w:cs="Arial" w:eastAsia="Arial" w:hAnsi="Arial"/>
                <w:sz w:val="18"/>
                <w:szCs w:val="18"/>
                <w:b w:val="1"/>
                <w:bCs w:val="1"/>
                <w:color w:val="auto"/>
              </w:rPr>
              <w:t>PROSPECTUS SUPPLEMENT</w:t>
            </w:r>
          </w:p>
        </w:tc>
        <w:tc>
          <w:tcPr>
            <w:tcW w:w="640" w:type="dxa"/>
            <w:vAlign w:val="bottom"/>
            <w:shd w:val="clear" w:color="auto" w:fill="CCEEFF"/>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196"/>
        </w:trPr>
        <w:tc>
          <w:tcPr>
            <w:tcW w:w="3440" w:type="dxa"/>
            <w:vAlign w:val="bottom"/>
            <w:tcBorders>
              <w:bottom w:val="single" w:sz="8" w:color="0000EE"/>
            </w:tcBorders>
            <w:gridSpan w:val="22"/>
            <w:shd w:val="clear" w:color="auto" w:fill="CCEEFF"/>
          </w:tcPr>
          <w:p>
            <w:pPr>
              <w:spacing w:after="0" w:line="176" w:lineRule="exact"/>
              <w:rPr>
                <w:sz w:val="20"/>
                <w:szCs w:val="20"/>
                <w:color w:val="auto"/>
              </w:rPr>
            </w:pPr>
            <w:r>
              <w:rPr>
                <w:rFonts w:ascii="Arial" w:cs="Arial" w:eastAsia="Arial" w:hAnsi="Arial"/>
                <w:sz w:val="18"/>
                <w:szCs w:val="18"/>
                <w:color w:val="0000EE"/>
                <w:w w:val="93"/>
              </w:rPr>
              <w:t>ABOUT THIS PROSPECTUS SUPPLEMENT</w:t>
            </w:r>
          </w:p>
        </w:tc>
        <w:tc>
          <w:tcPr>
            <w:tcW w:w="7160" w:type="dxa"/>
            <w:vAlign w:val="bottom"/>
            <w:tcBorders>
              <w:bottom w:val="single" w:sz="8" w:color="CCEEFF"/>
            </w:tcBorders>
            <w:gridSpan w:val="10"/>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5"/>
              </w:rPr>
              <w:t>S-1</w:t>
            </w:r>
          </w:p>
        </w:tc>
      </w:tr>
      <w:tr>
        <w:trPr>
          <w:trHeight w:val="175"/>
        </w:trPr>
        <w:tc>
          <w:tcPr>
            <w:tcW w:w="10600" w:type="dxa"/>
            <w:vAlign w:val="bottom"/>
            <w:gridSpan w:val="32"/>
          </w:tcPr>
          <w:p>
            <w:pPr>
              <w:spacing w:after="0" w:line="176" w:lineRule="exact"/>
              <w:rPr>
                <w:sz w:val="20"/>
                <w:szCs w:val="20"/>
                <w:color w:val="auto"/>
              </w:rPr>
            </w:pPr>
            <w:r>
              <w:rPr>
                <w:rFonts w:ascii="Arial" w:cs="Arial" w:eastAsia="Arial" w:hAnsi="Arial"/>
                <w:sz w:val="18"/>
                <w:szCs w:val="18"/>
                <w:color w:val="0000EE"/>
              </w:rPr>
              <w:t>SPECIAL NOTE REGARDING FORWARD-LOOKING STATEMENTS</w:t>
            </w:r>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5"/>
              </w:rPr>
              <w:t>S-2</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3300" w:type="dxa"/>
            <w:vAlign w:val="bottom"/>
            <w:tcBorders>
              <w:bottom w:val="single" w:sz="8" w:color="0000EE"/>
            </w:tcBorders>
            <w:gridSpan w:val="20"/>
            <w:shd w:val="clear" w:color="auto" w:fill="CCEEFF"/>
          </w:tcPr>
          <w:p>
            <w:pPr>
              <w:spacing w:after="0" w:line="176" w:lineRule="exact"/>
              <w:rPr>
                <w:sz w:val="20"/>
                <w:szCs w:val="20"/>
                <w:color w:val="auto"/>
              </w:rPr>
            </w:pPr>
            <w:r>
              <w:rPr>
                <w:rFonts w:ascii="Arial" w:cs="Arial" w:eastAsia="Arial" w:hAnsi="Arial"/>
                <w:sz w:val="18"/>
                <w:szCs w:val="18"/>
                <w:color w:val="0000EE"/>
                <w:w w:val="94"/>
              </w:rPr>
              <w:t>PROSPECTUS SUPPLEMENT SUMMARY</w:t>
            </w:r>
          </w:p>
        </w:tc>
        <w:tc>
          <w:tcPr>
            <w:tcW w:w="7300" w:type="dxa"/>
            <w:vAlign w:val="bottom"/>
            <w:tcBorders>
              <w:bottom w:val="single" w:sz="8" w:color="CCEEFF"/>
            </w:tcBorders>
            <w:gridSpan w:val="12"/>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5"/>
              </w:rPr>
              <w:t>S-3</w:t>
            </w:r>
          </w:p>
        </w:tc>
      </w:tr>
      <w:tr>
        <w:trPr>
          <w:trHeight w:val="175"/>
        </w:trPr>
        <w:tc>
          <w:tcPr>
            <w:tcW w:w="10600" w:type="dxa"/>
            <w:vAlign w:val="bottom"/>
            <w:gridSpan w:val="32"/>
          </w:tcPr>
          <w:p>
            <w:pPr>
              <w:spacing w:after="0" w:line="176" w:lineRule="exact"/>
              <w:rPr>
                <w:sz w:val="20"/>
                <w:szCs w:val="20"/>
                <w:color w:val="auto"/>
              </w:rPr>
            </w:pPr>
            <w:r>
              <w:rPr>
                <w:rFonts w:ascii="Arial" w:cs="Arial" w:eastAsia="Arial" w:hAnsi="Arial"/>
                <w:sz w:val="18"/>
                <w:szCs w:val="18"/>
                <w:color w:val="0000EE"/>
              </w:rPr>
              <w:t>THE OFFERING</w:t>
            </w:r>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5"/>
              </w:rPr>
              <w:t>S-6</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260" w:type="dxa"/>
            <w:vAlign w:val="bottom"/>
            <w:tcBorders>
              <w:bottom w:val="single" w:sz="8" w:color="0000EE"/>
            </w:tcBorders>
            <w:gridSpan w:val="4"/>
            <w:shd w:val="clear" w:color="auto" w:fill="CCEEFF"/>
          </w:tcPr>
          <w:p>
            <w:pPr>
              <w:spacing w:after="0" w:line="176" w:lineRule="exact"/>
              <w:rPr>
                <w:sz w:val="20"/>
                <w:szCs w:val="20"/>
                <w:color w:val="auto"/>
              </w:rPr>
            </w:pPr>
            <w:r>
              <w:rPr>
                <w:rFonts w:ascii="Arial" w:cs="Arial" w:eastAsia="Arial" w:hAnsi="Arial"/>
                <w:sz w:val="18"/>
                <w:szCs w:val="18"/>
                <w:color w:val="0000EE"/>
                <w:w w:val="93"/>
              </w:rPr>
              <w:t>RISK FACTORS</w:t>
            </w:r>
          </w:p>
        </w:tc>
        <w:tc>
          <w:tcPr>
            <w:tcW w:w="9340" w:type="dxa"/>
            <w:vAlign w:val="bottom"/>
            <w:tcBorders>
              <w:bottom w:val="single" w:sz="8" w:color="CCEEFF"/>
            </w:tcBorders>
            <w:gridSpan w:val="28"/>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5"/>
              </w:rPr>
              <w:t>S-7</w:t>
            </w:r>
          </w:p>
        </w:tc>
      </w:tr>
      <w:tr>
        <w:trPr>
          <w:trHeight w:val="176"/>
        </w:trPr>
        <w:tc>
          <w:tcPr>
            <w:tcW w:w="10600" w:type="dxa"/>
            <w:vAlign w:val="bottom"/>
            <w:gridSpan w:val="32"/>
          </w:tcPr>
          <w:p>
            <w:pPr>
              <w:spacing w:after="0" w:line="176" w:lineRule="exact"/>
              <w:rPr>
                <w:sz w:val="20"/>
                <w:szCs w:val="20"/>
                <w:color w:val="auto"/>
              </w:rPr>
            </w:pPr>
            <w:r>
              <w:rPr>
                <w:rFonts w:ascii="Arial" w:cs="Arial" w:eastAsia="Arial" w:hAnsi="Arial"/>
                <w:sz w:val="18"/>
                <w:szCs w:val="18"/>
                <w:color w:val="0000EE"/>
              </w:rPr>
              <w:t>USE OF PROCEEDS</w:t>
            </w:r>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5"/>
              </w:rPr>
              <w:t>S-9</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6"/>
        </w:trPr>
        <w:tc>
          <w:tcPr>
            <w:tcW w:w="10600" w:type="dxa"/>
            <w:vAlign w:val="bottom"/>
            <w:gridSpan w:val="32"/>
            <w:shd w:val="clear" w:color="auto" w:fill="CCEEFF"/>
          </w:tcPr>
          <w:p>
            <w:pPr>
              <w:spacing w:after="0" w:line="176" w:lineRule="exact"/>
              <w:rPr>
                <w:sz w:val="20"/>
                <w:szCs w:val="20"/>
                <w:color w:val="auto"/>
              </w:rPr>
            </w:pPr>
            <w:r>
              <w:rPr>
                <w:rFonts w:ascii="Arial" w:cs="Arial" w:eastAsia="Arial" w:hAnsi="Arial"/>
                <w:sz w:val="18"/>
                <w:szCs w:val="18"/>
                <w:color w:val="0000EE"/>
              </w:rPr>
              <w:t>DILUTION</w:t>
            </w:r>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S-10</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40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600" w:type="dxa"/>
            <w:vAlign w:val="bottom"/>
            <w:gridSpan w:val="32"/>
          </w:tcPr>
          <w:p>
            <w:pPr>
              <w:spacing w:after="0" w:line="176" w:lineRule="exact"/>
              <w:rPr>
                <w:sz w:val="20"/>
                <w:szCs w:val="20"/>
                <w:color w:val="auto"/>
              </w:rPr>
            </w:pPr>
            <w:r>
              <w:rPr>
                <w:rFonts w:ascii="Arial" w:cs="Arial" w:eastAsia="Arial" w:hAnsi="Arial"/>
                <w:sz w:val="18"/>
                <w:szCs w:val="18"/>
                <w:color w:val="0000EE"/>
              </w:rPr>
              <w:t>DESCRIPTION OF THE SECURITIES WE ARE OFFERING</w:t>
            </w:r>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S-11</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3160" w:type="dxa"/>
            <w:vAlign w:val="bottom"/>
            <w:tcBorders>
              <w:bottom w:val="single" w:sz="8" w:color="0000EE"/>
            </w:tcBorders>
            <w:gridSpan w:val="18"/>
            <w:shd w:val="clear" w:color="auto" w:fill="CCEEFF"/>
          </w:tcPr>
          <w:p>
            <w:pPr>
              <w:spacing w:after="0" w:line="176" w:lineRule="exact"/>
              <w:rPr>
                <w:sz w:val="20"/>
                <w:szCs w:val="20"/>
                <w:color w:val="auto"/>
              </w:rPr>
            </w:pPr>
            <w:r>
              <w:rPr>
                <w:rFonts w:ascii="Arial" w:cs="Arial" w:eastAsia="Arial" w:hAnsi="Arial"/>
                <w:sz w:val="18"/>
                <w:szCs w:val="18"/>
                <w:color w:val="0000EE"/>
                <w:w w:val="96"/>
              </w:rPr>
              <w:t>PRIVATE PLACEMENT TRANSACTION</w:t>
            </w:r>
          </w:p>
        </w:tc>
        <w:tc>
          <w:tcPr>
            <w:tcW w:w="7440" w:type="dxa"/>
            <w:vAlign w:val="bottom"/>
            <w:tcBorders>
              <w:bottom w:val="single" w:sz="8" w:color="CCEEFF"/>
            </w:tcBorders>
            <w:gridSpan w:val="14"/>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S-12</w:t>
            </w:r>
          </w:p>
        </w:tc>
      </w:tr>
      <w:tr>
        <w:trPr>
          <w:trHeight w:val="176"/>
        </w:trPr>
        <w:tc>
          <w:tcPr>
            <w:tcW w:w="10600" w:type="dxa"/>
            <w:vAlign w:val="bottom"/>
            <w:gridSpan w:val="32"/>
          </w:tcPr>
          <w:p>
            <w:pPr>
              <w:spacing w:after="0" w:line="176" w:lineRule="exact"/>
              <w:rPr>
                <w:sz w:val="20"/>
                <w:szCs w:val="20"/>
                <w:color w:val="auto"/>
              </w:rPr>
            </w:pPr>
            <w:r>
              <w:rPr>
                <w:rFonts w:ascii="Arial" w:cs="Arial" w:eastAsia="Arial" w:hAnsi="Arial"/>
                <w:sz w:val="18"/>
                <w:szCs w:val="18"/>
                <w:color w:val="0000EE"/>
              </w:rPr>
              <w:t>PLAN OF DISTRIBUTION</w:t>
            </w:r>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S-12</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460" w:type="dxa"/>
            <w:vAlign w:val="bottom"/>
            <w:tcBorders>
              <w:bottom w:val="single" w:sz="8" w:color="0000EE"/>
            </w:tcBorders>
            <w:gridSpan w:val="7"/>
            <w:shd w:val="clear" w:color="auto" w:fill="CCEEFF"/>
          </w:tcPr>
          <w:p>
            <w:pPr>
              <w:spacing w:after="0" w:line="176" w:lineRule="exact"/>
              <w:rPr>
                <w:sz w:val="20"/>
                <w:szCs w:val="20"/>
                <w:color w:val="auto"/>
              </w:rPr>
            </w:pPr>
            <w:r>
              <w:rPr>
                <w:rFonts w:ascii="Arial" w:cs="Arial" w:eastAsia="Arial" w:hAnsi="Arial"/>
                <w:sz w:val="18"/>
                <w:szCs w:val="18"/>
                <w:color w:val="0000EE"/>
                <w:w w:val="96"/>
              </w:rPr>
              <w:t>LEGAL MATTERS</w:t>
            </w:r>
          </w:p>
        </w:tc>
        <w:tc>
          <w:tcPr>
            <w:tcW w:w="9140" w:type="dxa"/>
            <w:vAlign w:val="bottom"/>
            <w:tcBorders>
              <w:bottom w:val="single" w:sz="8" w:color="CCEEFF"/>
            </w:tcBorders>
            <w:gridSpan w:val="25"/>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S-14</w:t>
            </w:r>
          </w:p>
        </w:tc>
      </w:tr>
      <w:tr>
        <w:trPr>
          <w:trHeight w:val="176"/>
        </w:trPr>
        <w:tc>
          <w:tcPr>
            <w:tcW w:w="10600" w:type="dxa"/>
            <w:vAlign w:val="bottom"/>
            <w:gridSpan w:val="32"/>
          </w:tcPr>
          <w:p>
            <w:pPr>
              <w:spacing w:after="0" w:line="176" w:lineRule="exact"/>
              <w:rPr>
                <w:sz w:val="20"/>
                <w:szCs w:val="20"/>
                <w:color w:val="auto"/>
              </w:rPr>
            </w:pPr>
            <w:r>
              <w:rPr>
                <w:rFonts w:ascii="Arial" w:cs="Arial" w:eastAsia="Arial" w:hAnsi="Arial"/>
                <w:sz w:val="18"/>
                <w:szCs w:val="18"/>
                <w:color w:val="0000EE"/>
              </w:rPr>
              <w:t>EXPERTS</w:t>
            </w:r>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S-14</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3820" w:type="dxa"/>
            <w:vAlign w:val="bottom"/>
            <w:tcBorders>
              <w:bottom w:val="single" w:sz="8" w:color="0000EE"/>
            </w:tcBorders>
            <w:gridSpan w:val="23"/>
            <w:shd w:val="clear" w:color="auto" w:fill="CCEEFF"/>
          </w:tcPr>
          <w:p>
            <w:pPr>
              <w:spacing w:after="0" w:line="176" w:lineRule="exact"/>
              <w:rPr>
                <w:sz w:val="20"/>
                <w:szCs w:val="20"/>
                <w:color w:val="auto"/>
              </w:rPr>
            </w:pPr>
            <w:r>
              <w:rPr>
                <w:rFonts w:ascii="Arial" w:cs="Arial" w:eastAsia="Arial" w:hAnsi="Arial"/>
                <w:sz w:val="18"/>
                <w:szCs w:val="18"/>
                <w:color w:val="0000EE"/>
                <w:w w:val="97"/>
              </w:rPr>
              <w:t>WHERE YOU CAN FIND MORE INFORMATION</w:t>
            </w:r>
          </w:p>
        </w:tc>
        <w:tc>
          <w:tcPr>
            <w:tcW w:w="6780" w:type="dxa"/>
            <w:vAlign w:val="bottom"/>
            <w:tcBorders>
              <w:bottom w:val="single" w:sz="8" w:color="CCEEFF"/>
            </w:tcBorders>
            <w:gridSpan w:val="9"/>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S-14</w:t>
            </w:r>
          </w:p>
        </w:tc>
      </w:tr>
      <w:tr>
        <w:trPr>
          <w:trHeight w:val="175"/>
        </w:trPr>
        <w:tc>
          <w:tcPr>
            <w:tcW w:w="10600" w:type="dxa"/>
            <w:vAlign w:val="bottom"/>
            <w:gridSpan w:val="32"/>
          </w:tcPr>
          <w:p>
            <w:pPr>
              <w:spacing w:after="0" w:line="176" w:lineRule="exact"/>
              <w:rPr>
                <w:sz w:val="20"/>
                <w:szCs w:val="20"/>
                <w:color w:val="auto"/>
              </w:rPr>
            </w:pPr>
            <w:r>
              <w:rPr>
                <w:rFonts w:ascii="Arial" w:cs="Arial" w:eastAsia="Arial" w:hAnsi="Arial"/>
                <w:sz w:val="18"/>
                <w:szCs w:val="18"/>
                <w:color w:val="0000EE"/>
              </w:rPr>
              <w:t>INCORPORATION OF CERTAIN DOCUMENTS BY REFERENCE</w:t>
            </w:r>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S-15</w:t>
            </w:r>
          </w:p>
        </w:tc>
      </w:tr>
      <w:tr>
        <w:trPr>
          <w:trHeight w:val="473"/>
        </w:trPr>
        <w:tc>
          <w:tcPr>
            <w:tcW w:w="780" w:type="dxa"/>
            <w:vAlign w:val="bottom"/>
            <w:tcBorders>
              <w:top w:val="single" w:sz="8" w:color="0000EE"/>
              <w:bottom w:val="single" w:sz="8" w:color="CCEEFF"/>
            </w:tcBorders>
          </w:tcPr>
          <w:p>
            <w:pPr>
              <w:spacing w:after="0"/>
              <w:rPr>
                <w:sz w:val="24"/>
                <w:szCs w:val="24"/>
                <w:color w:val="auto"/>
              </w:rPr>
            </w:pPr>
          </w:p>
        </w:tc>
        <w:tc>
          <w:tcPr>
            <w:tcW w:w="60" w:type="dxa"/>
            <w:vAlign w:val="bottom"/>
            <w:tcBorders>
              <w:top w:val="single" w:sz="8" w:color="0000EE"/>
              <w:bottom w:val="single" w:sz="8" w:color="CCEEFF"/>
            </w:tcBorders>
          </w:tcPr>
          <w:p>
            <w:pPr>
              <w:spacing w:after="0"/>
              <w:rPr>
                <w:sz w:val="24"/>
                <w:szCs w:val="24"/>
                <w:color w:val="auto"/>
              </w:rPr>
            </w:pPr>
          </w:p>
        </w:tc>
        <w:tc>
          <w:tcPr>
            <w:tcW w:w="20" w:type="dxa"/>
            <w:vAlign w:val="bottom"/>
            <w:tcBorders>
              <w:top w:val="single" w:sz="8" w:color="0000EE"/>
              <w:bottom w:val="single" w:sz="8" w:color="CCEEFF"/>
            </w:tcBorders>
          </w:tcPr>
          <w:p>
            <w:pPr>
              <w:spacing w:after="0"/>
              <w:rPr>
                <w:sz w:val="24"/>
                <w:szCs w:val="24"/>
                <w:color w:val="auto"/>
              </w:rPr>
            </w:pPr>
          </w:p>
        </w:tc>
        <w:tc>
          <w:tcPr>
            <w:tcW w:w="400" w:type="dxa"/>
            <w:vAlign w:val="bottom"/>
            <w:tcBorders>
              <w:top w:val="single" w:sz="8" w:color="0000EE"/>
              <w:bottom w:val="single" w:sz="8" w:color="CCEEFF"/>
            </w:tcBorders>
          </w:tcPr>
          <w:p>
            <w:pPr>
              <w:spacing w:after="0"/>
              <w:rPr>
                <w:sz w:val="24"/>
                <w:szCs w:val="24"/>
                <w:color w:val="auto"/>
              </w:rPr>
            </w:pPr>
          </w:p>
        </w:tc>
        <w:tc>
          <w:tcPr>
            <w:tcW w:w="20" w:type="dxa"/>
            <w:vAlign w:val="bottom"/>
            <w:tcBorders>
              <w:top w:val="single" w:sz="8" w:color="0000EE"/>
              <w:bottom w:val="single" w:sz="8" w:color="CCEEFF"/>
            </w:tcBorders>
          </w:tcPr>
          <w:p>
            <w:pPr>
              <w:spacing w:after="0"/>
              <w:rPr>
                <w:sz w:val="24"/>
                <w:szCs w:val="24"/>
                <w:color w:val="auto"/>
              </w:rPr>
            </w:pPr>
          </w:p>
        </w:tc>
        <w:tc>
          <w:tcPr>
            <w:tcW w:w="60" w:type="dxa"/>
            <w:vAlign w:val="bottom"/>
            <w:tcBorders>
              <w:top w:val="single" w:sz="8" w:color="0000EE"/>
              <w:bottom w:val="single" w:sz="8" w:color="CCEEFF"/>
            </w:tcBorders>
          </w:tcPr>
          <w:p>
            <w:pPr>
              <w:spacing w:after="0"/>
              <w:rPr>
                <w:sz w:val="24"/>
                <w:szCs w:val="24"/>
                <w:color w:val="auto"/>
              </w:rPr>
            </w:pPr>
          </w:p>
        </w:tc>
        <w:tc>
          <w:tcPr>
            <w:tcW w:w="120" w:type="dxa"/>
            <w:vAlign w:val="bottom"/>
            <w:tcBorders>
              <w:top w:val="single" w:sz="8" w:color="0000EE"/>
              <w:bottom w:val="single" w:sz="8" w:color="CCEEFF"/>
            </w:tcBorders>
          </w:tcPr>
          <w:p>
            <w:pPr>
              <w:spacing w:after="0"/>
              <w:rPr>
                <w:sz w:val="24"/>
                <w:szCs w:val="24"/>
                <w:color w:val="auto"/>
              </w:rPr>
            </w:pPr>
          </w:p>
        </w:tc>
        <w:tc>
          <w:tcPr>
            <w:tcW w:w="80" w:type="dxa"/>
            <w:vAlign w:val="bottom"/>
            <w:tcBorders>
              <w:top w:val="single" w:sz="8" w:color="0000EE"/>
              <w:bottom w:val="single" w:sz="8" w:color="CCEEFF"/>
            </w:tcBorders>
          </w:tcPr>
          <w:p>
            <w:pPr>
              <w:spacing w:after="0"/>
              <w:rPr>
                <w:sz w:val="24"/>
                <w:szCs w:val="24"/>
                <w:color w:val="auto"/>
              </w:rPr>
            </w:pPr>
          </w:p>
        </w:tc>
        <w:tc>
          <w:tcPr>
            <w:tcW w:w="40" w:type="dxa"/>
            <w:vAlign w:val="bottom"/>
            <w:tcBorders>
              <w:top w:val="single" w:sz="8" w:color="0000EE"/>
              <w:bottom w:val="single" w:sz="8" w:color="CCEEFF"/>
            </w:tcBorders>
          </w:tcPr>
          <w:p>
            <w:pPr>
              <w:spacing w:after="0"/>
              <w:rPr>
                <w:sz w:val="24"/>
                <w:szCs w:val="24"/>
                <w:color w:val="auto"/>
              </w:rPr>
            </w:pPr>
          </w:p>
        </w:tc>
        <w:tc>
          <w:tcPr>
            <w:tcW w:w="100" w:type="dxa"/>
            <w:vAlign w:val="bottom"/>
            <w:tcBorders>
              <w:top w:val="single" w:sz="8" w:color="0000EE"/>
              <w:bottom w:val="single" w:sz="8" w:color="CCEEFF"/>
            </w:tcBorders>
          </w:tcPr>
          <w:p>
            <w:pPr>
              <w:spacing w:after="0"/>
              <w:rPr>
                <w:sz w:val="24"/>
                <w:szCs w:val="24"/>
                <w:color w:val="auto"/>
              </w:rPr>
            </w:pPr>
          </w:p>
        </w:tc>
        <w:tc>
          <w:tcPr>
            <w:tcW w:w="380" w:type="dxa"/>
            <w:vAlign w:val="bottom"/>
            <w:tcBorders>
              <w:top w:val="single" w:sz="8" w:color="0000EE"/>
              <w:bottom w:val="single" w:sz="8" w:color="CCEEFF"/>
            </w:tcBorders>
          </w:tcPr>
          <w:p>
            <w:pPr>
              <w:spacing w:after="0"/>
              <w:rPr>
                <w:sz w:val="24"/>
                <w:szCs w:val="24"/>
                <w:color w:val="auto"/>
              </w:rPr>
            </w:pPr>
          </w:p>
        </w:tc>
        <w:tc>
          <w:tcPr>
            <w:tcW w:w="80" w:type="dxa"/>
            <w:vAlign w:val="bottom"/>
            <w:tcBorders>
              <w:top w:val="single" w:sz="8" w:color="0000EE"/>
              <w:bottom w:val="single" w:sz="8" w:color="CCEEFF"/>
            </w:tcBorders>
          </w:tcPr>
          <w:p>
            <w:pPr>
              <w:spacing w:after="0"/>
              <w:rPr>
                <w:sz w:val="24"/>
                <w:szCs w:val="24"/>
                <w:color w:val="auto"/>
              </w:rPr>
            </w:pPr>
          </w:p>
        </w:tc>
        <w:tc>
          <w:tcPr>
            <w:tcW w:w="20" w:type="dxa"/>
            <w:vAlign w:val="bottom"/>
            <w:tcBorders>
              <w:top w:val="single" w:sz="8" w:color="0000EE"/>
              <w:bottom w:val="single" w:sz="8" w:color="CCEEFF"/>
            </w:tcBorders>
          </w:tcPr>
          <w:p>
            <w:pPr>
              <w:spacing w:after="0"/>
              <w:rPr>
                <w:sz w:val="24"/>
                <w:szCs w:val="24"/>
                <w:color w:val="auto"/>
              </w:rPr>
            </w:pPr>
          </w:p>
        </w:tc>
        <w:tc>
          <w:tcPr>
            <w:tcW w:w="40" w:type="dxa"/>
            <w:vAlign w:val="bottom"/>
            <w:tcBorders>
              <w:top w:val="single" w:sz="8" w:color="0000EE"/>
              <w:bottom w:val="single" w:sz="8" w:color="CCEEFF"/>
            </w:tcBorders>
          </w:tcPr>
          <w:p>
            <w:pPr>
              <w:spacing w:after="0"/>
              <w:rPr>
                <w:sz w:val="24"/>
                <w:szCs w:val="24"/>
                <w:color w:val="auto"/>
              </w:rPr>
            </w:pPr>
          </w:p>
        </w:tc>
        <w:tc>
          <w:tcPr>
            <w:tcW w:w="100" w:type="dxa"/>
            <w:vAlign w:val="bottom"/>
            <w:tcBorders>
              <w:top w:val="single" w:sz="8" w:color="0000EE"/>
              <w:bottom w:val="single" w:sz="8" w:color="CCEEFF"/>
            </w:tcBorders>
          </w:tcPr>
          <w:p>
            <w:pPr>
              <w:spacing w:after="0"/>
              <w:rPr>
                <w:sz w:val="24"/>
                <w:szCs w:val="24"/>
                <w:color w:val="auto"/>
              </w:rPr>
            </w:pPr>
          </w:p>
        </w:tc>
        <w:tc>
          <w:tcPr>
            <w:tcW w:w="320" w:type="dxa"/>
            <w:vAlign w:val="bottom"/>
            <w:tcBorders>
              <w:top w:val="single" w:sz="8" w:color="0000EE"/>
              <w:bottom w:val="single" w:sz="8" w:color="CCEEFF"/>
            </w:tcBorders>
          </w:tcPr>
          <w:p>
            <w:pPr>
              <w:spacing w:after="0"/>
              <w:rPr>
                <w:sz w:val="24"/>
                <w:szCs w:val="24"/>
                <w:color w:val="auto"/>
              </w:rPr>
            </w:pPr>
          </w:p>
        </w:tc>
        <w:tc>
          <w:tcPr>
            <w:tcW w:w="520" w:type="dxa"/>
            <w:vAlign w:val="bottom"/>
            <w:tcBorders>
              <w:top w:val="single" w:sz="8" w:color="0000EE"/>
              <w:bottom w:val="single" w:sz="8" w:color="CCEEFF"/>
            </w:tcBorders>
          </w:tcPr>
          <w:p>
            <w:pPr>
              <w:spacing w:after="0"/>
              <w:rPr>
                <w:sz w:val="24"/>
                <w:szCs w:val="24"/>
                <w:color w:val="auto"/>
              </w:rPr>
            </w:pPr>
          </w:p>
        </w:tc>
        <w:tc>
          <w:tcPr>
            <w:tcW w:w="20" w:type="dxa"/>
            <w:vAlign w:val="bottom"/>
            <w:tcBorders>
              <w:top w:val="single" w:sz="8" w:color="0000EE"/>
              <w:bottom w:val="single" w:sz="8" w:color="CCEEFF"/>
            </w:tcBorders>
          </w:tcPr>
          <w:p>
            <w:pPr>
              <w:spacing w:after="0"/>
              <w:rPr>
                <w:sz w:val="24"/>
                <w:szCs w:val="24"/>
                <w:color w:val="auto"/>
              </w:rPr>
            </w:pPr>
          </w:p>
        </w:tc>
        <w:tc>
          <w:tcPr>
            <w:tcW w:w="60" w:type="dxa"/>
            <w:vAlign w:val="bottom"/>
            <w:tcBorders>
              <w:top w:val="single" w:sz="8" w:color="0000EE"/>
              <w:bottom w:val="single" w:sz="8" w:color="CCEEFF"/>
            </w:tcBorders>
          </w:tcPr>
          <w:p>
            <w:pPr>
              <w:spacing w:after="0"/>
              <w:rPr>
                <w:sz w:val="24"/>
                <w:szCs w:val="24"/>
                <w:color w:val="auto"/>
              </w:rPr>
            </w:pPr>
          </w:p>
        </w:tc>
        <w:tc>
          <w:tcPr>
            <w:tcW w:w="80" w:type="dxa"/>
            <w:vAlign w:val="bottom"/>
            <w:tcBorders>
              <w:top w:val="single" w:sz="8" w:color="0000EE"/>
              <w:bottom w:val="single" w:sz="8" w:color="CCEEFF"/>
            </w:tcBorders>
          </w:tcPr>
          <w:p>
            <w:pPr>
              <w:spacing w:after="0"/>
              <w:rPr>
                <w:sz w:val="24"/>
                <w:szCs w:val="24"/>
                <w:color w:val="auto"/>
              </w:rPr>
            </w:pPr>
          </w:p>
        </w:tc>
        <w:tc>
          <w:tcPr>
            <w:tcW w:w="60" w:type="dxa"/>
            <w:vAlign w:val="bottom"/>
            <w:tcBorders>
              <w:top w:val="single" w:sz="8" w:color="0000EE"/>
              <w:bottom w:val="single" w:sz="8" w:color="CCEEFF"/>
            </w:tcBorders>
          </w:tcPr>
          <w:p>
            <w:pPr>
              <w:spacing w:after="0"/>
              <w:rPr>
                <w:sz w:val="24"/>
                <w:szCs w:val="24"/>
                <w:color w:val="auto"/>
              </w:rPr>
            </w:pPr>
          </w:p>
        </w:tc>
        <w:tc>
          <w:tcPr>
            <w:tcW w:w="80" w:type="dxa"/>
            <w:vAlign w:val="bottom"/>
            <w:tcBorders>
              <w:top w:val="single" w:sz="8" w:color="0000EE"/>
              <w:bottom w:val="single" w:sz="8" w:color="CCEEFF"/>
            </w:tcBorders>
          </w:tcPr>
          <w:p>
            <w:pPr>
              <w:spacing w:after="0"/>
              <w:rPr>
                <w:sz w:val="24"/>
                <w:szCs w:val="24"/>
                <w:color w:val="auto"/>
              </w:rPr>
            </w:pPr>
          </w:p>
        </w:tc>
        <w:tc>
          <w:tcPr>
            <w:tcW w:w="380" w:type="dxa"/>
            <w:vAlign w:val="bottom"/>
            <w:tcBorders>
              <w:top w:val="single" w:sz="8" w:color="0000EE"/>
              <w:bottom w:val="single" w:sz="8" w:color="CCEEFF"/>
            </w:tcBorders>
          </w:tcPr>
          <w:p>
            <w:pPr>
              <w:spacing w:after="0"/>
              <w:rPr>
                <w:sz w:val="24"/>
                <w:szCs w:val="24"/>
                <w:color w:val="auto"/>
              </w:rPr>
            </w:pPr>
          </w:p>
        </w:tc>
        <w:tc>
          <w:tcPr>
            <w:tcW w:w="220" w:type="dxa"/>
            <w:vAlign w:val="bottom"/>
            <w:tcBorders>
              <w:top w:val="single" w:sz="8" w:color="0000EE"/>
              <w:bottom w:val="single" w:sz="8" w:color="CCEEFF"/>
            </w:tcBorders>
          </w:tcPr>
          <w:p>
            <w:pPr>
              <w:spacing w:after="0"/>
              <w:rPr>
                <w:sz w:val="24"/>
                <w:szCs w:val="24"/>
                <w:color w:val="auto"/>
              </w:rPr>
            </w:pPr>
          </w:p>
        </w:tc>
        <w:tc>
          <w:tcPr>
            <w:tcW w:w="480" w:type="dxa"/>
            <w:vAlign w:val="bottom"/>
            <w:tcBorders>
              <w:top w:val="single" w:sz="8" w:color="0000EE"/>
              <w:bottom w:val="single" w:sz="8" w:color="CCEEFF"/>
            </w:tcBorders>
          </w:tcPr>
          <w:p>
            <w:pPr>
              <w:spacing w:after="0"/>
              <w:rPr>
                <w:sz w:val="24"/>
                <w:szCs w:val="24"/>
                <w:color w:val="auto"/>
              </w:rPr>
            </w:pPr>
          </w:p>
        </w:tc>
        <w:tc>
          <w:tcPr>
            <w:tcW w:w="40" w:type="dxa"/>
            <w:vAlign w:val="bottom"/>
            <w:tcBorders>
              <w:top w:val="single" w:sz="8" w:color="0000EE"/>
              <w:bottom w:val="single" w:sz="8" w:color="CCEEFF"/>
            </w:tcBorders>
          </w:tcPr>
          <w:p>
            <w:pPr>
              <w:spacing w:after="0"/>
              <w:rPr>
                <w:sz w:val="24"/>
                <w:szCs w:val="24"/>
                <w:color w:val="auto"/>
              </w:rPr>
            </w:pPr>
          </w:p>
        </w:tc>
        <w:tc>
          <w:tcPr>
            <w:tcW w:w="100" w:type="dxa"/>
            <w:vAlign w:val="bottom"/>
            <w:tcBorders>
              <w:top w:val="single" w:sz="8" w:color="0000EE"/>
              <w:bottom w:val="single" w:sz="8" w:color="CCEEFF"/>
            </w:tcBorders>
          </w:tcPr>
          <w:p>
            <w:pPr>
              <w:spacing w:after="0"/>
              <w:rPr>
                <w:sz w:val="24"/>
                <w:szCs w:val="24"/>
                <w:color w:val="auto"/>
              </w:rPr>
            </w:pPr>
          </w:p>
        </w:tc>
        <w:tc>
          <w:tcPr>
            <w:tcW w:w="400" w:type="dxa"/>
            <w:vAlign w:val="bottom"/>
            <w:tcBorders>
              <w:top w:val="single" w:sz="8" w:color="0000EE"/>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920" w:type="dxa"/>
            <w:vAlign w:val="bottom"/>
            <w:tcBorders>
              <w:bottom w:val="single" w:sz="8" w:color="CCEEFF"/>
            </w:tcBorders>
          </w:tcPr>
          <w:p>
            <w:pPr>
              <w:spacing w:after="0"/>
              <w:rPr>
                <w:sz w:val="24"/>
                <w:szCs w:val="24"/>
                <w:color w:val="auto"/>
              </w:rPr>
            </w:pPr>
          </w:p>
        </w:tc>
        <w:tc>
          <w:tcPr>
            <w:tcW w:w="402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2"/>
              </w:rPr>
              <w:t>Pages</w:t>
            </w:r>
          </w:p>
        </w:tc>
      </w:tr>
      <w:tr>
        <w:trPr>
          <w:trHeight w:val="216"/>
        </w:trPr>
        <w:tc>
          <w:tcPr>
            <w:tcW w:w="10600" w:type="dxa"/>
            <w:vAlign w:val="bottom"/>
            <w:gridSpan w:val="32"/>
            <w:shd w:val="clear" w:color="auto" w:fill="CCEEFF"/>
          </w:tcPr>
          <w:p>
            <w:pPr>
              <w:spacing w:after="0"/>
              <w:rPr>
                <w:sz w:val="20"/>
                <w:szCs w:val="20"/>
                <w:color w:val="auto"/>
              </w:rPr>
            </w:pPr>
            <w:r>
              <w:rPr>
                <w:rFonts w:ascii="Arial" w:cs="Arial" w:eastAsia="Arial" w:hAnsi="Arial"/>
                <w:sz w:val="18"/>
                <w:szCs w:val="18"/>
                <w:b w:val="1"/>
                <w:bCs w:val="1"/>
                <w:color w:val="auto"/>
              </w:rPr>
              <w:t>PROSPECTUS</w:t>
            </w:r>
          </w:p>
        </w:tc>
        <w:tc>
          <w:tcPr>
            <w:tcW w:w="640" w:type="dxa"/>
            <w:vAlign w:val="bottom"/>
            <w:shd w:val="clear" w:color="auto" w:fill="CCEEFF"/>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196"/>
        </w:trPr>
        <w:tc>
          <w:tcPr>
            <w:tcW w:w="2200" w:type="dxa"/>
            <w:vAlign w:val="bottom"/>
            <w:tcBorders>
              <w:bottom w:val="single" w:sz="8" w:color="0000EE"/>
            </w:tcBorders>
            <w:gridSpan w:val="14"/>
            <w:shd w:val="clear" w:color="auto" w:fill="CCEEFF"/>
          </w:tcPr>
          <w:p>
            <w:pPr>
              <w:spacing w:after="0" w:line="176" w:lineRule="exact"/>
              <w:rPr>
                <w:sz w:val="20"/>
                <w:szCs w:val="20"/>
                <w:color w:val="auto"/>
              </w:rPr>
            </w:pPr>
            <w:r>
              <w:rPr>
                <w:rFonts w:ascii="Arial" w:cs="Arial" w:eastAsia="Arial" w:hAnsi="Arial"/>
                <w:sz w:val="18"/>
                <w:szCs w:val="18"/>
                <w:b w:val="1"/>
                <w:bCs w:val="1"/>
                <w:color w:val="0000EE"/>
                <w:w w:val="98"/>
              </w:rPr>
              <w:t>PROSPECTUS SUMMARY</w:t>
            </w:r>
          </w:p>
        </w:tc>
        <w:tc>
          <w:tcPr>
            <w:tcW w:w="8400" w:type="dxa"/>
            <w:vAlign w:val="bottom"/>
            <w:tcBorders>
              <w:bottom w:val="single" w:sz="8" w:color="CCEEFF"/>
            </w:tcBorders>
            <w:gridSpan w:val="18"/>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1</w:t>
            </w:r>
          </w:p>
        </w:tc>
      </w:tr>
      <w:tr>
        <w:trPr>
          <w:trHeight w:val="175"/>
        </w:trPr>
        <w:tc>
          <w:tcPr>
            <w:tcW w:w="10600" w:type="dxa"/>
            <w:vAlign w:val="bottom"/>
            <w:gridSpan w:val="32"/>
          </w:tcPr>
          <w:p>
            <w:pPr>
              <w:spacing w:after="0" w:line="176" w:lineRule="exact"/>
              <w:rPr>
                <w:sz w:val="20"/>
                <w:szCs w:val="20"/>
                <w:color w:val="auto"/>
              </w:rPr>
            </w:pPr>
            <w:r>
              <w:rPr>
                <w:rFonts w:ascii="Arial" w:cs="Arial" w:eastAsia="Arial" w:hAnsi="Arial"/>
                <w:sz w:val="18"/>
                <w:szCs w:val="18"/>
                <w:b w:val="1"/>
                <w:bCs w:val="1"/>
                <w:color w:val="0000EE"/>
              </w:rPr>
              <w:t>RISK FACTORS</w:t>
            </w:r>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79"/>
              </w:rPr>
              <w:t>4</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5660" w:type="dxa"/>
            <w:vAlign w:val="bottom"/>
            <w:tcBorders>
              <w:bottom w:val="single" w:sz="8" w:color="0000EE"/>
            </w:tcBorders>
            <w:gridSpan w:val="30"/>
            <w:shd w:val="clear" w:color="auto" w:fill="CCEEFF"/>
          </w:tcPr>
          <w:p>
            <w:pPr>
              <w:spacing w:after="0" w:line="176" w:lineRule="exact"/>
              <w:rPr>
                <w:sz w:val="20"/>
                <w:szCs w:val="20"/>
                <w:color w:val="auto"/>
              </w:rPr>
            </w:pPr>
            <w:r>
              <w:rPr>
                <w:rFonts w:ascii="Arial" w:cs="Arial" w:eastAsia="Arial" w:hAnsi="Arial"/>
                <w:sz w:val="18"/>
                <w:szCs w:val="18"/>
                <w:b w:val="1"/>
                <w:bCs w:val="1"/>
                <w:color w:val="0000EE"/>
                <w:w w:val="99"/>
              </w:rPr>
              <w:t>SPECIAL NOTE REGARDING FORWARD-LOOKING STATEMENTS</w:t>
            </w:r>
          </w:p>
        </w:tc>
        <w:tc>
          <w:tcPr>
            <w:tcW w:w="4940" w:type="dxa"/>
            <w:vAlign w:val="bottom"/>
            <w:tcBorders>
              <w:bottom w:val="single" w:sz="8" w:color="CCEEFF"/>
            </w:tcBorders>
            <w:gridSpan w:val="2"/>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5</w:t>
            </w:r>
          </w:p>
        </w:tc>
      </w:tr>
      <w:tr>
        <w:trPr>
          <w:trHeight w:val="175"/>
        </w:trPr>
        <w:tc>
          <w:tcPr>
            <w:tcW w:w="10600" w:type="dxa"/>
            <w:vAlign w:val="bottom"/>
            <w:gridSpan w:val="32"/>
          </w:tcPr>
          <w:p>
            <w:pPr>
              <w:spacing w:after="0" w:line="176" w:lineRule="exact"/>
              <w:rPr>
                <w:sz w:val="20"/>
                <w:szCs w:val="20"/>
                <w:color w:val="auto"/>
              </w:rPr>
            </w:pPr>
            <w:r>
              <w:rPr>
                <w:rFonts w:ascii="Arial" w:cs="Arial" w:eastAsia="Arial" w:hAnsi="Arial"/>
                <w:sz w:val="18"/>
                <w:szCs w:val="18"/>
                <w:b w:val="1"/>
                <w:bCs w:val="1"/>
                <w:color w:val="0000EE"/>
              </w:rPr>
              <w:t>USE OF PROCEEDS</w:t>
            </w:r>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79"/>
              </w:rPr>
              <w:t>6</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6"/>
        </w:trPr>
        <w:tc>
          <w:tcPr>
            <w:tcW w:w="10600" w:type="dxa"/>
            <w:vAlign w:val="bottom"/>
            <w:gridSpan w:val="32"/>
            <w:shd w:val="clear" w:color="auto" w:fill="CCEEFF"/>
          </w:tcPr>
          <w:p>
            <w:pPr>
              <w:spacing w:after="0" w:line="176" w:lineRule="exact"/>
              <w:rPr>
                <w:sz w:val="20"/>
                <w:szCs w:val="20"/>
                <w:color w:val="auto"/>
              </w:rPr>
            </w:pPr>
            <w:r>
              <w:rPr>
                <w:rFonts w:ascii="Arial" w:cs="Arial" w:eastAsia="Arial" w:hAnsi="Arial"/>
                <w:sz w:val="18"/>
                <w:szCs w:val="18"/>
                <w:b w:val="1"/>
                <w:bCs w:val="1"/>
                <w:color w:val="0000EE"/>
              </w:rPr>
              <w:t>PLAN OF DISTRIBUTION</w:t>
            </w:r>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7</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40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600" w:type="dxa"/>
            <w:vAlign w:val="bottom"/>
            <w:gridSpan w:val="32"/>
          </w:tcPr>
          <w:p>
            <w:pPr>
              <w:spacing w:after="0" w:line="176" w:lineRule="exact"/>
              <w:rPr>
                <w:sz w:val="20"/>
                <w:szCs w:val="20"/>
                <w:color w:val="auto"/>
              </w:rPr>
            </w:pPr>
            <w:r>
              <w:rPr>
                <w:rFonts w:ascii="Arial" w:cs="Arial" w:eastAsia="Arial" w:hAnsi="Arial"/>
                <w:sz w:val="18"/>
                <w:szCs w:val="18"/>
                <w:b w:val="1"/>
                <w:bCs w:val="1"/>
                <w:color w:val="0000EE"/>
              </w:rPr>
              <w:t>DESCRIPTION OF COMMON STOCK</w:t>
            </w:r>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79"/>
              </w:rPr>
              <w:t>9</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32"/>
            <w:shd w:val="clear" w:color="auto" w:fill="CCEEFF"/>
          </w:tcPr>
          <w:p>
            <w:pPr>
              <w:spacing w:after="0" w:line="176" w:lineRule="exact"/>
              <w:rPr>
                <w:sz w:val="20"/>
                <w:szCs w:val="20"/>
                <w:color w:val="auto"/>
              </w:rPr>
            </w:pPr>
            <w:r>
              <w:rPr>
                <w:rFonts w:ascii="Arial" w:cs="Arial" w:eastAsia="Arial" w:hAnsi="Arial"/>
                <w:sz w:val="18"/>
                <w:szCs w:val="18"/>
                <w:b w:val="1"/>
                <w:bCs w:val="1"/>
                <w:color w:val="0000EE"/>
              </w:rPr>
              <w:t>DESCRIPTION OF PREFERRED STOCK</w:t>
            </w:r>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10</w:t>
            </w:r>
          </w:p>
        </w:tc>
      </w:tr>
      <w:tr>
        <w:trPr>
          <w:trHeight w:val="176"/>
        </w:trPr>
        <w:tc>
          <w:tcPr>
            <w:tcW w:w="3360" w:type="dxa"/>
            <w:vAlign w:val="bottom"/>
            <w:tcBorders>
              <w:top w:val="single" w:sz="8" w:color="0000EE"/>
            </w:tcBorders>
            <w:gridSpan w:val="21"/>
          </w:tcPr>
          <w:p>
            <w:pPr>
              <w:spacing w:after="0" w:line="176" w:lineRule="exact"/>
              <w:rPr>
                <w:sz w:val="20"/>
                <w:szCs w:val="20"/>
                <w:color w:val="auto"/>
              </w:rPr>
            </w:pPr>
            <w:r>
              <w:rPr>
                <w:rFonts w:ascii="Arial" w:cs="Arial" w:eastAsia="Arial" w:hAnsi="Arial"/>
                <w:sz w:val="18"/>
                <w:szCs w:val="18"/>
                <w:b w:val="1"/>
                <w:bCs w:val="1"/>
                <w:color w:val="0000EE"/>
              </w:rPr>
              <w:t>DESCRIPTION OF WARRANTS</w:t>
            </w:r>
          </w:p>
        </w:tc>
        <w:tc>
          <w:tcPr>
            <w:tcW w:w="7240" w:type="dxa"/>
            <w:vAlign w:val="bottom"/>
            <w:tcBorders>
              <w:top w:val="single" w:sz="8" w:color="CCEEFF"/>
            </w:tcBorders>
            <w:gridSpan w:val="11"/>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11</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3220" w:type="dxa"/>
            <w:vAlign w:val="bottom"/>
            <w:tcBorders>
              <w:bottom w:val="single" w:sz="8" w:color="0000EE"/>
            </w:tcBorders>
            <w:gridSpan w:val="19"/>
            <w:shd w:val="clear" w:color="auto" w:fill="CCEEFF"/>
          </w:tcPr>
          <w:p>
            <w:pPr>
              <w:spacing w:after="0" w:line="176" w:lineRule="exact"/>
              <w:rPr>
                <w:sz w:val="20"/>
                <w:szCs w:val="20"/>
                <w:color w:val="auto"/>
              </w:rPr>
            </w:pPr>
            <w:r>
              <w:rPr>
                <w:rFonts w:ascii="Arial" w:cs="Arial" w:eastAsia="Arial" w:hAnsi="Arial"/>
                <w:sz w:val="18"/>
                <w:szCs w:val="18"/>
                <w:b w:val="1"/>
                <w:bCs w:val="1"/>
                <w:color w:val="0000EE"/>
                <w:w w:val="99"/>
              </w:rPr>
              <w:t>DESCRIPTION OF DEBT SECURITIES</w:t>
            </w:r>
          </w:p>
        </w:tc>
        <w:tc>
          <w:tcPr>
            <w:tcW w:w="7380" w:type="dxa"/>
            <w:vAlign w:val="bottom"/>
            <w:tcBorders>
              <w:bottom w:val="single" w:sz="8" w:color="CCEEFF"/>
            </w:tcBorders>
            <w:gridSpan w:val="13"/>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13</w:t>
            </w:r>
          </w:p>
        </w:tc>
      </w:tr>
      <w:tr>
        <w:trPr>
          <w:trHeight w:val="175"/>
        </w:trPr>
        <w:tc>
          <w:tcPr>
            <w:tcW w:w="10600" w:type="dxa"/>
            <w:vAlign w:val="bottom"/>
            <w:gridSpan w:val="32"/>
          </w:tcPr>
          <w:p>
            <w:pPr>
              <w:spacing w:after="0" w:line="176" w:lineRule="exact"/>
              <w:rPr>
                <w:sz w:val="20"/>
                <w:szCs w:val="20"/>
                <w:color w:val="auto"/>
              </w:rPr>
            </w:pPr>
            <w:r>
              <w:rPr>
                <w:rFonts w:ascii="Arial" w:cs="Arial" w:eastAsia="Arial" w:hAnsi="Arial"/>
                <w:sz w:val="18"/>
                <w:szCs w:val="18"/>
                <w:b w:val="1"/>
                <w:bCs w:val="1"/>
                <w:color w:val="0000EE"/>
              </w:rPr>
              <w:t>DESCRIPTION OF RIGHTS</w:t>
            </w:r>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19</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32"/>
            <w:shd w:val="clear" w:color="auto" w:fill="CCEEFF"/>
          </w:tcPr>
          <w:p>
            <w:pPr>
              <w:spacing w:after="0" w:line="176" w:lineRule="exact"/>
              <w:rPr>
                <w:sz w:val="20"/>
                <w:szCs w:val="20"/>
                <w:color w:val="auto"/>
              </w:rPr>
            </w:pPr>
            <w:r>
              <w:rPr>
                <w:rFonts w:ascii="Arial" w:cs="Arial" w:eastAsia="Arial" w:hAnsi="Arial"/>
                <w:sz w:val="18"/>
                <w:szCs w:val="18"/>
                <w:b w:val="1"/>
                <w:bCs w:val="1"/>
                <w:color w:val="0000EE"/>
              </w:rPr>
              <w:t>DESCRIPTION OF UNITS</w:t>
            </w:r>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20</w:t>
            </w:r>
          </w:p>
        </w:tc>
      </w:tr>
      <w:tr>
        <w:trPr>
          <w:trHeight w:val="175"/>
        </w:trPr>
        <w:tc>
          <w:tcPr>
            <w:tcW w:w="2140" w:type="dxa"/>
            <w:vAlign w:val="bottom"/>
            <w:tcBorders>
              <w:top w:val="single" w:sz="8" w:color="0000EE"/>
            </w:tcBorders>
            <w:gridSpan w:val="12"/>
          </w:tcPr>
          <w:p>
            <w:pPr>
              <w:spacing w:after="0" w:line="176" w:lineRule="exact"/>
              <w:rPr>
                <w:sz w:val="20"/>
                <w:szCs w:val="20"/>
                <w:color w:val="auto"/>
              </w:rPr>
            </w:pPr>
            <w:r>
              <w:rPr>
                <w:rFonts w:ascii="Arial" w:cs="Arial" w:eastAsia="Arial" w:hAnsi="Arial"/>
                <w:sz w:val="18"/>
                <w:szCs w:val="18"/>
                <w:b w:val="1"/>
                <w:bCs w:val="1"/>
                <w:color w:val="0000EE"/>
              </w:rPr>
              <w:t>LEGAL MATTERS</w:t>
            </w:r>
          </w:p>
        </w:tc>
        <w:tc>
          <w:tcPr>
            <w:tcW w:w="8460" w:type="dxa"/>
            <w:vAlign w:val="bottom"/>
            <w:tcBorders>
              <w:top w:val="single" w:sz="8" w:color="CCEEFF"/>
            </w:tcBorders>
            <w:gridSpan w:val="20"/>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23</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840" w:type="dxa"/>
            <w:vAlign w:val="bottom"/>
            <w:tcBorders>
              <w:bottom w:val="single" w:sz="8" w:color="0000EE"/>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0000EE"/>
                <w:w w:val="97"/>
              </w:rPr>
              <w:t>EXPERTS</w:t>
            </w:r>
          </w:p>
        </w:tc>
        <w:tc>
          <w:tcPr>
            <w:tcW w:w="9760" w:type="dxa"/>
            <w:vAlign w:val="bottom"/>
            <w:tcBorders>
              <w:bottom w:val="single" w:sz="8" w:color="CCEEFF"/>
            </w:tcBorders>
            <w:gridSpan w:val="30"/>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23</w:t>
            </w:r>
          </w:p>
        </w:tc>
      </w:tr>
      <w:tr>
        <w:trPr>
          <w:trHeight w:val="175"/>
        </w:trPr>
        <w:tc>
          <w:tcPr>
            <w:tcW w:w="10600" w:type="dxa"/>
            <w:vAlign w:val="bottom"/>
            <w:gridSpan w:val="32"/>
          </w:tcPr>
          <w:p>
            <w:pPr>
              <w:spacing w:after="0" w:line="176" w:lineRule="exact"/>
              <w:rPr>
                <w:sz w:val="20"/>
                <w:szCs w:val="20"/>
                <w:color w:val="auto"/>
              </w:rPr>
            </w:pPr>
            <w:r>
              <w:rPr>
                <w:rFonts w:ascii="Arial" w:cs="Arial" w:eastAsia="Arial" w:hAnsi="Arial"/>
                <w:sz w:val="18"/>
                <w:szCs w:val="18"/>
                <w:b w:val="1"/>
                <w:bCs w:val="1"/>
                <w:color w:val="0000EE"/>
              </w:rPr>
              <w:t>WHERE YOU CAN FIND MORE INFORMATION</w:t>
            </w:r>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23</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10600" w:type="dxa"/>
            <w:vAlign w:val="bottom"/>
            <w:gridSpan w:val="32"/>
            <w:shd w:val="clear" w:color="auto" w:fill="CCEEFF"/>
          </w:tcPr>
          <w:p>
            <w:pPr>
              <w:spacing w:after="0" w:line="176" w:lineRule="exact"/>
              <w:rPr>
                <w:sz w:val="20"/>
                <w:szCs w:val="20"/>
                <w:color w:val="auto"/>
              </w:rPr>
            </w:pPr>
            <w:r>
              <w:rPr>
                <w:rFonts w:ascii="Arial" w:cs="Arial" w:eastAsia="Arial" w:hAnsi="Arial"/>
                <w:sz w:val="18"/>
                <w:szCs w:val="18"/>
                <w:b w:val="1"/>
                <w:bCs w:val="1"/>
                <w:color w:val="0000EE"/>
              </w:rPr>
              <w:t>INCORPORATION OF DOCUMENTS BY REFERENCE</w:t>
            </w:r>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23</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40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You should rely only on the information incorporated by reference or provided in this prospectus supplement and the accompanying prospectus. Neither we nor the placement agent have authorized anyone to provide you with different information. If anyone provides you with different or inconsistent information, you should not rely on it. This prospectus supplement and the accompanying prospectus do not constitute an offer to sell, or a solicitation of an offer to purchase, the securities offered by this prospectus supplement and the accompanying prospectus in any jurisdiction where it is unlawful to make such offer or solicitation. You should assume that the information contained in this prospectus supplement or the accompanying prospectus, or any document incorporated by reference in this prospectus supplement or the accompanying prospectus, is accurate only as of the date of those respective documents. Neither the delivery of this prospectus supplement nor any distribution of securities pursuant to this prospectus supplement shall, under any circumstances, create any implication that there has been no change in the information set forth or incorporated by reference into this prospectus supplement or in our affairs since the date of this prospectus supplement. Our business, financial condition, results of operations and prospects may have changed since that date.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47186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7875" cy="4718685"/>
                    </a:xfrm>
                    <a:prstGeom prst="rect">
                      <a:avLst/>
                    </a:prstGeom>
                    <a:noFill/>
                  </pic:spPr>
                </pic:pic>
              </a:graphicData>
            </a:graphic>
          </wp:anchor>
        </w:drawing>
        <w:t>ABOUT THIS PROSPECTUS SUPPLEMENT</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 registration statement on Form S-3 (File No. 333-250966) utilizing a shelf registration process relating to the securities described in this prospectus supplement was initially filed with the Securities and Exchange Commission, or the SEC, on November 25, 2020 and was declared effective on December 4, 2020.</w:t>
      </w:r>
    </w:p>
    <w:p>
      <w:pPr>
        <w:spacing w:after="0" w:line="184"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This document is in two parts. The first part is this prospectus supplement, which describes the specific terms of this offering of securities. The second part is the accompanying prospectus, which provides more general information, some of which may not apply to this offering. The information included or incorporated by reference in this prospectus supplement also adds to, updates and changes information contained or incorporated by reference in the accompanying prospectus. It is also important for you to read and consider all information contained in this prospectus supplement and the accompanying prospectus, including the documents we have referred you to in the section entitled “Where You Can Find More Information” below in this prospectus supplement. If information included or incorporated by reference in this prospectus supplement is inconsistent with the accompanying prospectus or the information incorporated by reference therein, then this prospectus supplement or the information incorporated by reference in this prospectus supplement will apply and will supersede the information in the accompanying prospectus and the documents incorporated by reference therein. You should assume that the information contained in this prospectus supplement, the accompanying prospectus and the documents incorporated by reference is accurate only as of their respective dates.</w:t>
      </w:r>
    </w:p>
    <w:p>
      <w:pPr>
        <w:spacing w:after="0" w:line="16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have not, and the placement agent has not, authorized any person to provide you with any information or to make any representation other than as contained in this prospectus supplement or in the accompanying prospectus and the information incorporated by reference herein and therein. We and the placement agent do not take any responsibility for, and can provide no assurance as to the reliability of, any information that others may provide you. The information appearing or incorporated by reference in this prospectus supplement and the accompanying prospectus is accurate only as of the date of this prospectus supplement or the date of the document in which incorporated information appears unless otherwise noted in such documents. Our business, financial condition, results of operations and prospects may have changed since those dates.</w:t>
      </w:r>
    </w:p>
    <w:p>
      <w:pPr>
        <w:spacing w:after="0" w:line="16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distribution of this prospectus supplement and the accompanying prospectus and the offering of the common stock in certain jurisdictions may be restricted by law. We are not, and the placement agent is not, making an offer of the common stock in any jurisdiction where the offer is not permitted. Persons who come into possession of this prospectus supplement and the accompanying prospectus should inform themselves about and observe any such restrictions. This prospectus supplement and the accompanying prospectus do not constitute, and may not be used in connection with, an offer or solicitation by anyone in any jurisdiction in which such offer or solicitation is not authorized or in which the person making such offer or solicitation is not qualified to do so or to any person to whom it is unlawful to make such offer or solicitation.</w:t>
      </w:r>
    </w:p>
    <w:p>
      <w:pPr>
        <w:spacing w:after="0" w:line="17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Unless the context indicates otherwise, in this prospectus supplement and the accompanying prospectus the terms, the terms “Microbot,” the “Company,” “we,” “our” or “us” in this prospectus supplement refer to Microbot Medical Inc. and its wholly-owned subsidiaries.</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850" w:right="49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65017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27875" cy="6501765"/>
                    </a:xfrm>
                    <a:prstGeom prst="rect">
                      <a:avLst/>
                    </a:prstGeom>
                    <a:noFill/>
                  </pic:spPr>
                </pic:pic>
              </a:graphicData>
            </a:graphic>
          </wp:anchor>
        </w:drawing>
        <w:t>SPECIAL NOTE REGARDING FORWARD-LOOKING STATEMENTS</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This prospectus supplement and the documents incorporated by reference in this prospectus supplement include forward-looking statements within the meaning of Section 27A of the Securities Act of 1933, as amended, or the Securities Act, and Section 21E of the Securities Exchange Act of 1934, as amended, or the Exchange Act, that relate to future events or our future operations or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In some cases, you can identify forward-looking statements by terminology such as “may”, “should”, “intends”, “expects”, “plans”, “targets”, “anticipates”, “believes”, “estimates”, “will”, “would”, “predicts”, “potential”, or “continue” or the negative of these terms or other comparable terminology. These statements are only predictions and involve known and unknown risks, uncertainties and other factors. The Private Securities Litigation Reform Act of 1995 provides a “safe harbor” for such forward-looking statements. In order to comply with the terms of the safe harbor, we note that a variety of factors could cause actual results and experience to differ materially from the anticipated results or other expectations expressed in the forward-looking statements.</w:t>
      </w:r>
    </w:p>
    <w:p>
      <w:pPr>
        <w:spacing w:after="0" w:line="19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Such statements include, without limitation, all statements as to expectation or belief and statements as to our future results of operations; the progress of our research, product development and clinical programs; the need for, and timing of, additional capital and capital expenditures; partnering prospects; costs of manufacturing products; the protection of, and the need for, additional intellectual property rights; effects of regulations; the need for additional facilities; and potential market opportunities. Our actual results may vary materially from those contained in such forward-looking statements because of risks to which we are subject, including the fact that additional trials will be required to confirm the safety and demonstrate the efficacy of our planned products; uncertainty as to whether the U.S. Food and Drug Administration or other regulatory authorities will clear our proposed products for commercialization and sale; the risk that our planned clinical trials or studies could be substantially delayed beyond their expected dates or cause us to incur substantial unanticipated costs; uncertainties in our ability to obtain the capital resources needed to continue our current research and development operations and to conduct the research, preclinical development and clinical trials necessary for regulatory approvals; the uncertainty regarding the outcome of our clinical trials or studies we may conduct in the future; the uncertainty regarding the validity and enforceability of the patents underlying our proposed products; the uncertainty as to whether our preclinical studies will be replicated in humans; the uncertainty whether any of our proposed products will prove clinically safe and effective; the uncertainty of whether we will achieve significant revenue from product sales or become profitable; obsolescence of our technologies; competition from third parties; intellectual property rights of third parties; litigation risks; legal and regulatory developments in Israel; and other risks to which we are subject.</w:t>
      </w:r>
    </w:p>
    <w:p>
      <w:pPr>
        <w:spacing w:after="0" w:line="17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We have based these forward-looking statements on our current expectations and projections about future events. We believe that the assumptions and expectations reflected in such forward-looking statements are reasonable, based on information available to us on the date hereof, but we cannot assure you that these assumptions and expectations will prove to have been correct or that we will take any action that we may presently be planning. These forward-looking statements are inherently subject to known and unknown risks and uncertainties. We have included important cautionary statements in this prospectus supplement, in the documents incorporated by reference in this prospectus supplement, and in the sections in our periodic reports, including our most recent Annual Report on Form 10-K, entitled “Business,” “Risk Factors,” and “Management’s Discussion and Analysis of Financial Condition and Results of Operations,” as supplemented by our subsequent Quarterly Reports on Form 10-Q or our Current Reports on Form 8-K, discussing some of the factors that we believe could cause actual results or events to differ materially from the forward-looking statements that we are making including, but are not limited to, research and product development uncertainties, regulatory policies and approval requirements, competition from other similar businesses, market and general economic factors.</w:t>
      </w:r>
    </w:p>
    <w:p>
      <w:pPr>
        <w:spacing w:after="0" w:line="16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light of these assumptions, risks and uncertainties, the results and events discussed in the forward-looking statements contained in this prospectus supplement or in any document incorporated herein by reference might not occur. Investors are cautioned not to place undue reliance on the forward-looking statements, which speak only as of the date of this prospectus supplement or the date of the document incorporated by reference in this prospectus supplement. We are not under any obligation, and we expressly disclaim any obligation, to update or alter any forward-looking statements, whether as a result of new information, future events or otherwise. All subsequent forward-looking statements attributable to us or to any person acting on our behalf are expressly qualified in their entirety by the cautionary statements contained or referred to in this section.</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850" w:right="49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27875" cy="87566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27875" cy="8756650"/>
                    </a:xfrm>
                    <a:prstGeom prst="rect">
                      <a:avLst/>
                    </a:prstGeom>
                    <a:noFill/>
                  </pic:spPr>
                </pic:pic>
              </a:graphicData>
            </a:graphic>
          </wp:anchor>
        </w:drawing>
        <w:t>PROSPECTUS SUPPLEMENT SUMMARY</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i w:val="1"/>
          <w:iCs w:val="1"/>
          <w:color w:val="auto"/>
        </w:rPr>
        <w:t>The following summary of our business highlights some of the information contained elsewhere in or incorporated by reference into this prospectus supplement. Because this is only a summary, however, it does not contain all of the information that may be important to you. You should carefully read this prospectus supplement and the accompanying base prospectus, including the documents incorporated by reference, which are described under “Where You Can Find Additional Information” and “Incorporation of Certain Information by Reference” in this prospectus supplement. You should also carefully consider the matters discussed in the section in this prospectus supplement entitled “Risk Factors.”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are a pre-clinical medical device company specializing in the research, design and development of next generation robotic endoluminal surgery devices targeting the minimally invasive surgery space. We are primarily focused on leveraging our robotic technologies with the goal of redefining surgical robotics while improving surgical outcomes for patients.</w:t>
      </w:r>
    </w:p>
    <w:p>
      <w:pPr>
        <w:spacing w:after="0" w:line="181" w:lineRule="exact"/>
        <w:rPr>
          <w:sz w:val="20"/>
          <w:szCs w:val="20"/>
          <w:color w:val="auto"/>
        </w:rPr>
      </w:pPr>
    </w:p>
    <w:p>
      <w:pPr>
        <w:jc w:val="both"/>
        <w:ind w:firstLine="648"/>
        <w:spacing w:after="0" w:line="217" w:lineRule="auto"/>
        <w:rPr>
          <w:sz w:val="20"/>
          <w:szCs w:val="20"/>
          <w:color w:val="auto"/>
        </w:rPr>
      </w:pPr>
      <w:r>
        <w:rPr>
          <w:rFonts w:ascii="Arial" w:cs="Arial" w:eastAsia="Arial" w:hAnsi="Arial"/>
          <w:sz w:val="18"/>
          <w:szCs w:val="18"/>
          <w:color w:val="auto"/>
        </w:rPr>
        <w:t>Using our LIBERTY</w:t>
      </w:r>
      <w:r>
        <w:rPr>
          <w:rFonts w:ascii="Arial" w:cs="Arial" w:eastAsia="Arial" w:hAnsi="Arial"/>
          <w:sz w:val="29"/>
          <w:szCs w:val="29"/>
          <w:color w:val="auto"/>
          <w:vertAlign w:val="superscript"/>
        </w:rPr>
        <w:t>®</w:t>
      </w:r>
      <w:r>
        <w:rPr>
          <w:rFonts w:ascii="Arial" w:cs="Arial" w:eastAsia="Arial" w:hAnsi="Arial"/>
          <w:sz w:val="18"/>
          <w:szCs w:val="18"/>
          <w:color w:val="auto"/>
        </w:rPr>
        <w:t xml:space="preserve"> technological platform, we are developing the first ever fully disposable robot for various endovascular interventional procedures.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Concurrent Private Placement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 concurrent private placement, we are also issuing to the purchasers of our shares of common stock in this offering, series C preferred investment options to purchase up to 350,878 shares of our common stock. Each series C preferred investment option will be exercisable for one share of common stock at an exercise price of $2.075 commencing on the date of issuance and will expire five and one-half years from the initial exercise date.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Registered Direct Offerings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May 23, 2023, we entered into a securities purchase agreement with an institutional investor, pursuant to which we agreed to issue and sell in a registered direct offering (i) an aggregate of 975,000 shares of our common stock, at an offering price of $2.20 per share and (ii) pre-funded warrants exercisable for up to 234,500 shares of our common stock, at an offering price of $2.1999 per pre-funded warrant, for aggregate gross proceeds of approximately $2.66 million before deducting the placement agent fee and related offering expenses (the “Second May Offering”). We also agreed to issue to H.C. Wainwright &amp; Co., LLC or its designees preferred investment options to purchase 60,475 shares of our common stock. The registered direct offering was consummated on May 24, 2023.</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May 22, 2023, we entered into a securities purchase agreement with an institutional investor, pursuant to which we agreed to issue and sell in a registered direct offering an aggregate of 655,569 shares of our common stock, at an offering price of $2.20 per share, for aggregate gross proceeds of approximately $1.4 million before deducting the placement agent fee and related offering expenses. We also agreed to issue to H.C. Wainwright &amp; Co., LLC or its designees preferred investment options to purchase 32,778 shares of our common stock. The registered direct offering was consummated on May 23, 2023.</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Investment Options Amendment</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connection with the Second May Offering, we agreed to amend the terms of (i) the Series A preferred investment options to purchase 1,022,495 shares of our common stock for an exercise price of $4.64 per share which are scheduled to expire on October 25, 2027 and (ii) the Series B preferred investment options to purchase 1,022,495 shares of our common stock for an exercise price of $4.64 per share which were initially scheduled to expire on October 25, 2024 (the “Series B Preferred Investment Options”), in each case previously issued to the investor in October 2022 under the securities purchase agreement dated October 21, 2022, and further described in our Current Report on Form 8-K filed on October 25, 2022 (collectively, the “Existing Preferred Investment Options”), which investor also participated in the Second May Offering, such that effective upon the closing of the Second May Offering, the Existing Preferred Investment Options have a reduced exercise price of $2.20 per share and the Series B Preferred Investment Options expire on October 25, 2027.</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Grant from The Israel Innovation Authority</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On June 2, 2023, we announced that we received a grant from the Israel Innovation Authority (“IIA”) in the amount of NIS 1.62 million, which based on a recent exchange rate to the U.S. dollar, would be approximately $440,000, to further finance the development of our manufacturing</w:t>
      </w:r>
    </w:p>
    <w:p>
      <w:pPr>
        <w:spacing w:after="0"/>
        <w:rPr>
          <w:sz w:val="20"/>
          <w:szCs w:val="20"/>
          <w:color w:val="auto"/>
        </w:rPr>
      </w:pPr>
      <w:r>
        <w:rPr>
          <w:rFonts w:ascii="Arial" w:cs="Arial" w:eastAsia="Arial" w:hAnsi="Arial"/>
          <w:sz w:val="18"/>
          <w:szCs w:val="18"/>
          <w:color w:val="auto"/>
        </w:rPr>
        <w:t>process of our flagship robotic surgical system, the LIBERTY</w:t>
      </w:r>
      <w:r>
        <w:rPr>
          <w:rFonts w:ascii="Arial" w:cs="Arial" w:eastAsia="Arial" w:hAnsi="Arial"/>
          <w:sz w:val="29"/>
          <w:szCs w:val="29"/>
          <w:color w:val="auto"/>
          <w:vertAlign w:val="superscript"/>
        </w:rPr>
        <w:t>®</w:t>
      </w:r>
      <w:r>
        <w:rPr>
          <w:rFonts w:ascii="Arial" w:cs="Arial" w:eastAsia="Arial" w:hAnsi="Arial"/>
          <w:sz w:val="18"/>
          <w:szCs w:val="18"/>
          <w:color w:val="auto"/>
        </w:rPr>
        <w:t>.</w:t>
      </w:r>
    </w:p>
    <w:p>
      <w:pPr>
        <w:spacing w:after="0" w:line="1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relation to the IIA grant, we are obligated to pay royalties amounting to between 3%-5% of our future sales of the LIBERTY product up to the grant amount plus interest. The grant is linked to the U.S. dollar and bears interest at Libor per annum. The grant monies will be paid over time based on the terms of the grant, and the U.S. dollar amount actually received will be based on the exchange rate of the U.S. dollar to the New Israeli Shekel at the time of payment.</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850" w:right="499" w:bottom="1440" w:gutter="0" w:footer="0" w:header="0"/>
        </w:sectPr>
      </w:pPr>
    </w:p>
    <w:bookmarkStart w:id="6" w:name="page7"/>
    <w:bookmarkEnd w:id="6"/>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27875" cy="62274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27875" cy="6227445"/>
                    </a:xfrm>
                    <a:prstGeom prst="rect">
                      <a:avLst/>
                    </a:prstGeom>
                    <a:noFill/>
                  </pic:spPr>
                </pic:pic>
              </a:graphicData>
            </a:graphic>
          </wp:anchor>
        </w:drawing>
        <w:t>Core-Business Focus Program</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May 15, 2023, our Board of Directors authorized, and we commenced, a core-business focus program while we seek to raise additional capital to continue development of the LIBERTY robotic system. This core-business focus program includes the cessation of research and development activities not related to LIBERTY, including terminating our agreement with CardioSert Ltd. for that technology, and returning intellectual property relating to the Self Cleaning Shunt (Virob) and TipCat to Technion Research and Development Foundation.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Reduction Plan</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May 15, 2023, in addition to the core-business focus program described above, our Board of Directors authorized, and we commenced, a cost reduction plan while we seek to raise additional capital to continue development of the LIBERTY robotic system. This cost reduction plan includes:</w:t>
      </w:r>
    </w:p>
    <w:p>
      <w:pPr>
        <w:spacing w:after="0" w:line="184" w:lineRule="exact"/>
        <w:rPr>
          <w:sz w:val="20"/>
          <w:szCs w:val="20"/>
          <w:color w:val="auto"/>
        </w:rPr>
      </w:pPr>
    </w:p>
    <w:p>
      <w:pPr>
        <w:ind w:left="660" w:hanging="331"/>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Focus its research &amp; development and regulatory efforts to complete the LIBERTY’s verification and validation process (“V&amp;V”), complete robotics build-up and execute first in human cases outside the USA.</w:t>
      </w:r>
    </w:p>
    <w:p>
      <w:pPr>
        <w:spacing w:after="0" w:line="170" w:lineRule="exact"/>
        <w:rPr>
          <w:rFonts w:ascii="Arial" w:cs="Arial" w:eastAsia="Arial" w:hAnsi="Arial"/>
          <w:sz w:val="18"/>
          <w:szCs w:val="18"/>
          <w:color w:val="auto"/>
        </w:rPr>
      </w:pPr>
    </w:p>
    <w:p>
      <w:pPr>
        <w:ind w:left="660" w:hanging="331"/>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Postpone a Good Laboratory Practice study for LIBERTY until the completion of the V&amp;V.</w:t>
      </w:r>
    </w:p>
    <w:p>
      <w:pPr>
        <w:spacing w:after="0" w:line="225" w:lineRule="exact"/>
        <w:rPr>
          <w:rFonts w:ascii="Arial" w:cs="Arial" w:eastAsia="Arial" w:hAnsi="Arial"/>
          <w:sz w:val="18"/>
          <w:szCs w:val="18"/>
          <w:color w:val="auto"/>
        </w:rPr>
      </w:pPr>
    </w:p>
    <w:p>
      <w:pPr>
        <w:ind w:left="660" w:hanging="331"/>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Harel Gadot, Chairman, our President and CEO, has agreed to a reduction of 50% of his base salary, with terms and conditions with respect to the reduction period to be determined.</w:t>
      </w:r>
    </w:p>
    <w:p>
      <w:pPr>
        <w:spacing w:after="0" w:line="170" w:lineRule="exact"/>
        <w:rPr>
          <w:rFonts w:ascii="Arial" w:cs="Arial" w:eastAsia="Arial" w:hAnsi="Arial"/>
          <w:sz w:val="18"/>
          <w:szCs w:val="18"/>
          <w:color w:val="auto"/>
        </w:rPr>
      </w:pPr>
    </w:p>
    <w:p>
      <w:pPr>
        <w:ind w:left="660" w:hanging="331"/>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 other executive officers have agreed to a reduction of 30-40% of base salary, as follows:</w:t>
      </w:r>
    </w:p>
    <w:p>
      <w:pPr>
        <w:spacing w:after="0" w:line="225" w:lineRule="exact"/>
        <w:rPr>
          <w:rFonts w:ascii="Arial" w:cs="Arial" w:eastAsia="Arial" w:hAnsi="Arial"/>
          <w:sz w:val="18"/>
          <w:szCs w:val="18"/>
          <w:color w:val="auto"/>
        </w:rPr>
      </w:pPr>
    </w:p>
    <w:p>
      <w:pPr>
        <w:jc w:val="both"/>
        <w:ind w:left="1300" w:hanging="323"/>
        <w:spacing w:after="0" w:line="255" w:lineRule="auto"/>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i w:val="1"/>
          <w:iCs w:val="1"/>
          <w:color w:val="auto"/>
        </w:rPr>
        <w:t>Rachel Vaknin, CFO</w:t>
      </w:r>
      <w:r>
        <w:rPr>
          <w:rFonts w:ascii="Arial" w:cs="Arial" w:eastAsia="Arial" w:hAnsi="Arial"/>
          <w:sz w:val="18"/>
          <w:szCs w:val="18"/>
          <w:color w:val="auto"/>
        </w:rPr>
        <w:t>. Pursuant to an Addendum to Employment Agreement, Ms. Vaknin’s gross monthly salary was decreased to a</w:t>
      </w:r>
      <w:r>
        <w:rPr>
          <w:rFonts w:ascii="Arial" w:cs="Arial" w:eastAsia="Arial" w:hAnsi="Arial"/>
          <w:sz w:val="18"/>
          <w:szCs w:val="18"/>
          <w:i w:val="1"/>
          <w:iCs w:val="1"/>
          <w:color w:val="auto"/>
        </w:rPr>
        <w:t xml:space="preserve"> </w:t>
      </w:r>
      <w:r>
        <w:rPr>
          <w:rFonts w:ascii="Arial" w:cs="Arial" w:eastAsia="Arial" w:hAnsi="Arial"/>
          <w:sz w:val="18"/>
          <w:szCs w:val="18"/>
          <w:color w:val="auto"/>
        </w:rPr>
        <w:t>gross amount of NIS 35,000. Social and fringe benefits due to Ms. Vaknin shall be calculated based upon the updated salary, excluding sick days and vacation days which will continue to be accumulated per her existing employment agreement. Notwithstanding the foregoing, in the event of termination of Ms. Vaknin’s employment, either by us or by Ms. Vaknin, the redemption of accrued vacation days and the payment of prior notice period shall be calculated based on Ms. Vaknin’s salary prior to May 15, 2023.</w:t>
      </w:r>
    </w:p>
    <w:p>
      <w:pPr>
        <w:spacing w:after="0" w:line="192" w:lineRule="exact"/>
        <w:rPr>
          <w:rFonts w:ascii="Arial" w:cs="Arial" w:eastAsia="Arial" w:hAnsi="Arial"/>
          <w:sz w:val="18"/>
          <w:szCs w:val="18"/>
          <w:color w:val="auto"/>
        </w:rPr>
      </w:pPr>
    </w:p>
    <w:p>
      <w:pPr>
        <w:jc w:val="both"/>
        <w:ind w:left="1300" w:hanging="323"/>
        <w:spacing w:after="0" w:line="255" w:lineRule="auto"/>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i w:val="1"/>
          <w:iCs w:val="1"/>
          <w:color w:val="auto"/>
        </w:rPr>
        <w:t>Simon Sharon, CTO and General Manager</w:t>
      </w:r>
      <w:r>
        <w:rPr>
          <w:rFonts w:ascii="Arial" w:cs="Arial" w:eastAsia="Arial" w:hAnsi="Arial"/>
          <w:sz w:val="18"/>
          <w:szCs w:val="18"/>
          <w:color w:val="auto"/>
        </w:rPr>
        <w:t>. Pursuant to an Addendum to Employment Agreement, Mr. Sharon’s gross monthly salary</w:t>
      </w:r>
      <w:r>
        <w:rPr>
          <w:rFonts w:ascii="Arial" w:cs="Arial" w:eastAsia="Arial" w:hAnsi="Arial"/>
          <w:sz w:val="18"/>
          <w:szCs w:val="18"/>
          <w:i w:val="1"/>
          <w:iCs w:val="1"/>
          <w:color w:val="auto"/>
        </w:rPr>
        <w:t xml:space="preserve"> </w:t>
      </w:r>
      <w:r>
        <w:rPr>
          <w:rFonts w:ascii="Arial" w:cs="Arial" w:eastAsia="Arial" w:hAnsi="Arial"/>
          <w:sz w:val="18"/>
          <w:szCs w:val="18"/>
          <w:color w:val="auto"/>
        </w:rPr>
        <w:t>was decreased to a gross amount of NIS 44,496. Social and fringe benefits due to Mr. Sharon shall be calculated based upon the updated salary, excluding sick days and vacation days which will continue to be accumulated per his existing employment agreement. Notwithstanding the foregoing, in the event of termination of Mr. Sharon’s employment, either by us or by Mr. Sharon, the redemption of accrued vacation days and the payment of prior notice period shall be calculated based on Mr. Sharon’s salary prior to May 15, 2023.</w:t>
      </w:r>
    </w:p>
    <w:p>
      <w:pPr>
        <w:spacing w:after="0" w:line="192" w:lineRule="exact"/>
        <w:rPr>
          <w:rFonts w:ascii="Arial" w:cs="Arial" w:eastAsia="Arial" w:hAnsi="Arial"/>
          <w:sz w:val="18"/>
          <w:szCs w:val="18"/>
          <w:color w:val="auto"/>
        </w:rPr>
      </w:pPr>
    </w:p>
    <w:p>
      <w:pPr>
        <w:jc w:val="both"/>
        <w:ind w:left="1300" w:hanging="323"/>
        <w:spacing w:after="0" w:line="254" w:lineRule="auto"/>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i w:val="1"/>
          <w:iCs w:val="1"/>
          <w:color w:val="auto"/>
        </w:rPr>
        <w:t>Eyal Morag, CMO</w:t>
      </w:r>
      <w:r>
        <w:rPr>
          <w:rFonts w:ascii="Arial" w:cs="Arial" w:eastAsia="Arial" w:hAnsi="Arial"/>
          <w:sz w:val="18"/>
          <w:szCs w:val="18"/>
          <w:color w:val="auto"/>
        </w:rPr>
        <w:t>. Pursuant to an Addendum to Employment Agreement, Dr. Morag’s gross monthly salary was decreased to a gross</w:t>
      </w:r>
      <w:r>
        <w:rPr>
          <w:rFonts w:ascii="Arial" w:cs="Arial" w:eastAsia="Arial" w:hAnsi="Arial"/>
          <w:sz w:val="18"/>
          <w:szCs w:val="18"/>
          <w:i w:val="1"/>
          <w:iCs w:val="1"/>
          <w:color w:val="auto"/>
        </w:rPr>
        <w:t xml:space="preserve"> </w:t>
      </w:r>
      <w:r>
        <w:rPr>
          <w:rFonts w:ascii="Arial" w:cs="Arial" w:eastAsia="Arial" w:hAnsi="Arial"/>
          <w:sz w:val="18"/>
          <w:szCs w:val="18"/>
          <w:color w:val="auto"/>
        </w:rPr>
        <w:t>amount of NIS 49,440. Social and fringe benefits due to Dr. Morag shall be calculated based upon the updated salary, excluding sick days and vacation days which will continue to be accumulated per his existing employment agreement. Notwithstanding the foregoing, in the event of termination of Dr. Morag’s employment, either by us or by Dr. Morag, the redemption of accrued vacation days and the payment of prior notice period shall be calculated based on Dr. Morag’s salary prior to May 15, 2023. Pursuant to a separate Addendum to Employment Agreement, the advance notice period upon termination of Dr. Morag’s Employment Agreement was shortened to ninety days.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854" w:right="499" w:bottom="1440" w:gutter="0" w:footer="0" w:header="0"/>
        </w:sectPr>
      </w:pPr>
    </w:p>
    <w:bookmarkStart w:id="7" w:name="page8"/>
    <w:bookmarkEnd w:id="7"/>
    <w:p>
      <w:pPr>
        <w:ind w:left="660" w:hanging="331"/>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27875" cy="99650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27875" cy="9965055"/>
                    </a:xfrm>
                    <a:prstGeom prst="rect">
                      <a:avLst/>
                    </a:prstGeom>
                    <a:noFill/>
                  </pic:spPr>
                </pic:pic>
              </a:graphicData>
            </a:graphic>
          </wp:anchor>
        </w:drawing>
        <w:t>The independent members of the Board of Directors have agreed to a suspension of their director fees, with reinstatement of such fees to be determined.</w:t>
      </w:r>
    </w:p>
    <w:p>
      <w:pPr>
        <w:spacing w:after="0" w:line="170" w:lineRule="exact"/>
        <w:rPr>
          <w:rFonts w:ascii="Arial" w:cs="Arial" w:eastAsia="Arial" w:hAnsi="Arial"/>
          <w:sz w:val="18"/>
          <w:szCs w:val="18"/>
          <w:color w:val="auto"/>
        </w:rPr>
      </w:pPr>
    </w:p>
    <w:p>
      <w:pPr>
        <w:ind w:left="660" w:hanging="331"/>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Freeze on new hires.</w:t>
      </w:r>
    </w:p>
    <w:p>
      <w:pPr>
        <w:spacing w:after="0" w:line="225" w:lineRule="exact"/>
        <w:rPr>
          <w:rFonts w:ascii="Arial" w:cs="Arial" w:eastAsia="Arial" w:hAnsi="Arial"/>
          <w:sz w:val="18"/>
          <w:szCs w:val="18"/>
          <w:color w:val="auto"/>
        </w:rPr>
      </w:pPr>
    </w:p>
    <w:p>
      <w:pPr>
        <w:jc w:val="both"/>
        <w:ind w:left="660" w:hanging="331"/>
        <w:spacing w:after="0" w:line="263"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Reduce employee headcount in both the US and Israel offices which are not directly involved in the research &amp; development and/or regulatory process of LIBERTY, while retaining research &amp; development and clinical-related employees to support the completion of the V&amp;V and production of LIBERTY systems.</w:t>
      </w:r>
    </w:p>
    <w:p>
      <w:pPr>
        <w:spacing w:after="0" w:line="183" w:lineRule="exact"/>
        <w:rPr>
          <w:rFonts w:ascii="Arial" w:cs="Arial" w:eastAsia="Arial" w:hAnsi="Arial"/>
          <w:sz w:val="18"/>
          <w:szCs w:val="18"/>
          <w:color w:val="auto"/>
        </w:rPr>
      </w:pPr>
    </w:p>
    <w:p>
      <w:pPr>
        <w:ind w:left="660" w:hanging="331"/>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Professor Moshe Shoham, a co-founder of the Company and currently a member of our Scientific Advisory Board (“SAB”), waived his SAB fees, with fees payable to the remaining SAB members to be restructured.</w:t>
      </w:r>
    </w:p>
    <w:p>
      <w:pPr>
        <w:spacing w:after="0" w:line="170" w:lineRule="exact"/>
        <w:rPr>
          <w:rFonts w:ascii="Arial" w:cs="Arial" w:eastAsia="Arial" w:hAnsi="Arial"/>
          <w:sz w:val="18"/>
          <w:szCs w:val="18"/>
          <w:color w:val="auto"/>
        </w:rPr>
      </w:pPr>
    </w:p>
    <w:p>
      <w:pPr>
        <w:ind w:left="660" w:hanging="331"/>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Postpone CE activities for the LIBERTY device.</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We expect that the savings generated from such cost-reduction activities will enable us to continue the V&amp;V and first-in-human cases planned in Brazil or elsewhere, through September 30, 2023, while we continue to seek new sources of financings to stabilize our finances.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First-In-Human Clinical Cases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recently announced that we have initiated preparations for potential First-In-Human cases in Brazil, by engaging with interventional radiologist Prof. Francisco Cesar Carnevale. The engagement with Prof. Carnevale, from University of Sao Paulo Medical School Hospital, is expected to support our intention to conduct a first-in-human clinical trial in Brazil as part of our ongoing clinical and regulatory efforts. The potential clinical cases are expected to commence upon completion of the V&amp;V process of our LIBERTY Robotic system, as well as obtaining the necessary regulatory approvals to perform those cases.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also exploring options to conduct First-In-Human trials or cases in other places where the regulatory laws allow.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Catheterization Milestone</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May 3, 2023, we announced that the LIBERTY Robotic system has surpassed its 100th catheterization during multiple pre-clinical studies, with a 95% success rate of reaching pre-determined vascular targets, such as distal branches of hepatic, gastric, splenic, mesenteric, renal and hypogastric arteries. Moreover, all of the procedures were completed without notable signs of intraoperative injury.</w:t>
      </w:r>
    </w:p>
    <w:p>
      <w:pPr>
        <w:spacing w:after="0" w:line="181"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18"/>
          <w:szCs w:val="18"/>
          <w:color w:val="auto"/>
        </w:rPr>
        <w:t>Relating to 48 of such catheterizations, a team of six leading European interventional radiologists used the LIBERTY</w:t>
      </w:r>
      <w:r>
        <w:rPr>
          <w:rFonts w:ascii="Arial" w:cs="Arial" w:eastAsia="Arial" w:hAnsi="Arial"/>
          <w:sz w:val="29"/>
          <w:szCs w:val="29"/>
          <w:color w:val="auto"/>
          <w:vertAlign w:val="superscript"/>
        </w:rPr>
        <w:t>®</w:t>
      </w:r>
      <w:r>
        <w:rPr>
          <w:rFonts w:ascii="Arial" w:cs="Arial" w:eastAsia="Arial" w:hAnsi="Arial"/>
          <w:sz w:val="18"/>
          <w:szCs w:val="18"/>
          <w:color w:val="auto"/>
        </w:rPr>
        <w:t xml:space="preserve"> Robotic system and achieved a 100% success rate in an extensive pre-clinical animal study, held at a leading European-based research lab. The team of radiologists utilized the system and performed a total of 48 catheterizations to pre-determined vascular targets including distal branches of hepatic, gastric, splenic, mesenteric, renal, and hypogastric arteries.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additional information related to our business and operations, please refer to the reports incorporated herein by reference, including our Annual Report on Form 10-K for the year ended December 31, 2022 as described under the caption “Incorporation of Documents by Reference” on page S-15 of this prospectus supplement.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Our Company was incorporated on August 2, 1988 in the State of Delaware under the name Cellular Transplants, Inc. The original Certificate of Incorporation was restated on February 14, 1992 to change the name of the Company to CytoTheraputics, Inc. On May 24, 2000, the Certificate of Incorporation as restated was further amended to change the name of the Company to StemCells, Inc. On November 28, 2016, C&amp;RD Israel Ltd., a wholly-owned subsidiary of the Company, completed its merger with and into Microbot Medical Ltd., an Israeli corporation, with Microbot Israel Ltd. surviving as a wholly-owned subsidiary of the Company, or the Merger. Prior to the Merger, the Company was a biopharmaceutical company that operated in one segment: the research, development, and commercialization of stem cell therapeutics and related technologies. Immediately following the closing of the Merger, the business of Microbot Medical Ltd. became our sole focus. In connection with the Merger, we also changed our name from StemCells, Inc. to Microbot Medical Inc. On November 29, 2016, the stock of the Company began trading on the Nasdaq Capital Market under the symbol “MBOT”.</w:t>
      </w:r>
    </w:p>
    <w:p>
      <w:pPr>
        <w:spacing w:after="0" w:line="196"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 xml:space="preserve">Our principal executive offices are located at 25 Recreation Park Drive, Unit 108, Hingham, Massachusetts 02043. Microbot also has an executive office at 6 Hayozma Street, Yoqneam, P.O.B. 242, Israel 2069204. Our telephone number is (781) 875-3605. We maintain an Internet website at </w:t>
      </w:r>
      <w:r>
        <w:rPr>
          <w:rFonts w:ascii="Arial" w:cs="Arial" w:eastAsia="Arial" w:hAnsi="Arial"/>
          <w:sz w:val="16"/>
          <w:szCs w:val="16"/>
          <w:i w:val="1"/>
          <w:iCs w:val="1"/>
          <w:color w:val="auto"/>
        </w:rPr>
        <w:t>www.microbotmedical.com</w:t>
      </w:r>
      <w:r>
        <w:rPr>
          <w:rFonts w:ascii="Arial" w:cs="Arial" w:eastAsia="Arial" w:hAnsi="Arial"/>
          <w:sz w:val="16"/>
          <w:szCs w:val="16"/>
          <w:color w:val="auto"/>
        </w:rPr>
        <w:t>. The information contained on, connected to or that can be accessed via our website is not part of this prospectus supplement. We have included our website address in this prospectus supplement as an inactive textual reference only and not as an active hyperlink.</w:t>
      </w:r>
    </w:p>
    <w:p>
      <w:pPr>
        <w:spacing w:after="0" w:line="15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Annual Reports on Form 10-K, Quarterly Reports on Form 10-Q, Current Reports on Form 8-K and all amendments to those reports filed or furnished pursuant to Section 13(a) or 15(d) of the Exchange Act, are available free of charge through the investor relations page of our internet website as soon as reasonably practicable after we electronically file such material with, or furnish it to, the SEC.</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Implications of Being a Smaller Reporting Company</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a “smaller reporting company” as defined in the Exchange Act, and have elected to take advantage of certain of the scaled disclosures available to smaller reporting companies, including certain of the reduced disclosure obligations in the registration statement of which this prospectus supplement is a part. As a result, the information that we provide to our stockholders may be different than you might receive from other public reporting companies in which you hold equity interests.</w:t>
      </w:r>
    </w:p>
    <w:p>
      <w:pPr>
        <w:sectPr>
          <w:pgSz w:w="11900" w:h="16838" w:orient="portrait"/>
          <w:cols w:equalWidth="0" w:num="1">
            <w:col w:w="10920"/>
          </w:cols>
          <w:pgMar w:left="480" w:top="854" w:right="499" w:bottom="13" w:gutter="0" w:footer="0" w:header="0"/>
        </w:sectPr>
      </w:pPr>
    </w:p>
    <w:bookmarkStart w:id="8" w:name="page9"/>
    <w:bookmarkEnd w:id="8"/>
    <w:p>
      <w:pPr>
        <w:jc w:val="center"/>
        <w:ind w:right="19"/>
        <w:spacing w:after="0"/>
        <w:rPr>
          <w:sz w:val="20"/>
          <w:szCs w:val="20"/>
          <w:color w:val="auto"/>
        </w:rPr>
      </w:pPr>
      <w:r>
        <w:rPr>
          <w:rFonts w:ascii="Arial" w:cs="Arial" w:eastAsia="Arial" w:hAnsi="Arial"/>
          <w:sz w:val="15"/>
          <w:szCs w:val="15"/>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36830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016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0166985"/>
                    </a:xfrm>
                    <a:prstGeom prst="rect">
                      <a:avLst/>
                    </a:prstGeom>
                    <a:noFill/>
                  </pic:spPr>
                </pic:pic>
              </a:graphicData>
            </a:graphic>
          </wp:anchor>
        </w:drawing>
        <w:t>THE OFFERING</w:t>
      </w:r>
    </w:p>
    <w:p>
      <w:pPr>
        <w:sectPr>
          <w:pgSz w:w="11900" w:h="16838" w:orient="portrait"/>
          <w:cols w:equalWidth="0" w:num="1">
            <w:col w:w="10920"/>
          </w:cols>
          <w:pgMar w:left="480" w:top="850" w:right="499" w:bottom="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Common Stock Offered in This Offering</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701,756 shares of our common stock, par value $0.01 per share</w:t>
      </w:r>
    </w:p>
    <w:p>
      <w:pPr>
        <w:spacing w:after="0" w:line="200" w:lineRule="exact"/>
        <w:rPr>
          <w:sz w:val="20"/>
          <w:szCs w:val="20"/>
          <w:color w:val="auto"/>
        </w:rPr>
      </w:pPr>
    </w:p>
    <w:p>
      <w:pPr>
        <w:sectPr>
          <w:pgSz w:w="11900" w:h="16838" w:orient="portrait"/>
          <w:cols w:equalWidth="0" w:num="2">
            <w:col w:w="4200" w:space="720"/>
            <w:col w:w="6000"/>
          </w:cols>
          <w:pgMar w:left="480" w:top="850" w:right="499" w:bottom="0" w:gutter="0" w:footer="0" w:header="0"/>
          <w:type w:val="continuous"/>
        </w:sect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Common Stock Outstanding Before This Offering</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rPr>
          <w:sz w:val="20"/>
          <w:szCs w:val="20"/>
          <w:color w:val="auto"/>
        </w:rPr>
      </w:pPr>
      <w:r>
        <w:rPr>
          <w:rFonts w:ascii="Arial" w:cs="Arial" w:eastAsia="Arial" w:hAnsi="Arial"/>
          <w:sz w:val="15"/>
          <w:szCs w:val="15"/>
          <w:color w:val="auto"/>
        </w:rPr>
        <w:t>9,995,697 shares.</w:t>
      </w:r>
    </w:p>
    <w:p>
      <w:pPr>
        <w:spacing w:after="0" w:line="211" w:lineRule="exact"/>
        <w:rPr>
          <w:sz w:val="20"/>
          <w:szCs w:val="20"/>
          <w:color w:val="auto"/>
        </w:rPr>
      </w:pPr>
    </w:p>
    <w:p>
      <w:pPr>
        <w:sectPr>
          <w:pgSz w:w="11900" w:h="16838" w:orient="portrait"/>
          <w:cols w:equalWidth="0" w:num="2">
            <w:col w:w="4200" w:space="720"/>
            <w:col w:w="6000"/>
          </w:cols>
          <w:pgMar w:left="480" w:top="850" w:right="499" w:bottom="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Common Stock to be Outstanding After This Offering</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10,697,453 shares.</w:t>
      </w:r>
    </w:p>
    <w:p>
      <w:pPr>
        <w:spacing w:after="0" w:line="211" w:lineRule="exact"/>
        <w:rPr>
          <w:sz w:val="20"/>
          <w:szCs w:val="20"/>
          <w:color w:val="auto"/>
        </w:rPr>
      </w:pPr>
    </w:p>
    <w:p>
      <w:pPr>
        <w:sectPr>
          <w:pgSz w:w="11900" w:h="16838" w:orient="portrait"/>
          <w:cols w:equalWidth="0" w:num="2">
            <w:col w:w="4200" w:space="720"/>
            <w:col w:w="6000"/>
          </w:cols>
          <w:pgMar w:left="480" w:top="850" w:right="499" w:bottom="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estimate the net proceeds from this offering will be approximately $1.24 million after deducting estimated offering expenses payable by us. We currently intend to use the net proceeds from this offering for the continued development,</w:t>
      </w:r>
    </w:p>
    <w:p>
      <w:pPr>
        <w:spacing w:after="0" w:line="1" w:lineRule="exact"/>
        <w:rPr>
          <w:sz w:val="20"/>
          <w:szCs w:val="20"/>
          <w:color w:val="auto"/>
        </w:rPr>
      </w:pPr>
    </w:p>
    <w:p>
      <w:pPr>
        <w:sectPr>
          <w:pgSz w:w="11900" w:h="16838" w:orient="portrait"/>
          <w:cols w:equalWidth="0" w:num="2">
            <w:col w:w="4200" w:space="720"/>
            <w:col w:w="6000"/>
          </w:cols>
          <w:pgMar w:left="480" w:top="850" w:right="499" w:bottom="0" w:gutter="0" w:footer="0" w:header="0"/>
          <w:type w:val="continuous"/>
        </w:sectPr>
      </w:pPr>
    </w:p>
    <w:p>
      <w:pPr>
        <w:jc w:val="both"/>
        <w:ind w:left="4920"/>
        <w:spacing w:after="0" w:line="292" w:lineRule="auto"/>
        <w:rPr>
          <w:sz w:val="20"/>
          <w:szCs w:val="20"/>
          <w:color w:val="auto"/>
        </w:rPr>
      </w:pPr>
      <w:r>
        <w:rPr>
          <w:rFonts w:ascii="Arial" w:cs="Arial" w:eastAsia="Arial" w:hAnsi="Arial"/>
          <w:sz w:val="16"/>
          <w:szCs w:val="16"/>
          <w:color w:val="auto"/>
        </w:rPr>
        <w:t>commercialization and regulatory activities for the LIBERTY</w:t>
      </w:r>
      <w:r>
        <w:rPr>
          <w:rFonts w:ascii="Arial" w:cs="Arial" w:eastAsia="Arial" w:hAnsi="Arial"/>
          <w:sz w:val="12"/>
          <w:szCs w:val="12"/>
          <w:color w:val="auto"/>
        </w:rPr>
        <w:t>®</w:t>
      </w:r>
      <w:r>
        <w:rPr>
          <w:rFonts w:ascii="Arial" w:cs="Arial" w:eastAsia="Arial" w:hAnsi="Arial"/>
          <w:sz w:val="16"/>
          <w:szCs w:val="16"/>
          <w:color w:val="auto"/>
        </w:rPr>
        <w:t xml:space="preserve"> Robotic System, expansion and development of additional applications derived from our existing intellectual property portfolio, and for working capital and other general corporate purposes. As a result, our management will retain broad discretion in the allocation and use of the net proceeds of this offering, and investors will be relying on the judgment of our management with regard to the use of these net proceeds. Pending application of the net proceeds for the purposes as described above, we expect to invest the net proceeds in short-term, interest-bearing securities, investment grade securities, certificates of deposit or direct or guaranteed obligations of the U.S. government. See “Use of Proceeds” on page S-9.</w:t>
      </w:r>
    </w:p>
    <w:p>
      <w:pPr>
        <w:sectPr>
          <w:pgSz w:w="11900" w:h="16838" w:orient="portrait"/>
          <w:cols w:equalWidth="0" w:num="1">
            <w:col w:w="10920"/>
          </w:cols>
          <w:pgMar w:left="480" w:top="850" w:right="499" w:bottom="0" w:gutter="0" w:footer="0" w:header="0"/>
          <w:type w:val="continuous"/>
        </w:sectPr>
      </w:pP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Investing in our securities involves a high degree of risk. Before you decide to invest in our common stock, you should carefully read this prospectus supplement in its entirety and carefully consider the risks and uncertainties described in “Risk Factors” beginning on page S-7 of this prospectus supplement, beginning on page 4 of the accompanying base prospectus and in our Annual Report on Form 10-K for the fiscal year ended December 31, 2022, as such risk factors may be amended, updated or modified periodically in our reports filed with the SEC, and the financial data and related notes and the reports incorporated by reference herein and therein.</w:t>
      </w:r>
    </w:p>
    <w:p>
      <w:pPr>
        <w:spacing w:after="0" w:line="181" w:lineRule="exact"/>
        <w:rPr>
          <w:sz w:val="20"/>
          <w:szCs w:val="20"/>
          <w:color w:val="auto"/>
        </w:rPr>
      </w:pPr>
    </w:p>
    <w:p>
      <w:pPr>
        <w:sectPr>
          <w:pgSz w:w="11900" w:h="16838" w:orient="portrait"/>
          <w:cols w:equalWidth="0" w:num="2">
            <w:col w:w="4200" w:space="720"/>
            <w:col w:w="6000"/>
          </w:cols>
          <w:pgMar w:left="480" w:top="850" w:right="499" w:bottom="0" w:gutter="0" w:footer="0" w:header="0"/>
          <w:type w:val="continuous"/>
        </w:sectPr>
      </w:pPr>
    </w:p>
    <w:p>
      <w:pPr>
        <w:spacing w:after="0"/>
        <w:rPr>
          <w:sz w:val="20"/>
          <w:szCs w:val="20"/>
          <w:color w:val="auto"/>
        </w:rPr>
      </w:pPr>
      <w:r>
        <w:rPr>
          <w:rFonts w:ascii="Arial" w:cs="Arial" w:eastAsia="Arial" w:hAnsi="Arial"/>
          <w:sz w:val="16"/>
          <w:szCs w:val="16"/>
          <w:color w:val="auto"/>
        </w:rPr>
        <w:t>Concurrent Private Placement</w:t>
      </w:r>
    </w:p>
    <w:p>
      <w:pPr>
        <w:spacing w:after="0" w:line="20" w:lineRule="exact"/>
        <w:rPr>
          <w:sz w:val="20"/>
          <w:szCs w:val="20"/>
          <w:color w:val="auto"/>
        </w:rPr>
      </w:pPr>
      <w:r>
        <w:rPr>
          <w:sz w:val="20"/>
          <w:szCs w:val="20"/>
          <w:color w:val="auto"/>
        </w:rPr>
        <w:br w:type="column"/>
      </w:r>
    </w:p>
    <w:p>
      <w:pPr>
        <w:jc w:val="both"/>
        <w:spacing w:after="0" w:line="287" w:lineRule="auto"/>
        <w:rPr>
          <w:sz w:val="20"/>
          <w:szCs w:val="20"/>
          <w:color w:val="auto"/>
        </w:rPr>
      </w:pPr>
      <w:r>
        <w:rPr>
          <w:rFonts w:ascii="Arial" w:cs="Arial" w:eastAsia="Arial" w:hAnsi="Arial"/>
          <w:sz w:val="16"/>
          <w:szCs w:val="16"/>
          <w:color w:val="auto"/>
        </w:rPr>
        <w:t>In a concurrent private placement, we are also selling to the same institutional investors of our shares of common stock, unregistered series C preferred investment options to purchase up to 350,878 shares of our common stock. Each series C preferred investment option will be exercisable for one share of common stock at an exercise price of $2.075 commencing on the date of issuance and will expire five and one-half years from the initial exercise date. The series C preferred investment options and the shares of common stock issuable upon the exercise of such securities are not being registered under the Securities Act of 1933, as amended (the “Securities Act”), are not being offered pursuant to this prospectus supplement and the accompanying prospectus and are being offered pursuant to the exemption provided in Section 4(a)(2) under the Securities Act and Rule 506(b) promulgated thereunder. See the section titled “Private Placement Transaction.”</w:t>
      </w:r>
    </w:p>
    <w:p>
      <w:pPr>
        <w:spacing w:after="0" w:line="168" w:lineRule="exact"/>
        <w:rPr>
          <w:sz w:val="20"/>
          <w:szCs w:val="20"/>
          <w:color w:val="auto"/>
        </w:rPr>
      </w:pPr>
    </w:p>
    <w:p>
      <w:pPr>
        <w:sectPr>
          <w:pgSz w:w="11900" w:h="16838" w:orient="portrait"/>
          <w:cols w:equalWidth="0" w:num="2">
            <w:col w:w="4200" w:space="720"/>
            <w:col w:w="6000"/>
          </w:cols>
          <w:pgMar w:left="480" w:top="850" w:right="499" w:bottom="0" w:gutter="0" w:footer="0" w:header="0"/>
          <w:type w:val="continuous"/>
        </w:sectPr>
      </w:pPr>
    </w:p>
    <w:p>
      <w:pPr>
        <w:spacing w:after="0"/>
        <w:rPr>
          <w:sz w:val="20"/>
          <w:szCs w:val="20"/>
          <w:color w:val="auto"/>
        </w:rPr>
      </w:pPr>
      <w:r>
        <w:rPr>
          <w:rFonts w:ascii="Arial" w:cs="Arial" w:eastAsia="Arial" w:hAnsi="Arial"/>
          <w:sz w:val="16"/>
          <w:szCs w:val="16"/>
          <w:color w:val="auto"/>
        </w:rPr>
        <w:t>Nasdaq Capital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“MBOT”.</w:t>
      </w:r>
    </w:p>
    <w:p>
      <w:pPr>
        <w:spacing w:after="0" w:line="200" w:lineRule="exact"/>
        <w:rPr>
          <w:sz w:val="20"/>
          <w:szCs w:val="20"/>
          <w:color w:val="auto"/>
        </w:rPr>
      </w:pPr>
    </w:p>
    <w:p>
      <w:pPr>
        <w:sectPr>
          <w:pgSz w:w="11900" w:h="16838" w:orient="portrait"/>
          <w:cols w:equalWidth="0" w:num="2">
            <w:col w:w="4200" w:space="720"/>
            <w:col w:w="6000"/>
          </w:cols>
          <w:pgMar w:left="480" w:top="850" w:right="499" w:bottom="0" w:gutter="0" w:footer="0" w:header="0"/>
          <w:type w:val="continuous"/>
        </w:sectPr>
      </w:pPr>
    </w:p>
    <w:p>
      <w:pPr>
        <w:spacing w:after="0" w:line="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number of shares of common stock to be outstanding immediately after this offering is based on 9,995,697 shares of our common stock outstanding as of May 24, 2023 and excludes the following securities outstanding on May 24, 2023:</w:t>
      </w:r>
    </w:p>
    <w:p>
      <w:pPr>
        <w:spacing w:after="0" w:line="170" w:lineRule="exact"/>
        <w:rPr>
          <w:sz w:val="20"/>
          <w:szCs w:val="20"/>
          <w:color w:val="auto"/>
        </w:rPr>
      </w:pPr>
    </w:p>
    <w:p>
      <w:pPr>
        <w:ind w:left="1300" w:hanging="323"/>
        <w:spacing w:after="0" w:line="27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1,556,179 shares of our common stock issuable upon the exercise of outstanding stock options, with exercise prices ranging from approximately $0.005 to $19.35 and having a weighted-average exercise price of $7.14 per share;</w:t>
      </w:r>
    </w:p>
    <w:p>
      <w:pPr>
        <w:spacing w:after="0" w:line="170" w:lineRule="exact"/>
        <w:rPr>
          <w:rFonts w:ascii="Arial" w:cs="Arial" w:eastAsia="Arial" w:hAnsi="Arial"/>
          <w:sz w:val="18"/>
          <w:szCs w:val="18"/>
          <w:color w:val="auto"/>
        </w:rPr>
      </w:pPr>
    </w:p>
    <w:p>
      <w:pPr>
        <w:ind w:left="1300" w:hanging="323"/>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113,335 shares of our common stock reserved for future grant under our 2017 Equity Incentive Plan;</w:t>
      </w:r>
    </w:p>
    <w:p>
      <w:pPr>
        <w:spacing w:after="0" w:line="225" w:lineRule="exact"/>
        <w:rPr>
          <w:rFonts w:ascii="Arial" w:cs="Arial" w:eastAsia="Arial" w:hAnsi="Arial"/>
          <w:sz w:val="18"/>
          <w:szCs w:val="18"/>
          <w:color w:val="auto"/>
        </w:rPr>
      </w:pPr>
    </w:p>
    <w:p>
      <w:pPr>
        <w:ind w:left="1300" w:hanging="323"/>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514,279 shares of our common stock reserved for future grant under our 2020 Omnibus Performance Award Plan;</w:t>
      </w:r>
    </w:p>
    <w:p>
      <w:pPr>
        <w:spacing w:after="0" w:line="225" w:lineRule="exact"/>
        <w:rPr>
          <w:rFonts w:ascii="Arial" w:cs="Arial" w:eastAsia="Arial" w:hAnsi="Arial"/>
          <w:sz w:val="18"/>
          <w:szCs w:val="18"/>
          <w:color w:val="auto"/>
        </w:rPr>
      </w:pPr>
    </w:p>
    <w:p>
      <w:pPr>
        <w:jc w:val="both"/>
        <w:ind w:left="1300" w:hanging="323"/>
        <w:spacing w:after="0" w:line="263"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1,022,495 shares of our common stock issuable upon the exercise of outstanding preferred investment options expiring in October 2027, originally at an exercise price per share of $4.64 but amended to a reduced exercise price per share of $2.20 in connection with the offering that was consummated on May 24, 2023;</w:t>
      </w:r>
    </w:p>
    <w:p>
      <w:pPr>
        <w:spacing w:after="0" w:line="183" w:lineRule="exact"/>
        <w:rPr>
          <w:rFonts w:ascii="Arial" w:cs="Arial" w:eastAsia="Arial" w:hAnsi="Arial"/>
          <w:sz w:val="18"/>
          <w:szCs w:val="18"/>
          <w:color w:val="auto"/>
        </w:rPr>
      </w:pPr>
    </w:p>
    <w:p>
      <w:pPr>
        <w:jc w:val="both"/>
        <w:ind w:left="1300" w:hanging="323"/>
        <w:spacing w:after="0" w:line="263"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1,022,495 shares of our common stock issuable upon the exercise of outstanding preferred investment options, originally expiring in October 2024 with an exercise price per share of $4.64, but amended to expire in October 2027 at a reduced exercise price per share of $2.20 in connection with the offering that was consummated on May 24, 2023;</w:t>
      </w:r>
    </w:p>
    <w:p>
      <w:pPr>
        <w:spacing w:after="0" w:line="183" w:lineRule="exact"/>
        <w:rPr>
          <w:rFonts w:ascii="Arial" w:cs="Arial" w:eastAsia="Arial" w:hAnsi="Arial"/>
          <w:sz w:val="18"/>
          <w:szCs w:val="18"/>
          <w:color w:val="auto"/>
        </w:rPr>
      </w:pPr>
    </w:p>
    <w:p>
      <w:pPr>
        <w:ind w:left="1300" w:hanging="323"/>
        <w:spacing w:after="0" w:line="27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93,262 shares of our common stock issuable upon the exercise of outstanding warrants expiring in June 2023, at an exercise price per share of $13.13;</w:t>
      </w:r>
    </w:p>
    <w:p>
      <w:pPr>
        <w:spacing w:after="0" w:line="170" w:lineRule="exact"/>
        <w:rPr>
          <w:rFonts w:ascii="Arial" w:cs="Arial" w:eastAsia="Arial" w:hAnsi="Arial"/>
          <w:sz w:val="18"/>
          <w:szCs w:val="18"/>
          <w:color w:val="auto"/>
        </w:rPr>
      </w:pPr>
    </w:p>
    <w:p>
      <w:pPr>
        <w:ind w:left="1300" w:hanging="323"/>
        <w:spacing w:after="0" w:line="27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45,045 shares of our common stock issuable upon the exercise of outstanding warrants expiring in June 2023, at an exercise price per share of $13.88;</w:t>
      </w:r>
    </w:p>
    <w:p>
      <w:pPr>
        <w:sectPr>
          <w:pgSz w:w="11900" w:h="16838" w:orient="portrait"/>
          <w:cols w:equalWidth="0" w:num="1">
            <w:col w:w="10920"/>
          </w:cols>
          <w:pgMar w:left="480" w:top="850" w:right="499" w:bottom="0" w:gutter="0" w:footer="0" w:header="0"/>
          <w:type w:val="continuous"/>
        </w:sectPr>
      </w:pPr>
    </w:p>
    <w:bookmarkStart w:id="10" w:name="page11"/>
    <w:bookmarkEnd w:id="10"/>
    <w:p>
      <w:pPr>
        <w:ind w:left="1300" w:hanging="323"/>
        <w:spacing w:after="0" w:line="27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51,125 shares of our common stock issuable upon the exercise of outstanding warrants expiring in October 2027, at an exercise price per share of $6.11;</w:t>
      </w:r>
    </w:p>
    <w:p>
      <w:pPr>
        <w:spacing w:after="0" w:line="170" w:lineRule="exact"/>
        <w:rPr>
          <w:rFonts w:ascii="Arial" w:cs="Arial" w:eastAsia="Arial" w:hAnsi="Arial"/>
          <w:sz w:val="18"/>
          <w:szCs w:val="18"/>
          <w:color w:val="auto"/>
        </w:rPr>
      </w:pPr>
    </w:p>
    <w:p>
      <w:pPr>
        <w:ind w:left="1300" w:hanging="323"/>
        <w:spacing w:after="0" w:line="27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32,778 shares of our common stock issuable upon the exercise of outstanding warrants expiring in November 2026, at an exercise price per share of $2.75; and</w:t>
      </w:r>
    </w:p>
    <w:p>
      <w:pPr>
        <w:spacing w:after="0" w:line="170" w:lineRule="exact"/>
        <w:rPr>
          <w:rFonts w:ascii="Arial" w:cs="Arial" w:eastAsia="Arial" w:hAnsi="Arial"/>
          <w:sz w:val="18"/>
          <w:szCs w:val="18"/>
          <w:color w:val="auto"/>
        </w:rPr>
      </w:pPr>
    </w:p>
    <w:p>
      <w:pPr>
        <w:ind w:left="1300" w:hanging="323"/>
        <w:spacing w:after="0" w:line="27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60,476 shares of our common stock issuable upon the exercise of outstanding warrants expiring in November 2026, at an exercise price per share of $2.75.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-1116330</wp:posOffset>
            </wp:positionV>
            <wp:extent cx="7132320" cy="16116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611630"/>
                    </a:xfrm>
                    <a:prstGeom prst="rect">
                      <a:avLst/>
                    </a:prstGeom>
                    <a:noFill/>
                  </pic:spPr>
                </pic:pic>
              </a:graphicData>
            </a:graphic>
          </wp:anchor>
        </w:drawing>
      </w:r>
    </w:p>
    <w:p>
      <w:pPr>
        <w:spacing w:after="0" w:line="15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Unless otherwise indicated, this prospectus supplement assumes no exercise of the placement agent warrants and any securities issued in the concurrent private placement.</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125" w:right="49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i w:val="1"/>
          <w:iCs w:val="1"/>
          <w:color w:val="auto"/>
        </w:rPr>
        <w:t>Investing in our shares of common stock involves a high degree of risk. You should carefully consider the risks, uncertainties and other factors described in our most recent Annual Report on Form 10-K, as supplemented and updated by subsequent Quarterly Reports on Form 10-Q and Current Reports on Form 8-K that we have filed or will filed with the SEC, and in other documents incorporated by reference to our filings with the SEC pursuant to Sections 13(a), 13(c), 14 or 15(d) of the Exchange Act and all other information contained or incorporated by reference in this prospectus supplement and the accompanying base prospectus, including our consolidated financial statements and the related notes, before investing in our common stock. If any of these risks materialize, our business, financial condition or results of operations could be materially harmed. In that case, the trading price of our common stock could decline, and you may lose some or all of your investment. The risks and uncertainties we describe are not the only ones facing us. Additional risks not presently known to us, or that we currently deem immaterial, may also impair our business operations. If any of these risks were to occur, our business, financial condition, or results of operations would likely suffer. In that event, the trading price of our common stock could decline, and you could lose all or part of your investment.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you purchase securities sold in this offering, you will incur immediate dilution.</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Since the price per share of our common stock being offered is higher than the pro forma as adjusted net tangible book value per share of our common stock after giving effect to this offering and the registered direct offerings we consummated in May 2023, you will suffer dilution with respect to the pro forma as adjusted net tangible book value of the shares of common stock you purchase in this offering. Based on a public offering price of $2.1375 per share and our pro forma as adjusted net tangible book value as of March 31, 2023, if you purchase securities in this offering, you will suffer immediate dilution of $1.24 per share with respect to the net tangible book value of the common stock. You may experience additional dilution upon exercise of the outstanding stock options and other equity awards that may be granted under our equity incentive plans, exercise of outstanding warrants and when we otherwise issue additional shares of our common stock. For more information, see “Dilution.”</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will have broad discretion in the use of the net proceeds from this offering and may not use them effectively, including in connection with pending litigation.</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management will have broad discretion in the application of the net proceeds from this offering, including for any of the purposes described in the section entitled “Use of Proceeds,” and you will not have the 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Our management may not apply the net proceeds from this offering in ways that ultimately increase the value of your investment. The failure by our management to apply these funds effectively could harm our business. Pending their use, we may invest the net proceeds from this offering in short-term, investment-grade, interest-bearing securities or as otherwise provided in our investment policies in effect from time to time. These investments may not yield a favorable return to our stockholders.</w:t>
      </w:r>
    </w:p>
    <w:p>
      <w:pPr>
        <w:spacing w:after="0" w:line="17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were named as the defendant in a lawsuit captioned Empery Asset Master Ltd., Empery Tax Efficient, LP, Empery Tax Efficient II, LP, Hudson Bay Master Fund Ltd., Plaintiffs, against Microbot Medical Inc., Defendant, in the Supreme Court of the State of New York, County of New York (Index No. 651182/2020). The complaint alleges, among other things, that we breached multiple representations and warranties contained in the securities purchase agreement (“SPA”) related to our June 8, 2017 equity financing (the “Financing”), of which the Plaintiffs participated, and fraudulently induced Plaintiffs into signing the SPA. The complaint seeks rescission of the SPA and return of the Plaintiffs’ $6.75 million purchase price with respect to the Financing. We are currently in the discovery phase. Management is unable to assess the likelihood that we will succeed at trial with respect to the SPA or the Financing, having previously lost another lawsuit with respect to the Financing. Our failure to apply the net proceeds from this offering effectively, including to any adverse outcome with respect to the defense or settlement of litigation, could have a material adverse effect on our business, delay our product development and cause the price of our common stock to decline.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There may be future sales of our securities or other dilution of our equity, which may adversely affect the market price of our common stock.</w:t>
      </w:r>
    </w:p>
    <w:p>
      <w:pPr>
        <w:spacing w:after="0" w:line="24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are generally not restricted from issuing additional common stock, including any securities that are convertible into or exchangeable for, or that represent the right to receive, common stock; however, we agreed as part of this offering to not issue any common stock or common stock equivalents, or file any registration statement or amendments or supplements thereto, for a period of 45 days from the closing of this offering. The market price of our common stock could decline as a result of sales of common stock or securities that are convertible into or exchangeable for, or that represent the right to receive, common stock after this offering or the perception that such sales could occur.</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 w:name="page13"/>
    <w:bookmarkEnd w:id="12"/>
    <w:p>
      <w:pPr>
        <w:spacing w:after="0" w:line="10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Even if this offering is successful, we will need to raise additional capital in the future to remain a going concern, which may not be available on acceptable terms, or at all. Failure to obtain this necessary capital when needed may force us to delay, limit or terminate our product development efforts or other operations.</w:t>
      </w:r>
    </w:p>
    <w:p>
      <w:pPr>
        <w:spacing w:after="0" w:line="18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have had significant recurring losses from operations and we do not generate any cash from operations and must raise additional funds in order to continue operating our business. We expect to continue to fund our operations in the future primarily through equity and debt financings, grants from the Israel Innovation Authority and other sources. If additional capital is not available to us when needed or on acceptable terms, we may not be able to continue to operate our business pursuant to our business plan or we may have to discontinue our operations entirely. Based on our cash balance and recurring losses since inception and inadequacy of existing capital resources to fund planned operations during the next 12 months, we will require significant additional funding to continue operations. We received net proceeds of approximately $3.5 million from the registered direct offerings we consummated in May 2023, and we will receive net proceeds of approximately $1.24 million from the sale of the securities offered by us in this offering, after deducting the placement agent fees and estimated offering expenses payable by us and excluding any proceeds we may receive upon exercise of the securities issued in the concurrent private placement. We cannot provide assurances that our plans will not change or that changed circumstances will not result in the depletion of our capital resources more rapidly than we currently anticipate. Moreover, if we are unable to continue as a going concern, we may be forced to liquidate our assets and the values we receive for our assets in liquidation or dissolution could be significantly lower than the values reflected in our financial statements.</w:t>
      </w:r>
    </w:p>
    <w:p>
      <w:pPr>
        <w:spacing w:after="0" w:line="17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Any additional fundraising efforts may divert our management from their day-to-day activities, which may adversely affect our ability to develop and commercialize our product candidates. Our ability to raise additional funds will depend, in part, on the success of our product development activities, any clinical trials, regulatory events, our ability to identify and enter into in-licensing or other strategic arrangements, and other events or conditions that may affect our value or prospects, as well as factors related to financial, economic and market conditions, many of which are beyond our control. There can be no assurances that sufficient funds will be available to us when required or on acceptable terms, if at all.</w:t>
      </w:r>
    </w:p>
    <w:p>
      <w:pPr>
        <w:spacing w:after="0" w:line="17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If we are unable to secure additional funds when needed or on acceptable terms, we may be required to defer, reduce or eliminate significant planned expenditures, restructure, curtail or eliminate some or all of our development programs or other operations, dispose of technology or assets, pursue an acquisition of our company by a third party at a price that may result in a loss on investment for our stockholders, enter into arrangements that may require us to relinquish rights to certain of our product candidates, technologies or potential markets, file for bankruptcy or cease operations altogether. Any of these events could have a material adverse effect on our business, financial condition and results of operations. Moreover, if we are unable to obtain additional funds on a timely basis, there will be substantial doubt about our ability to continue as a going concern and increased risk of insolvency and up to a total loss of investment by our stockholders.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anticipate paying dividends on our common stock in the foreseeable future.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currently plan to invest all available funds, including the proceeds from this offering, and future earnings, if any, in the development and growth of our business. We currently do not anticipate paying any cash dividends on our common stock in the foreseeable future. As a result, a rise in the market price of our common stock, which is uncertain and unpredictable, will be your sole source of potential gain in the foreseeable future and you should not rely on an investment in our common stock for dividend income.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market price of our common stock is likely to be highly volatile and could fluctuate widely in price in response to various factors, many of which are beyond our control, including the following:</w:t>
      </w:r>
    </w:p>
    <w:p>
      <w:pPr>
        <w:spacing w:after="0" w:line="170" w:lineRule="exact"/>
        <w:rPr>
          <w:sz w:val="20"/>
          <w:szCs w:val="20"/>
          <w:color w:val="auto"/>
        </w:rPr>
      </w:pP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results of our operations and product development efforts;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obtain working capital financing;</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225"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limited “public float” in the hands of a small number of persons whose sales or lack of sales could result in positive or negative pricing pressure on the market price for our common stock;</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execute our business plan;</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sales of our common stock and decline in demand for our common stock;</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regulatory developments;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economic and other external factors;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investor perception of our industry or our prospects;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period-to-period fluctuations in our financial results.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the securities markets have from time to time experienced significant price and volume fluctuations that are unrelated to the operating performance of particular companies. The COVID-19 pandemic has resulted in significant financial market volatility and uncertainty in the recent past. These market fluctuations may also materially and adversely affect the market price of our common stock. As a result, you may be unable to resell your shares of our common stock at a desired price.</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selling the securities offered in this prospectus on a “best efforts” basis and may not be able to sell any of the securities offered herein.</w:t>
      </w:r>
    </w:p>
    <w:p>
      <w:pPr>
        <w:spacing w:after="0" w:line="248"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We have engaged Wainwright to act as placement agent in connection with this offering. While Wainwright will use its reasonable best efforts to arrange for the sale of the securities, they are under no obligation to purchase any of the securities. As a result, there are no firm commitments to purchase any of the securities in this offering. Consequently, there is no guarantee that we will be capable of selling all, or any, of the securities being offered hereby.</w:t>
      </w:r>
    </w:p>
    <w:p>
      <w:pPr>
        <w:sectPr>
          <w:pgSz w:w="11900" w:h="16944" w:orient="portrait"/>
          <w:cols w:equalWidth="0" w:num="1">
            <w:col w:w="11240"/>
          </w:cols>
          <w:pgMar w:left="320" w:top="692" w:right="339" w:bottom="0" w:gutter="0" w:footer="0" w:header="0"/>
        </w:sectPr>
      </w:pPr>
    </w:p>
    <w:bookmarkStart w:id="13" w:name="page14"/>
    <w:bookmarkEnd w:id="13"/>
    <w:p>
      <w:pPr>
        <w:jc w:val="center"/>
        <w:ind w:right="19"/>
        <w:spacing w:after="0"/>
        <w:rPr>
          <w:sz w:val="20"/>
          <w:szCs w:val="20"/>
          <w:color w:val="auto"/>
        </w:rPr>
      </w:pPr>
      <w:r>
        <w:rPr>
          <w:rFonts w:ascii="Arial" w:cs="Arial" w:eastAsia="Arial" w:hAnsi="Arial"/>
          <w:sz w:val="15"/>
          <w:szCs w:val="15"/>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36830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estimate the net proceeds to us from the sale of our common stock in this offering, if any, will be approximately $1.24 million after deducting the placement agent fees and estimated offering expenses payable by us.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currently intend to use the net proceeds from this offering for the continued development, commercialization and regulatory activities for the</w:t>
      </w:r>
    </w:p>
    <w:p>
      <w:pPr>
        <w:spacing w:after="0" w:line="42"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LIBERTY</w:t>
      </w:r>
      <w:r>
        <w:rPr>
          <w:rFonts w:ascii="Arial" w:cs="Arial" w:eastAsia="Arial" w:hAnsi="Arial"/>
          <w:sz w:val="29"/>
          <w:szCs w:val="29"/>
          <w:color w:val="auto"/>
          <w:vertAlign w:val="superscript"/>
        </w:rPr>
        <w:t>®</w:t>
      </w:r>
      <w:r>
        <w:rPr>
          <w:rFonts w:ascii="Arial" w:cs="Arial" w:eastAsia="Arial" w:hAnsi="Arial"/>
          <w:sz w:val="18"/>
          <w:szCs w:val="18"/>
          <w:color w:val="auto"/>
        </w:rPr>
        <w:t xml:space="preserve"> Robotic System, expansion and development of additional applications derived from our existing intellectual property portfolio, and for working capital and other general corporate purposes. As a result, our management will retain broad discretion in the allocation and use of the net proceeds of this offering, and investors will be relying on the judgment of our management with regard to the use of these net proceeds. Pending application of the net proceeds for the purposes as described above, we expect to invest the net proceeds in short-term, interest-bearing securities, investment grade securities, certificates of deposit or direct or guaranteed obligations of the U.S. government.</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 w:name="page16"/>
    <w:bookmarkEnd w:id="15"/>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you invest in our securities, you will experience immediate and substantial dilution to the extent of the difference between the amount per share paid in this offering and the net tangible book value per share of our common stock immediately after the offering.</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net tangible book value per share is determined by subtracting our total liabilities from our total tangible assets, which is total assets less intangible assets, and dividing this amount by the number of shares of common stock outstanding. The historical net tangible book value of our common stock as of March 31, 2023 was approximately $4,848,000, or $0.60 per share, based on 8,130,628 shares of our common stock outstanding at March 31, 2023.</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pro forma net tangible book value as of March 31, 2023, was approximately $8,350,980, or approximately $0.84 per share, on a pro forma basis to give effect to (i) the registered direct offering of 655,569 shares of common stock at the offering price of $2.20 per share that closed on May 23, 2023, after deducting the placement agent’s fees and estimated offering expenses payable by us, (ii) the registered direct offering of 975,000 shares of common stock at the offering price of $2.20 and pre-funded warrants exercisable for up to 234,500 shares of common stock at the offering price of $2.1999 per pre-funded warrant that closed on May 24, 2023, after deducting the placement agent’s fees and estimated offering expenses payable by us and (iii) the exercise of pre-funded warrants for 234,500 shares of common stock.</w:t>
      </w:r>
    </w:p>
    <w:p>
      <w:pPr>
        <w:spacing w:after="0" w:line="17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After giving effect to the issuance and sale in this offering of 701,756 shares of common stock at the offering price of $2.1375 per share, after deducting the estimated placement agent’s fees and estimated offering expenses payable by us, our pro forma as adjusted net tangible book value on March 31, 2023, would have been approximately $9,595,033 or $0.90 per share. This represents an immediate increase in the net tangible book value of $0.06 per share attributable to this offering and an immediate dilution of $1.24 per share to the new investors in this offering.</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80" w:type="dxa"/>
            <w:vAlign w:val="bottom"/>
          </w:tcPr>
          <w:p>
            <w:pPr>
              <w:ind w:left="660"/>
              <w:spacing w:after="0"/>
              <w:rPr>
                <w:sz w:val="20"/>
                <w:szCs w:val="20"/>
                <w:color w:val="auto"/>
              </w:rPr>
            </w:pPr>
            <w:r>
              <w:rPr>
                <w:rFonts w:ascii="Arial" w:cs="Arial" w:eastAsia="Arial" w:hAnsi="Arial"/>
                <w:sz w:val="18"/>
                <w:szCs w:val="18"/>
                <w:color w:val="auto"/>
              </w:rPr>
              <w:t>The following table illustrates the immediate dilution to the new investors:</w:t>
            </w:r>
          </w:p>
        </w:tc>
        <w:tc>
          <w:tcPr>
            <w:tcW w:w="8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16"/>
        </w:trPr>
        <w:tc>
          <w:tcPr>
            <w:tcW w:w="7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 per share</w:t>
            </w:r>
          </w:p>
        </w:tc>
        <w:tc>
          <w:tcPr>
            <w:tcW w:w="880" w:type="dxa"/>
            <w:vAlign w:val="bottom"/>
            <w:shd w:val="clear" w:color="auto" w:fill="CCEEFF"/>
          </w:tcPr>
          <w:p>
            <w:pPr>
              <w:spacing w:after="0"/>
              <w:rPr>
                <w:sz w:val="18"/>
                <w:szCs w:val="18"/>
                <w:color w:val="auto"/>
              </w:rPr>
            </w:pPr>
          </w:p>
        </w:tc>
        <w:tc>
          <w:tcPr>
            <w:tcW w:w="192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2.1375</w:t>
            </w:r>
          </w:p>
        </w:tc>
      </w:tr>
      <w:tr>
        <w:trPr>
          <w:trHeight w:val="216"/>
        </w:trPr>
        <w:tc>
          <w:tcPr>
            <w:tcW w:w="7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Historical net tangible book value per share on March 31, 2023</w:t>
            </w:r>
          </w:p>
        </w:tc>
        <w:tc>
          <w:tcPr>
            <w:tcW w:w="88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rPr>
              <w:t>0.60</w:t>
            </w:r>
          </w:p>
        </w:tc>
        <w:tc>
          <w:tcPr>
            <w:tcW w:w="1160" w:type="dxa"/>
            <w:vAlign w:val="bottom"/>
            <w:shd w:val="clear" w:color="auto" w:fill="CCEEFF"/>
          </w:tcPr>
          <w:p>
            <w:pPr>
              <w:spacing w:after="0"/>
              <w:rPr>
                <w:sz w:val="18"/>
                <w:szCs w:val="18"/>
                <w:color w:val="auto"/>
              </w:rPr>
            </w:pPr>
          </w:p>
        </w:tc>
      </w:tr>
      <w:tr>
        <w:trPr>
          <w:trHeight w:val="216"/>
        </w:trPr>
        <w:tc>
          <w:tcPr>
            <w:tcW w:w="7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Pro forma net tangible book value per share on March 31, 2023</w:t>
            </w:r>
          </w:p>
        </w:tc>
        <w:tc>
          <w:tcPr>
            <w:tcW w:w="880" w:type="dxa"/>
            <w:vAlign w:val="bottom"/>
            <w:shd w:val="clear" w:color="auto" w:fill="CCEEFF"/>
          </w:tcPr>
          <w:p>
            <w:pPr>
              <w:spacing w:after="0"/>
              <w:rPr>
                <w:sz w:val="18"/>
                <w:szCs w:val="18"/>
                <w:color w:val="auto"/>
              </w:rPr>
            </w:pPr>
          </w:p>
        </w:tc>
        <w:tc>
          <w:tcPr>
            <w:tcW w:w="192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rPr>
              <w:t>0.84</w:t>
            </w:r>
          </w:p>
        </w:tc>
        <w:tc>
          <w:tcPr>
            <w:tcW w:w="1160" w:type="dxa"/>
            <w:vAlign w:val="bottom"/>
            <w:shd w:val="clear" w:color="auto" w:fill="CCEEFF"/>
          </w:tcPr>
          <w:p>
            <w:pPr>
              <w:spacing w:after="0"/>
              <w:rPr>
                <w:sz w:val="18"/>
                <w:szCs w:val="18"/>
                <w:color w:val="auto"/>
              </w:rPr>
            </w:pPr>
          </w:p>
        </w:tc>
      </w:tr>
      <w:tr>
        <w:trPr>
          <w:trHeight w:val="216"/>
        </w:trPr>
        <w:tc>
          <w:tcPr>
            <w:tcW w:w="7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Increase in pro forma net tangible book value per share attributable to this offering</w:t>
            </w:r>
          </w:p>
        </w:tc>
        <w:tc>
          <w:tcPr>
            <w:tcW w:w="880" w:type="dxa"/>
            <w:vAlign w:val="bottom"/>
            <w:shd w:val="clear" w:color="auto" w:fill="CCEEFF"/>
          </w:tcPr>
          <w:p>
            <w:pPr>
              <w:spacing w:after="0"/>
              <w:rPr>
                <w:sz w:val="18"/>
                <w:szCs w:val="18"/>
                <w:color w:val="auto"/>
              </w:rPr>
            </w:pPr>
          </w:p>
        </w:tc>
        <w:tc>
          <w:tcPr>
            <w:tcW w:w="192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rPr>
              <w:t>0.06</w:t>
            </w:r>
          </w:p>
        </w:tc>
        <w:tc>
          <w:tcPr>
            <w:tcW w:w="1160" w:type="dxa"/>
            <w:vAlign w:val="bottom"/>
            <w:shd w:val="clear" w:color="auto" w:fill="CCEEFF"/>
          </w:tcPr>
          <w:p>
            <w:pPr>
              <w:spacing w:after="0"/>
              <w:rPr>
                <w:sz w:val="18"/>
                <w:szCs w:val="18"/>
                <w:color w:val="auto"/>
              </w:rPr>
            </w:pPr>
          </w:p>
        </w:tc>
      </w:tr>
      <w:tr>
        <w:trPr>
          <w:trHeight w:val="216"/>
        </w:trPr>
        <w:tc>
          <w:tcPr>
            <w:tcW w:w="7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02"/>
        </w:trPr>
        <w:tc>
          <w:tcPr>
            <w:tcW w:w="7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Pro forma as adjusted net tangible book value per share as of March 31, 2023, after giving effect to</w:t>
            </w:r>
          </w:p>
        </w:tc>
        <w:tc>
          <w:tcPr>
            <w:tcW w:w="88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30"/>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this offering</w:t>
            </w:r>
          </w:p>
        </w:tc>
        <w:tc>
          <w:tcPr>
            <w:tcW w:w="880" w:type="dxa"/>
            <w:vAlign w:val="bottom"/>
            <w:shd w:val="clear" w:color="auto" w:fill="CCEEFF"/>
          </w:tcPr>
          <w:p>
            <w:pPr>
              <w:spacing w:after="0"/>
              <w:rPr>
                <w:sz w:val="20"/>
                <w:szCs w:val="20"/>
                <w:color w:val="auto"/>
              </w:rPr>
            </w:pPr>
          </w:p>
        </w:tc>
        <w:tc>
          <w:tcPr>
            <w:tcW w:w="192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0.90</w:t>
            </w:r>
          </w:p>
        </w:tc>
      </w:tr>
      <w:tr>
        <w:trPr>
          <w:trHeight w:val="216"/>
        </w:trPr>
        <w:tc>
          <w:tcPr>
            <w:tcW w:w="7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Dilution per share to new investors in this offering</w:t>
            </w:r>
          </w:p>
        </w:tc>
        <w:tc>
          <w:tcPr>
            <w:tcW w:w="880" w:type="dxa"/>
            <w:vAlign w:val="bottom"/>
            <w:shd w:val="clear" w:color="auto" w:fill="CCEEFF"/>
          </w:tcPr>
          <w:p>
            <w:pPr>
              <w:spacing w:after="0"/>
              <w:rPr>
                <w:sz w:val="18"/>
                <w:szCs w:val="18"/>
                <w:color w:val="auto"/>
              </w:rPr>
            </w:pPr>
          </w:p>
        </w:tc>
        <w:tc>
          <w:tcPr>
            <w:tcW w:w="192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1.24</w:t>
            </w: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foregoing discussion and table do not take into account further dilution to new investors that could occur upon the exercise of outstanding options or warrants. In addition, 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these securities could result in further dilution to our stockholders.</w:t>
      </w:r>
    </w:p>
    <w:p>
      <w:pPr>
        <w:spacing w:after="0" w:line="18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above discussion and table are based on 8,130,628, 9,995,697 and 10,697,453 actual, pro forma and pro forma as adjusted shares of our common stock outstanding as of May 24, 2023, respectively, and excludes the following securities outstanding on May 24, 2023:</w:t>
      </w:r>
    </w:p>
    <w:p>
      <w:pPr>
        <w:spacing w:after="0" w:line="146" w:lineRule="exact"/>
        <w:rPr>
          <w:sz w:val="20"/>
          <w:szCs w:val="20"/>
          <w:color w:val="auto"/>
        </w:rPr>
      </w:pPr>
    </w:p>
    <w:p>
      <w:pPr>
        <w:ind w:left="1300" w:hanging="320"/>
        <w:spacing w:after="0" w:line="277"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1,556,179 shares of our common stock issuable upon the exercise of outstanding stock options, with exercise prices ranging from approximately $0.005 to $19.35 and having a weighted-average exercise price of $7.14 per share;</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113,335 shares of our common stock reserved for future grant under our 2017 Equity Incentive Plan;</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514,279 shares of our common stock reserved for future grant under our 2020 Omnibus Performance Award Plan;</w:t>
      </w:r>
    </w:p>
    <w:p>
      <w:pPr>
        <w:spacing w:after="0" w:line="225"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1,022,495 shares of our common stock issuable upon the exercise of outstanding preferred investment options expiring in October 2027, originally at an exercise price per share of $4.64 but amended to a reduced exercise price per share of $2.20 in connection with the offering that was consummated on May 24, 2023;</w:t>
      </w:r>
    </w:p>
    <w:p>
      <w:pPr>
        <w:spacing w:after="0" w:line="183"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1,022,495 shares of our common stock issuable upon the exercise of outstanding preferred investment options, originally expiring in October 2024 with an exercise price per share of $4.64, but amended to expire in October 2027 at a reduced exercise price per share of $2.20 in connection with the offering that was consummated on May 24, 2023;</w:t>
      </w:r>
    </w:p>
    <w:p>
      <w:pPr>
        <w:spacing w:after="0" w:line="183"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93,262 shares of our common stock issuable upon the exercise of outstanding warrants expiring in June 2023, at an exercise price per share of $13.13;</w:t>
      </w:r>
    </w:p>
    <w:p>
      <w:pPr>
        <w:spacing w:after="0" w:line="170"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45,045 shares of our common stock issuable upon the exercise of outstanding warrants expiring in June 2023, at an exercise price per share of $13.88;</w:t>
      </w:r>
    </w:p>
    <w:p>
      <w:pPr>
        <w:spacing w:after="0" w:line="170"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51,125 shares of our common stock issuable upon the exercise of outstanding warrants expiring in October 2027, at an exercise price per share of $6.11;</w:t>
      </w:r>
    </w:p>
    <w:p>
      <w:pPr>
        <w:spacing w:after="0" w:line="170"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32,778 shares of our common stock issuable upon the exercise of outstanding warrants expiring in November 2026, at an exercise price per share of $2.75; and</w:t>
      </w:r>
    </w:p>
    <w:p>
      <w:pPr>
        <w:spacing w:after="0" w:line="170"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60,476 shares of our common stock issuable upon the exercise of outstanding warrants expiring in November 2026, at an exercise price per share of $2.75.</w:t>
      </w:r>
    </w:p>
    <w:p>
      <w:pPr>
        <w:sectPr>
          <w:pgSz w:w="11900" w:h="16922" w:orient="portrait"/>
          <w:cols w:equalWidth="0" w:num="1">
            <w:col w:w="11240"/>
          </w:cols>
          <w:pgMar w:left="320" w:top="688" w:right="339" w:bottom="0" w:gutter="0" w:footer="0" w:header="0"/>
        </w:sectPr>
      </w:pPr>
    </w:p>
    <w:bookmarkStart w:id="16" w:name="page17"/>
    <w:bookmarkEnd w:id="16"/>
    <w:p>
      <w:pPr>
        <w:spacing w:after="0" w:line="277" w:lineRule="auto"/>
        <w:rPr>
          <w:sz w:val="20"/>
          <w:szCs w:val="20"/>
          <w:color w:val="auto"/>
        </w:rPr>
      </w:pPr>
      <w:r>
        <w:rPr>
          <w:rFonts w:ascii="Arial" w:cs="Arial" w:eastAsia="Arial" w:hAnsi="Arial"/>
          <w:sz w:val="18"/>
          <w:szCs w:val="18"/>
          <w:color w:val="auto"/>
        </w:rPr>
        <w:t>Unless otherwise indicated, this prospectus supplement assumes no exercise of the placement agent warrants and any securities issued in the concurrent private placement.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DESCRIPTION OF THE SECURITIES WE ARE OFFERING</w:t>
      </w:r>
    </w:p>
    <w:p>
      <w:pPr>
        <w:spacing w:after="0" w:line="229"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We are offering shares of common stock. The following description of our shares of common stock summarizes the material terms and provisions thereof, including the material terms of the shares of common stock we are offering under this prospectus supplement and the accompanying prospectus.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For a description of the rights associated with the common stock, see “Description of Common Stock” in the accompanying prospectus. Our common stock is listed on The Nasdaq Capital Market under the symbol “MBOT.” Our transfer agent is Computershare Trust Company, N.A.</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PRIVATE PLACEMENT TRANSACTION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Concurrent Private Placement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 concurrent private placement, we are also selling to the same institutional investors of our shares of common stock, unregistered series C preferred investment options to purchase up to 350,878 shares of our common stock (the “series C preferred investment options”). Each series C preferred investment option will be exercisable for one share of common stock at an exercise price of $2.075 commencing on the date of issuance and will expire five and one-half years from the initial exercise date.</w:t>
      </w:r>
    </w:p>
    <w:p>
      <w:pPr>
        <w:spacing w:after="0" w:line="18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 holder of preferred investment options will not have the right to exercise any portion of its preferred investment options if the holder, together with its affiliates, would beneficially own in excess of 4.99% of the number of shares of common stock outstanding immediately after giving effect to such exercise; provided, however, that upon notice to the Company, the holder may increase or decrease such beneficial ownership limitation, provided that in no event shall such beneficial ownership limitation exceed 9.99% and any increase in the beneficial ownership limitation will not be effective until 61 days following notice of such increase from the holder to us. In addition, the holders of the preferred investment options will have the right to participate in any rights offering or distribution of assets together with the holders of our shares of common stock on an as-exercised basis.</w:t>
      </w:r>
    </w:p>
    <w:p>
      <w:pPr>
        <w:spacing w:after="0" w:line="16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preferred investment options and the shares of common stock issuable upon the exercise of such securities are not being registered under the Securities Act of 1933, as amended (the “Securities Act”), are not being offered pursuant to this prospectus supplement and the accompanying prospectus and are being offered pursuant to the exemption provided in Section 4(a)(2) under the Securities Act and Rule 506(b) promulgated thereunder. Accordingly, purchasers of the preferred investment options, may only sell shares of our common stock issued upon exercise of such securities being sold to them in the concurrent private placement, pursuant to an effective registration statement under the Securities Act covering the resale of those shares, an exemption under Rule 144 under the Securities Act or another applicable exemption under the Securities Act. None of the securities issued in the concurrent private placement are or will be listed for trading on any national securities exchange.</w:t>
      </w:r>
    </w:p>
    <w:p>
      <w:pPr>
        <w:spacing w:after="0" w:line="17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exercise price and number of the shares of common stock issuable upon the exercise of the preferred investment options will be subject to adjustment for stock splits, reverse splits, and similar capital transactions, as described in the preferred investment options. The preferred investment options will be exercisable on a “cashless” basis in certain circumstances.</w:t>
      </w:r>
    </w:p>
    <w:p>
      <w:pPr>
        <w:spacing w:after="0" w:line="18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Additionally, if a fundamental transaction occurs, then the successor entity will succeed to, and be substituted for us, and may exercise every right and power that we may exercise and will assume all of our obligations under the preferred investment options with the same effect as if such successor entity had been named in the preferred investment option itself. If holders of our shares of common stock are given a choice as to the securities, cash or property to be received in a fundamental transaction, then the holder shall be given the same choice as to the consideration it receives upon any exercise of the preferred investment option following such fundamental transaction. As more fully described in the form of preferred investment option, in the event of certain fundamental transactions, the holders of the preferred investment options will be entitled to receive consideration in an amount equal to the Black Scholes value of the preferred investment option on the date of consummation of the transaction.</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Pursuant to an engagement letter agreement dated May 16, 2023, we have engaged H.C. Wainwright &amp; Co., LLC, referred to herein as Wainwright or the placement agent, to act as our exclusive placement agent in connection with this offering. Under the terms of the engagement letter, Wainwright is not purchasing the securities offered by us in this offering, and is not required to sell any specific number or dollar amount of securities, but will assist us in this offering on a reasonable best efforts basis. The terms of this offering were subject to market conditions and negotiations between us, Wainwright and prospective investors. Wainwright will have no authority to bind us by virtue of the engagement letter. Wainwright may engage sub-agents or selected dealers to assist with this offering. We may not sell the entire amount of our shares of Common Stock offered pursuant to this prospectus supplement.</w:t>
      </w:r>
    </w:p>
    <w:p>
      <w:pPr>
        <w:spacing w:after="0" w:line="16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placement agent proposes to arrange for the sale of the securities we are offering pursuant to this prospectus supplement and accompanying prospectus to one or more institutional or accredited investors through securities purchase agreements directly between the purchaser and us. We will only sell to such investors who have entered into the securities purchase agreement with us.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Delivery of the securities offered hereby is expected to take place on or about June 6, 2023, subject to satisfaction of customary closing conditions.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and Expenses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agreed to pay the placement agent a cash fee of 7.0% of the aggregate gross proceeds raised in the offering, as well as a management fee equal to 1.0% of the gross proceeds raised in this offering. The following table shows the per share and total cash fees we will pay to the placement agent in connection with the sale of our securities offered pursuant to this prospectus supplement and the accompanying prospectus, assuming the purchase of all of the securities offered hereby.</w:t>
      </w:r>
    </w:p>
    <w:p>
      <w:pPr>
        <w:spacing w:after="0" w:line="196" w:lineRule="exact"/>
        <w:rPr>
          <w:sz w:val="20"/>
          <w:szCs w:val="20"/>
          <w:color w:val="auto"/>
        </w:rPr>
      </w:pPr>
    </w:p>
    <w:tbl>
      <w:tblPr>
        <w:tblLayout w:type="fixed"/>
        <w:tblInd w:w="1120" w:type="dxa"/>
        <w:tblCellMar>
          <w:top w:w="0" w:type="dxa"/>
          <w:left w:w="0" w:type="dxa"/>
          <w:bottom w:w="0" w:type="dxa"/>
          <w:right w:w="0" w:type="dxa"/>
        </w:tblCellMar>
      </w:tblPr>
      <w:tr>
        <w:trPr>
          <w:trHeight w:val="241"/>
        </w:trPr>
        <w:tc>
          <w:tcPr>
            <w:tcW w:w="40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Per Share</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Total</w:t>
            </w:r>
          </w:p>
        </w:tc>
      </w:tr>
      <w:tr>
        <w:trPr>
          <w:trHeight w:val="216"/>
        </w:trPr>
        <w:tc>
          <w:tcPr>
            <w:tcW w:w="4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Offering price</w:t>
            </w:r>
          </w:p>
        </w:tc>
        <w:tc>
          <w:tcPr>
            <w:tcW w:w="15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2.1375</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1,500,003.45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080" w:type="dxa"/>
            <w:vAlign w:val="bottom"/>
          </w:tcPr>
          <w:p>
            <w:pPr>
              <w:ind w:left="20"/>
              <w:spacing w:after="0"/>
              <w:rPr>
                <w:sz w:val="20"/>
                <w:szCs w:val="20"/>
                <w:color w:val="auto"/>
              </w:rPr>
            </w:pPr>
            <w:r>
              <w:rPr>
                <w:rFonts w:ascii="Arial" w:cs="Arial" w:eastAsia="Arial" w:hAnsi="Arial"/>
                <w:sz w:val="18"/>
                <w:szCs w:val="18"/>
                <w:color w:val="auto"/>
              </w:rPr>
              <w:t>Placement agent’s fees (1)</w:t>
            </w:r>
          </w:p>
        </w:tc>
        <w:tc>
          <w:tcPr>
            <w:tcW w:w="17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0.149625</w:t>
            </w:r>
          </w:p>
        </w:tc>
        <w:tc>
          <w:tcPr>
            <w:tcW w:w="46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105,000.24</w:t>
            </w:r>
          </w:p>
        </w:tc>
      </w:tr>
      <w:tr>
        <w:trPr>
          <w:trHeight w:val="216"/>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before expenses, to us (2)</w:t>
            </w:r>
          </w:p>
        </w:tc>
        <w:tc>
          <w:tcPr>
            <w:tcW w:w="17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1.987875</w:t>
            </w:r>
          </w:p>
        </w:tc>
        <w:tc>
          <w:tcPr>
            <w:tcW w:w="460" w:type="dxa"/>
            <w:vAlign w:val="bottom"/>
            <w:gridSpan w:val="2"/>
            <w:shd w:val="clear" w:color="auto" w:fill="CCEEFF"/>
          </w:tcPr>
          <w:p>
            <w:pPr>
              <w:jc w:val="right"/>
              <w:ind w:right="167"/>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1,395,003.21</w:t>
            </w:r>
          </w:p>
        </w:tc>
      </w:tr>
    </w:tbl>
    <w:p>
      <w:pPr>
        <w:spacing w:after="0" w:line="20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addition, we have agreed to reimburse the placement agent for its non-accountable expenses in the amount of $25,000, for its fees and expenses of legal counsel in the amount of up to $35,000, and for its clearing expenses in the amount of $15,950. We estimate the total offering expenses of this offering that will be payable by us, excluding the placement agent’s fees and expenses, will be approximately $60,000.</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862" w:gutter="0" w:footer="0" w:header="0"/>
        </w:sectPr>
      </w:pPr>
    </w:p>
    <w:bookmarkStart w:id="19" w:name="page20"/>
    <w:bookmarkEnd w:id="19"/>
    <w:p>
      <w:pPr>
        <w:jc w:val="both"/>
        <w:ind w:firstLine="648"/>
        <w:spacing w:after="0" w:line="263" w:lineRule="auto"/>
        <w:rPr>
          <w:sz w:val="20"/>
          <w:szCs w:val="20"/>
          <w:color w:val="auto"/>
        </w:rPr>
      </w:pPr>
      <w:r>
        <w:rPr>
          <w:rFonts w:ascii="Arial" w:cs="Arial" w:eastAsia="Arial" w:hAnsi="Arial"/>
          <w:sz w:val="18"/>
          <w:szCs w:val="18"/>
          <w:color w:val="auto"/>
        </w:rPr>
        <w:t>In addition, we will issue to the placement agent, or its designees, warrants to purchase up to 35,088 shares of Common Stock. The placement agent warrants will be exercisable immediately following issuance, will have an exercise price equal to $2.6719 and will have a term of five years from the commencement of sales of this offering.</w:t>
      </w:r>
    </w:p>
    <w:p>
      <w:pPr>
        <w:spacing w:after="0" w:line="18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securities purchase agreement that we entered into with the investor prohibits, with certain limited exceptions, us: (i) for five (5) trading days following the closing date from issuing any shares of Common Stock or Common Stock Equivalents (as defined in the securities purchase agreement) or filing any registration statement (other than a Form S-8), and (ii) for twelve (12) months following the closing date from issuing any shares of Common Stock or Common Stock Equivalents in a Variable Rate Transaction (as defined in the securities purchase agreement).</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have granted Wainwright, subject to certain exceptions, a right of first refusal for a period of twelve (12) months following the consummation of this offering to act as our exclusive underwriter or placement agent for any further capital raising transactions undertaken by us or any of our subsidiaries.</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the event that any investor whom the placement agent had contacted during the term of its engagement or introduced to the Company during the term of our engagement of the placement agent provides any capital to us, in a public or private offering or other financing or capital-raising transaction of any kind, within the six (6) months following the expiration of termination of the engagement of the placement agent, we shall pay the placement agent the cash compensation provided above, calculated in the same manner.</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have agreed to indemnify the placement agent and specified other persons against certain liabilities relating to or arising out of the placement agent’s activities under its engagement letter, including liabilities under the Securities Act, and to contribute to payments that the placement agent may be required to make in respect of such liabilities.</w:t>
      </w:r>
    </w:p>
    <w:p>
      <w:pPr>
        <w:spacing w:after="0" w:line="18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placement agent may be deemed to be an underwriter within the meaning of Section 2(a)(11) of the Securities Act, and any commissions received by it and any profit realized on the sale of our securities offered hereby by it while acting as principal might be deemed to be underwriting discounts or commissions under the Securities Act. The placement agent will be required to comply with the requirements of the Securities Act and the Exchange Act, including, without limitation, Rule 10b-5 and Regulation M under the Exchange Act. These rules and regulations may limit the timing of purchases and sales of our securities by the placement agent. Under these rules and regulations, the placement agent may not (i) engage in any stabilization activity in connection with our securities; and (ii) bid for or purchase any of our securities or attempt to induce any person to purchase any of our securities, other than as permitted under the Exchange Act, until they have completed their participation in the distribution.</w:t>
      </w:r>
    </w:p>
    <w:p>
      <w:pPr>
        <w:spacing w:after="0" w:line="16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From time to time, the placement agent or its affiliates may provide in the future various advisory, investment and commercial banking and other services to us in the ordinary course of business, for which they have received and may continue to receive customary fees and commissions. However, except as disclosed in this prospectus supplement, we have no present arrangements with the placement agent for any further services.</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placement agent acted as our placement agent in connection with our registered direct offerings that were consummated in May 2023, for which it received compensation.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Transfer Agent and Registrar for our Common Stock is Computershare Trust Company, N.A.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shares of Common Stock trade on the Nasdaq Capital Market under the ticker symbol “MBOT.”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validity of the shares being offered under this prospectus supplement by us will be passed upon for us by Mintz, Levin, Cohn, Ferris, Glovsky and Popeo, P.C., Boston, Massachusetts. Ellenoff Grossman &amp; Schole LLP, New York, New York is counsel to the placement agent in connection with this offering.</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consolidated financial statements of Microbot Medical Inc. as of December 31, 2022, and for the year then ended, incorporated by reference in this prospectus supplement and the registration statement of which this prospectus forms a part have been audited by Brightman Almagor Zohar &amp; Co., a Member of Deloitte Touche Tohmatsu Limited, independent registered public accounting firm, as set forth in its report thereon incorporated by reference herein, and are included in reliance upon such reports given on the authority of such firms as experts in accounting and auditing.</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We are subject to the reporting requirements of the Exchange Act and file annual, quarterly and current reports, proxy statements and other information with the SEC. You may read and copy these reports, proxy statements and other information at the SEC’s public reference facilities at 100 F Street, N.E., Room 1580, Washington, D.C. 20549. You can request copies of these documents by writing to the SEC and paying a fee for the copying cost. Please call the SEC at 1-800-SEC-0330 for more information about the operation of the public reference facilities. SEC filings are also available at the SEC’s website at </w:t>
      </w:r>
      <w:r>
        <w:rPr>
          <w:rFonts w:ascii="Arial" w:cs="Arial" w:eastAsia="Arial" w:hAnsi="Arial"/>
          <w:sz w:val="18"/>
          <w:szCs w:val="18"/>
          <w:i w:val="1"/>
          <w:iCs w:val="1"/>
          <w:color w:val="auto"/>
        </w:rPr>
        <w:t>http://www.sec.gov</w:t>
      </w:r>
      <w:r>
        <w:rPr>
          <w:rFonts w:ascii="Arial" w:cs="Arial" w:eastAsia="Arial" w:hAnsi="Arial"/>
          <w:sz w:val="18"/>
          <w:szCs w:val="18"/>
          <w:color w:val="auto"/>
        </w:rPr>
        <w:t>.</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This prospectus supplement and the accompanying prospectus are only part of a registration statement on Form S-3 that we have filed with the SEC under the Securities Act and therefore omit certain information contained in the registration statement. We have also filed exhibits and schedules with the registration statement that are excluded from this prospectus supplement and the accompanying prospectus, and you should refer to the applicable exhibit or schedule for a complete description of any statement referring to any contract or other document. You may inspect a copy of the registration statement, including the exhibits and schedules, without charge, at the public reference room or obtain a copy from the SEC upon payment of the fees prescribed by the SEC.</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We also maintain a website at </w:t>
      </w:r>
      <w:r>
        <w:rPr>
          <w:rFonts w:ascii="Arial" w:cs="Arial" w:eastAsia="Arial" w:hAnsi="Arial"/>
          <w:sz w:val="18"/>
          <w:szCs w:val="18"/>
          <w:i w:val="1"/>
          <w:iCs w:val="1"/>
          <w:color w:val="auto"/>
        </w:rPr>
        <w:t>www.microbotmedical.com</w:t>
      </w:r>
      <w:r>
        <w:rPr>
          <w:rFonts w:ascii="Arial" w:cs="Arial" w:eastAsia="Arial" w:hAnsi="Arial"/>
          <w:sz w:val="18"/>
          <w:szCs w:val="18"/>
          <w:color w:val="auto"/>
        </w:rPr>
        <w:t>, through which you can access our SEC filings. The information set forth on our website is not part of this prospectus supplement or the accompanying prospectus.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22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prior to the date of this prospectus.</w:t>
      </w:r>
    </w:p>
    <w:p>
      <w:pPr>
        <w:spacing w:after="0" w:line="14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incorporate by reference into this prospectus and the registration statement of which this prospectus is a part the information or documents listed below that we have filed with the SEC (Commission File No. 001-19871):</w:t>
      </w:r>
    </w:p>
    <w:p>
      <w:pPr>
        <w:spacing w:after="0" w:line="170" w:lineRule="exact"/>
        <w:rPr>
          <w:sz w:val="20"/>
          <w:szCs w:val="20"/>
          <w:color w:val="auto"/>
        </w:rPr>
      </w:pP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32">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2022 filed with the SEC on March 31, 2023;</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our Quarterly Report on </w:t>
      </w:r>
      <w:hyperlink r:id="rId33">
        <w:r>
          <w:rPr>
            <w:rFonts w:ascii="Arial" w:cs="Arial" w:eastAsia="Arial" w:hAnsi="Arial"/>
            <w:sz w:val="18"/>
            <w:szCs w:val="18"/>
            <w:u w:val="single" w:color="auto"/>
            <w:color w:val="0000EE"/>
          </w:rPr>
          <w:t>Form 10-Q</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quarter ended March 31, 2023 filed with the SEC on May 17, 2023;</w:t>
      </w:r>
    </w:p>
    <w:p>
      <w:pPr>
        <w:spacing w:after="0" w:line="225"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0"/>
          <w:numId w:val="9"/>
        </w:numPr>
        <w:rPr>
          <w:rFonts w:ascii="Arial" w:cs="Arial" w:eastAsia="Arial" w:hAnsi="Arial"/>
          <w:sz w:val="18"/>
          <w:szCs w:val="18"/>
          <w:color w:val="0000EE"/>
        </w:rPr>
      </w:pPr>
      <w:r>
        <w:rPr>
          <w:rFonts w:ascii="Arial" w:cs="Arial" w:eastAsia="Arial" w:hAnsi="Arial"/>
          <w:sz w:val="18"/>
          <w:szCs w:val="18"/>
          <w:color w:val="auto"/>
        </w:rPr>
        <w:t xml:space="preserve">our Current Reports on Form 8-K filed with the SEC on </w:t>
      </w:r>
      <w:hyperlink r:id="rId34">
        <w:r>
          <w:rPr>
            <w:rFonts w:ascii="Arial" w:cs="Arial" w:eastAsia="Arial" w:hAnsi="Arial"/>
            <w:sz w:val="18"/>
            <w:szCs w:val="18"/>
            <w:u w:val="single" w:color="auto"/>
            <w:color w:val="0000EE"/>
          </w:rPr>
          <w:t>January 23, 2023</w:t>
        </w:r>
      </w:hyperlink>
      <w:r>
        <w:rPr>
          <w:rFonts w:ascii="Arial" w:cs="Arial" w:eastAsia="Arial" w:hAnsi="Arial"/>
          <w:sz w:val="18"/>
          <w:szCs w:val="18"/>
          <w:color w:val="auto"/>
        </w:rPr>
        <w:t xml:space="preserve">, </w:t>
      </w:r>
      <w:hyperlink r:id="rId35">
        <w:r>
          <w:rPr>
            <w:rFonts w:ascii="Arial" w:cs="Arial" w:eastAsia="Arial" w:hAnsi="Arial"/>
            <w:sz w:val="18"/>
            <w:szCs w:val="18"/>
            <w:u w:val="single" w:color="auto"/>
            <w:color w:val="0000EE"/>
          </w:rPr>
          <w:t xml:space="preserve">May 18, 2023 </w:t>
        </w:r>
      </w:hyperlink>
      <w:hyperlink r:id="rId36">
        <w:r>
          <w:rPr>
            <w:rFonts w:ascii="Arial" w:cs="Arial" w:eastAsia="Arial" w:hAnsi="Arial"/>
            <w:sz w:val="18"/>
            <w:szCs w:val="18"/>
            <w:u w:val="single" w:color="auto"/>
            <w:color w:val="auto"/>
          </w:rPr>
          <w:t xml:space="preserve">May </w:t>
        </w:r>
        <w:r>
          <w:rPr>
            <w:rFonts w:ascii="Arial" w:cs="Arial" w:eastAsia="Arial" w:hAnsi="Arial"/>
            <w:sz w:val="18"/>
            <w:szCs w:val="18"/>
            <w:u w:val="single" w:color="auto"/>
            <w:color w:val="0000EE"/>
          </w:rPr>
          <w:t>22, 2023</w:t>
        </w:r>
      </w:hyperlink>
      <w:r>
        <w:rPr>
          <w:rFonts w:ascii="Arial" w:cs="Arial" w:eastAsia="Arial" w:hAnsi="Arial"/>
          <w:sz w:val="18"/>
          <w:szCs w:val="18"/>
          <w:color w:val="auto"/>
        </w:rPr>
        <w:t xml:space="preserve">, </w:t>
      </w:r>
      <w:hyperlink r:id="rId37">
        <w:r>
          <w:rPr>
            <w:rFonts w:ascii="Arial" w:cs="Arial" w:eastAsia="Arial" w:hAnsi="Arial"/>
            <w:sz w:val="18"/>
            <w:szCs w:val="18"/>
            <w:u w:val="single" w:color="auto"/>
            <w:color w:val="0000EE"/>
          </w:rPr>
          <w:t>May 23, 2023</w:t>
        </w:r>
      </w:hyperlink>
      <w:r>
        <w:rPr>
          <w:rFonts w:ascii="Arial" w:cs="Arial" w:eastAsia="Arial" w:hAnsi="Arial"/>
          <w:sz w:val="18"/>
          <w:szCs w:val="18"/>
          <w:color w:val="auto"/>
        </w:rPr>
        <w:t xml:space="preserve">, </w:t>
      </w:r>
      <w:hyperlink r:id="rId38">
        <w:r>
          <w:rPr>
            <w:rFonts w:ascii="Arial" w:cs="Arial" w:eastAsia="Arial" w:hAnsi="Arial"/>
            <w:sz w:val="18"/>
            <w:szCs w:val="18"/>
            <w:u w:val="single" w:color="auto"/>
            <w:color w:val="0000EE"/>
          </w:rPr>
          <w:t>May 24, 2023</w:t>
        </w:r>
      </w:hyperlink>
      <w:r>
        <w:rPr>
          <w:rFonts w:ascii="Arial" w:cs="Arial" w:eastAsia="Arial" w:hAnsi="Arial"/>
          <w:sz w:val="18"/>
          <w:szCs w:val="18"/>
          <w:color w:val="auto"/>
        </w:rPr>
        <w:t xml:space="preserve">, </w:t>
      </w:r>
      <w:hyperlink r:id="rId39">
        <w:r>
          <w:rPr>
            <w:rFonts w:ascii="Arial" w:cs="Arial" w:eastAsia="Arial" w:hAnsi="Arial"/>
            <w:sz w:val="18"/>
            <w:szCs w:val="18"/>
            <w:u w:val="single" w:color="auto"/>
            <w:color w:val="0000EE"/>
          </w:rPr>
          <w:t>May 25, 2023</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40">
        <w:r>
          <w:rPr>
            <w:rFonts w:ascii="Arial" w:cs="Arial" w:eastAsia="Arial" w:hAnsi="Arial"/>
            <w:sz w:val="18"/>
            <w:szCs w:val="18"/>
            <w:u w:val="single" w:color="auto"/>
            <w:color w:val="0000EE"/>
          </w:rPr>
          <w:t xml:space="preserve">May 31, 2023 </w:t>
        </w:r>
      </w:hyperlink>
      <w:r>
        <w:rPr>
          <w:rFonts w:ascii="Arial" w:cs="Arial" w:eastAsia="Arial" w:hAnsi="Arial"/>
          <w:sz w:val="18"/>
          <w:szCs w:val="18"/>
          <w:color w:val="000000"/>
        </w:rPr>
        <w:t>and</w:t>
      </w:r>
      <w:r>
        <w:rPr>
          <w:rFonts w:ascii="Arial" w:cs="Arial" w:eastAsia="Arial" w:hAnsi="Arial"/>
          <w:sz w:val="18"/>
          <w:szCs w:val="18"/>
          <w:color w:val="0000EE"/>
        </w:rPr>
        <w:t xml:space="preserve"> </w:t>
      </w:r>
      <w:hyperlink r:id="rId41">
        <w:r>
          <w:rPr>
            <w:rFonts w:ascii="Arial" w:cs="Arial" w:eastAsia="Arial" w:hAnsi="Arial"/>
            <w:sz w:val="18"/>
            <w:szCs w:val="18"/>
            <w:u w:val="single" w:color="auto"/>
            <w:color w:val="0000EE"/>
          </w:rPr>
          <w:t xml:space="preserve">June 2, 2023 </w:t>
        </w:r>
      </w:hyperlink>
      <w:r>
        <w:rPr>
          <w:rFonts w:ascii="Arial" w:cs="Arial" w:eastAsia="Arial" w:hAnsi="Arial"/>
          <w:sz w:val="18"/>
          <w:szCs w:val="18"/>
          <w:color w:val="000000"/>
        </w:rPr>
        <w:t>(except</w:t>
      </w:r>
      <w:r>
        <w:rPr>
          <w:rFonts w:ascii="Arial" w:cs="Arial" w:eastAsia="Arial" w:hAnsi="Arial"/>
          <w:sz w:val="18"/>
          <w:szCs w:val="18"/>
          <w:color w:val="0000EE"/>
        </w:rPr>
        <w:t xml:space="preserve"> </w:t>
      </w:r>
      <w:r>
        <w:rPr>
          <w:rFonts w:ascii="Arial" w:cs="Arial" w:eastAsia="Arial" w:hAnsi="Arial"/>
          <w:sz w:val="18"/>
          <w:szCs w:val="18"/>
          <w:color w:val="000000"/>
        </w:rPr>
        <w:t>in each case for information contained therein which is furnished rather than</w:t>
      </w:r>
      <w:r>
        <w:rPr>
          <w:rFonts w:ascii="Arial" w:cs="Arial" w:eastAsia="Arial" w:hAnsi="Arial"/>
          <w:sz w:val="18"/>
          <w:szCs w:val="18"/>
          <w:color w:val="0000EE"/>
        </w:rPr>
        <w:t xml:space="preserve"> </w:t>
      </w:r>
      <w:r>
        <w:rPr>
          <w:rFonts w:ascii="Arial" w:cs="Arial" w:eastAsia="Arial" w:hAnsi="Arial"/>
          <w:sz w:val="18"/>
          <w:szCs w:val="18"/>
          <w:color w:val="000000"/>
        </w:rPr>
        <w:t>filed); and</w:t>
      </w:r>
    </w:p>
    <w:p>
      <w:pPr>
        <w:spacing w:after="0" w:line="183" w:lineRule="exact"/>
        <w:rPr>
          <w:rFonts w:ascii="Arial" w:cs="Arial" w:eastAsia="Arial" w:hAnsi="Arial"/>
          <w:sz w:val="18"/>
          <w:szCs w:val="18"/>
          <w:color w:val="0000EE"/>
        </w:rPr>
      </w:pPr>
    </w:p>
    <w:p>
      <w:pPr>
        <w:ind w:left="1300" w:hanging="320"/>
        <w:spacing w:after="0" w:line="277"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description of our common stock contained in our registration statement on Form 8-A, filed with the SEC on August 3, 1998, including all amendments and reports filed for the purpose of updating such description.</w:t>
      </w:r>
    </w:p>
    <w:p>
      <w:pPr>
        <w:spacing w:after="0" w:line="170" w:lineRule="exact"/>
        <w:rPr>
          <w:rFonts w:ascii="Arial" w:cs="Arial" w:eastAsia="Arial" w:hAnsi="Arial"/>
          <w:sz w:val="18"/>
          <w:szCs w:val="18"/>
          <w:color w:val="0000EE"/>
        </w:rPr>
      </w:pPr>
    </w:p>
    <w:p>
      <w:pPr>
        <w:jc w:val="both"/>
        <w:ind w:firstLine="648"/>
        <w:spacing w:after="0" w:line="259" w:lineRule="auto"/>
        <w:rPr>
          <w:sz w:val="20"/>
          <w:szCs w:val="20"/>
          <w:color w:val="auto"/>
        </w:rPr>
      </w:pPr>
      <w:r>
        <w:rPr>
          <w:rFonts w:ascii="Arial" w:cs="Arial" w:eastAsia="Arial" w:hAnsi="Arial"/>
          <w:sz w:val="18"/>
          <w:szCs w:val="18"/>
          <w:color w:val="auto"/>
        </w:rPr>
        <w:t>All documents we file with the SEC pursuant to Sections 13(a), 13(c), 14 or 15(d) of the Exchange Act, except as to any portion of any report or documents that is not deemed filed under such provisions, on or after the date of this prospectus supplement until the termination of this offering shall be deemed incorporated by reference in this prospectus supplement and the accompanying prospectus and to be a part of this prospectus supplement from the date of filing of those documents.</w:t>
      </w:r>
    </w:p>
    <w:p>
      <w:pPr>
        <w:spacing w:after="0" w:line="187" w:lineRule="exact"/>
        <w:rPr>
          <w:rFonts w:ascii="Arial" w:cs="Arial" w:eastAsia="Arial" w:hAnsi="Arial"/>
          <w:sz w:val="18"/>
          <w:szCs w:val="18"/>
          <w:color w:val="0000EE"/>
        </w:rPr>
      </w:pPr>
    </w:p>
    <w:p>
      <w:pPr>
        <w:jc w:val="both"/>
        <w:ind w:firstLine="648"/>
        <w:spacing w:after="0" w:line="257" w:lineRule="auto"/>
        <w:rPr>
          <w:sz w:val="20"/>
          <w:szCs w:val="20"/>
          <w:color w:val="auto"/>
        </w:rPr>
      </w:pPr>
      <w:r>
        <w:rPr>
          <w:rFonts w:ascii="Arial" w:cs="Arial" w:eastAsia="Arial" w:hAnsi="Arial"/>
          <w:sz w:val="18"/>
          <w:szCs w:val="18"/>
          <w:color w:val="auto"/>
        </w:rPr>
        <w:t>We will provide to each person, including any beneficial owner, to whom a copy of this prospectus supplement is delivered, a copy of any or all of the information that has been incorporated by reference in this prospectus supplement but not delivered with this prospectus supplement (other than the exhibits to such documents which are not specifically incorporated by reference therein); we will provide this information at no cost to the requester upon written or oral request to: Microbot Medical Inc. Attn: Chief Financial Officer, 25 Recreation Park Drive, Unit 108, Hingham, Massachusetts 02043. You may also telephone us at (781) 875-3605.</w:t>
      </w:r>
    </w:p>
    <w:p>
      <w:pPr>
        <w:spacing w:after="0" w:line="188" w:lineRule="exact"/>
        <w:rPr>
          <w:rFonts w:ascii="Arial" w:cs="Arial" w:eastAsia="Arial" w:hAnsi="Arial"/>
          <w:sz w:val="18"/>
          <w:szCs w:val="18"/>
          <w:color w:val="0000EE"/>
        </w:rPr>
      </w:pPr>
    </w:p>
    <w:p>
      <w:pPr>
        <w:jc w:val="both"/>
        <w:ind w:firstLine="648"/>
        <w:spacing w:after="0" w:line="263" w:lineRule="auto"/>
        <w:rPr>
          <w:sz w:val="20"/>
          <w:szCs w:val="20"/>
          <w:color w:val="auto"/>
        </w:rPr>
      </w:pPr>
      <w:r>
        <w:rPr>
          <w:rFonts w:ascii="Arial" w:cs="Arial" w:eastAsia="Arial" w:hAnsi="Arial"/>
          <w:sz w:val="18"/>
          <w:szCs w:val="18"/>
          <w:color w:val="auto"/>
        </w:rPr>
        <w:t>In accordance with Rule 412 of the Securities Act, any statement contained in a document incorporated by reference herein shall be deemed modified or superseded to the extent that a statement contained herein or in any other subsequently filed document which also is or is deemed to be incorporated by reference herein modifies or supersedes such statement.</w:t>
      </w:r>
    </w:p>
    <w:p>
      <w:pPr>
        <w:spacing w:after="0" w:line="184" w:lineRule="exact"/>
        <w:rPr>
          <w:rFonts w:ascii="Arial" w:cs="Arial" w:eastAsia="Arial" w:hAnsi="Arial"/>
          <w:sz w:val="18"/>
          <w:szCs w:val="18"/>
          <w:color w:val="0000EE"/>
        </w:rPr>
      </w:pPr>
    </w:p>
    <w:p>
      <w:pPr>
        <w:jc w:val="center"/>
        <w:spacing w:after="0"/>
        <w:rPr>
          <w:sz w:val="20"/>
          <w:szCs w:val="20"/>
          <w:color w:val="auto"/>
        </w:rPr>
      </w:pPr>
      <w:r>
        <w:rPr>
          <w:rFonts w:ascii="Arial" w:cs="Arial" w:eastAsia="Arial" w:hAnsi="Arial"/>
          <w:sz w:val="18"/>
          <w:szCs w:val="18"/>
          <w:color w:val="auto"/>
        </w:rPr>
        <w:t>S-15</w:t>
      </w:r>
    </w:p>
    <w:p>
      <w:pPr>
        <w:spacing w:after="0" w:line="20" w:lineRule="exact"/>
        <w:rPr>
          <w:rFonts w:ascii="Arial" w:cs="Arial" w:eastAsia="Arial" w:hAnsi="Arial"/>
          <w:sz w:val="18"/>
          <w:szCs w:val="18"/>
          <w:color w:val="0000EE"/>
        </w:rPr>
      </w:pPr>
      <w:r>
        <w:rPr>
          <w:rFonts w:ascii="Arial" w:cs="Arial" w:eastAsia="Arial" w:hAnsi="Arial"/>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154305</wp:posOffset>
            </wp:positionV>
            <wp:extent cx="2571750" cy="9429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3">
                      <a:extLst>
                        <a:ext uri="{28A0092B-C50C-407E-A947-70E740481C1C}"/>
                      </a:extLst>
                    </a:blip>
                    <a:srcRect/>
                    <a:stretch>
                      <a:fillRect/>
                    </a:stretch>
                  </pic:blipFill>
                  <pic:spPr bwMode="auto">
                    <a:xfrm>
                      <a:off x="0" y="0"/>
                      <a:ext cx="2571750" cy="942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$75,000,000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Preferred Stock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Debt Securities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Rights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Units</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prospectus will allow us to issue, from time to time at prices and on terms to be determined at or prior to the time of the offering, up to $75,000,000 of any combination of the securities described in this prospectus, either individually or in units. We may also offer common stock or preferred stock upon conversion of or exchange for the debt securities; common stock upon conversion of or exchange for the preferred stock; or common stock, preferred stock or debt securities upon the exercise of warrants or rights.</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This prospectus describes the general terms of these securities and the general manner in which these securities will be offered. We will provide you with the specific terms of any offering in one or more supplements to this prospectus. The prospectus supplements will also describe the specific manner in which these securities will be offered and may also supplement, update or amend information contained in this document. You should read this prospectus and any prospectus supplement, as well as any documents incorporated by reference into this prospectus or any prospectus supplement, carefully before you invest.</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securities may be sold directly by us to you, through agents designated from time to time or to or through underwriters or dealers. For additional information on the methods of sale, you should refer to the section entitled “Plan of Distribution” in this prospectus and in the applicable prospectus supplement. If any underwriters or agents are involved in the sale of our securities with respect to which this prospectus is being delivered, the names of such underwriters or agents and any applicable fees, commissions or discounts and over-allotment options will be set forth in a prospectus supplement. The price to the public of such securities and the net proceeds that we expect to receive from such sale will also be set forth in a prospectus supplement.</w:t>
      </w:r>
    </w:p>
    <w:p>
      <w:pPr>
        <w:spacing w:after="0" w:line="19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Our common stock is listed on The Nasdaq Capital Market under the symbol “MBOT.” On November 24, 2020, the last reported sale price of our common stock on The Nasdaq Capital Market was $7.25 per share. The applicable prospectus supplement will contain information, where applicable, as to any other listing, if any, on The Nasdaq Capital Market or any securities market or other securities exchange of the securities covered by the prospectus supplement. Prospective purchasers of our securities are urged to obtain current information as to the market prices of our securities, where applicable.</w:t>
      </w:r>
    </w:p>
    <w:p>
      <w:pPr>
        <w:spacing w:after="0" w:line="15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Investing in our securities involves a high degree of risk. Before deciding whether to invest in our securities, you should consider carefully the risks that we have described on page 4 of this prospectus under the caption “Risk Factors.” We may include specific risk factors in supplements to this prospectus under the caption “Risk Factors.” This prospectus may not be used to sell our securities unless accompanied by a prospectus supplement.</w:t>
      </w:r>
    </w:p>
    <w:p>
      <w:pPr>
        <w:spacing w:after="0" w:line="18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date of this prospectus is December 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07"/>
        </w:trPr>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80" w:type="dxa"/>
            <w:vAlign w:val="bottom"/>
            <w:gridSpan w:val="4"/>
          </w:tcPr>
          <w:p>
            <w:pPr>
              <w:ind w:left="140"/>
              <w:spacing w:after="0"/>
              <w:rPr>
                <w:sz w:val="20"/>
                <w:szCs w:val="20"/>
                <w:color w:val="auto"/>
              </w:rPr>
            </w:pPr>
            <w:r>
              <w:rPr>
                <w:rFonts w:ascii="Arial" w:cs="Arial" w:eastAsia="Arial" w:hAnsi="Arial"/>
                <w:sz w:val="18"/>
                <w:szCs w:val="18"/>
                <w:b w:val="1"/>
                <w:bCs w:val="1"/>
                <w:color w:val="auto"/>
              </w:rPr>
              <w:t>TABLE OF CONTENTS</w:t>
            </w:r>
          </w:p>
        </w:tc>
        <w:tc>
          <w:tcPr>
            <w:tcW w:w="640" w:type="dxa"/>
            <w:vAlign w:val="bottom"/>
          </w:tcPr>
          <w:p>
            <w:pPr>
              <w:spacing w:after="0"/>
              <w:rPr>
                <w:sz w:val="17"/>
                <w:szCs w:val="17"/>
                <w:color w:val="auto"/>
              </w:rPr>
            </w:pPr>
          </w:p>
        </w:tc>
      </w:tr>
      <w:tr>
        <w:trPr>
          <w:trHeight w:val="473"/>
        </w:trPr>
        <w:tc>
          <w:tcPr>
            <w:tcW w:w="84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68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000" w:type="dxa"/>
            <w:vAlign w:val="bottom"/>
            <w:tcBorders>
              <w:top w:val="single" w:sz="8" w:color="auto"/>
              <w:bottom w:val="single" w:sz="8" w:color="CCEEFF"/>
            </w:tcBorders>
          </w:tcPr>
          <w:p>
            <w:pPr>
              <w:spacing w:after="0"/>
              <w:rPr>
                <w:sz w:val="24"/>
                <w:szCs w:val="24"/>
                <w:color w:val="auto"/>
              </w:rPr>
            </w:pPr>
          </w:p>
        </w:tc>
        <w:tc>
          <w:tcPr>
            <w:tcW w:w="920" w:type="dxa"/>
            <w:vAlign w:val="bottom"/>
            <w:tcBorders>
              <w:top w:val="single" w:sz="8" w:color="auto"/>
              <w:bottom w:val="single" w:sz="8" w:color="CCEEFF"/>
            </w:tcBorders>
          </w:tcPr>
          <w:p>
            <w:pPr>
              <w:spacing w:after="0"/>
              <w:rPr>
                <w:sz w:val="24"/>
                <w:szCs w:val="24"/>
                <w:color w:val="auto"/>
              </w:rPr>
            </w:pPr>
          </w:p>
        </w:tc>
        <w:tc>
          <w:tcPr>
            <w:tcW w:w="402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w w:val="97"/>
              </w:rPr>
              <w:t>Pages</w:t>
            </w:r>
          </w:p>
        </w:tc>
      </w:tr>
      <w:tr>
        <w:trPr>
          <w:trHeight w:val="196"/>
        </w:trPr>
        <w:tc>
          <w:tcPr>
            <w:tcW w:w="2200" w:type="dxa"/>
            <w:vAlign w:val="bottom"/>
            <w:tcBorders>
              <w:bottom w:val="single" w:sz="8" w:color="0000EE"/>
            </w:tcBorders>
            <w:gridSpan w:val="7"/>
            <w:shd w:val="clear" w:color="auto" w:fill="CCEEFF"/>
          </w:tcPr>
          <w:p>
            <w:pPr>
              <w:spacing w:after="0" w:line="142" w:lineRule="exact"/>
              <w:rPr>
                <w:sz w:val="20"/>
                <w:szCs w:val="20"/>
                <w:color w:val="auto"/>
              </w:rPr>
            </w:pPr>
            <w:r>
              <w:rPr>
                <w:rFonts w:ascii="Arial" w:cs="Arial" w:eastAsia="Arial" w:hAnsi="Arial"/>
                <w:sz w:val="16"/>
                <w:szCs w:val="16"/>
                <w:b w:val="1"/>
                <w:bCs w:val="1"/>
                <w:color w:val="0000EE"/>
              </w:rPr>
              <w:t>PROSPECTUS SUMMARY</w:t>
            </w:r>
          </w:p>
        </w:tc>
        <w:tc>
          <w:tcPr>
            <w:tcW w:w="8400" w:type="dxa"/>
            <w:vAlign w:val="bottom"/>
            <w:tcBorders>
              <w:bottom w:val="single" w:sz="8" w:color="CCEEFF"/>
            </w:tcBorders>
            <w:gridSpan w:val="11"/>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42" w:lineRule="exact"/>
              <w:rPr>
                <w:sz w:val="20"/>
                <w:szCs w:val="20"/>
                <w:color w:val="auto"/>
              </w:rPr>
            </w:pPr>
            <w:r>
              <w:rPr>
                <w:rFonts w:ascii="Arial" w:cs="Arial" w:eastAsia="Arial" w:hAnsi="Arial"/>
                <w:sz w:val="16"/>
                <w:szCs w:val="16"/>
                <w:color w:val="auto"/>
                <w:w w:val="89"/>
              </w:rPr>
              <w:t>1</w:t>
            </w:r>
          </w:p>
        </w:tc>
      </w:tr>
      <w:tr>
        <w:trPr>
          <w:trHeight w:val="176"/>
        </w:trPr>
        <w:tc>
          <w:tcPr>
            <w:tcW w:w="10600" w:type="dxa"/>
            <w:vAlign w:val="bottom"/>
            <w:gridSpan w:val="18"/>
          </w:tcPr>
          <w:p>
            <w:pPr>
              <w:spacing w:after="0" w:line="176" w:lineRule="exact"/>
              <w:rPr>
                <w:sz w:val="20"/>
                <w:szCs w:val="20"/>
                <w:color w:val="auto"/>
              </w:rPr>
            </w:pPr>
            <w:r>
              <w:rPr>
                <w:rFonts w:ascii="Arial" w:cs="Arial" w:eastAsia="Arial" w:hAnsi="Arial"/>
                <w:sz w:val="18"/>
                <w:szCs w:val="18"/>
                <w:b w:val="1"/>
                <w:bCs w:val="1"/>
                <w:color w:val="0000EE"/>
              </w:rPr>
              <w:t>RISK FACTORS</w:t>
            </w:r>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79"/>
              </w:rPr>
              <w:t>4</w:t>
            </w:r>
          </w:p>
        </w:tc>
      </w:tr>
      <w:tr>
        <w:trPr>
          <w:trHeight w:val="20"/>
        </w:trPr>
        <w:tc>
          <w:tcPr>
            <w:tcW w:w="8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5660" w:type="dxa"/>
            <w:vAlign w:val="bottom"/>
            <w:tcBorders>
              <w:bottom w:val="single" w:sz="8" w:color="0000EE"/>
            </w:tcBorders>
            <w:gridSpan w:val="16"/>
            <w:shd w:val="clear" w:color="auto" w:fill="CCEEFF"/>
          </w:tcPr>
          <w:p>
            <w:pPr>
              <w:spacing w:after="0" w:line="176" w:lineRule="exact"/>
              <w:rPr>
                <w:sz w:val="20"/>
                <w:szCs w:val="20"/>
                <w:color w:val="auto"/>
              </w:rPr>
            </w:pPr>
            <w:r>
              <w:rPr>
                <w:rFonts w:ascii="Arial" w:cs="Arial" w:eastAsia="Arial" w:hAnsi="Arial"/>
                <w:sz w:val="18"/>
                <w:szCs w:val="18"/>
                <w:b w:val="1"/>
                <w:bCs w:val="1"/>
                <w:color w:val="0000EE"/>
                <w:w w:val="99"/>
              </w:rPr>
              <w:t>SPECIAL NOTE REGARDING FORWARD-LOOKING STATEMENTS</w:t>
            </w:r>
          </w:p>
        </w:tc>
        <w:tc>
          <w:tcPr>
            <w:tcW w:w="4940" w:type="dxa"/>
            <w:vAlign w:val="bottom"/>
            <w:tcBorders>
              <w:bottom w:val="single" w:sz="8" w:color="CCEEFF"/>
            </w:tcBorders>
            <w:gridSpan w:val="2"/>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5</w:t>
            </w:r>
          </w:p>
        </w:tc>
      </w:tr>
      <w:tr>
        <w:trPr>
          <w:trHeight w:val="176"/>
        </w:trPr>
        <w:tc>
          <w:tcPr>
            <w:tcW w:w="10600" w:type="dxa"/>
            <w:vAlign w:val="bottom"/>
            <w:gridSpan w:val="18"/>
          </w:tcPr>
          <w:p>
            <w:pPr>
              <w:spacing w:after="0" w:line="176" w:lineRule="exact"/>
              <w:rPr>
                <w:sz w:val="20"/>
                <w:szCs w:val="20"/>
                <w:color w:val="auto"/>
              </w:rPr>
            </w:pPr>
            <w:r>
              <w:rPr>
                <w:rFonts w:ascii="Arial" w:cs="Arial" w:eastAsia="Arial" w:hAnsi="Arial"/>
                <w:sz w:val="18"/>
                <w:szCs w:val="18"/>
                <w:b w:val="1"/>
                <w:bCs w:val="1"/>
                <w:color w:val="0000EE"/>
              </w:rPr>
              <w:t>USE OF PROCEEDS</w:t>
            </w:r>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79"/>
              </w:rPr>
              <w:t>6</w:t>
            </w:r>
          </w:p>
        </w:tc>
      </w:tr>
      <w:tr>
        <w:trPr>
          <w:trHeight w:val="20"/>
        </w:trPr>
        <w:tc>
          <w:tcPr>
            <w:tcW w:w="8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6"/>
        </w:trPr>
        <w:tc>
          <w:tcPr>
            <w:tcW w:w="10600" w:type="dxa"/>
            <w:vAlign w:val="bottom"/>
            <w:gridSpan w:val="18"/>
            <w:shd w:val="clear" w:color="auto" w:fill="CCEEFF"/>
          </w:tcPr>
          <w:p>
            <w:pPr>
              <w:spacing w:after="0" w:line="176" w:lineRule="exact"/>
              <w:rPr>
                <w:sz w:val="20"/>
                <w:szCs w:val="20"/>
                <w:color w:val="auto"/>
              </w:rPr>
            </w:pPr>
            <w:r>
              <w:rPr>
                <w:rFonts w:ascii="Arial" w:cs="Arial" w:eastAsia="Arial" w:hAnsi="Arial"/>
                <w:sz w:val="18"/>
                <w:szCs w:val="18"/>
                <w:b w:val="1"/>
                <w:bCs w:val="1"/>
                <w:color w:val="0000EE"/>
              </w:rPr>
              <w:t>PLAN OF DISTRIBUTION</w:t>
            </w:r>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7</w:t>
            </w:r>
          </w:p>
        </w:tc>
      </w:tr>
      <w:tr>
        <w:trPr>
          <w:trHeight w:val="21"/>
        </w:trPr>
        <w:tc>
          <w:tcPr>
            <w:tcW w:w="84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40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600" w:type="dxa"/>
            <w:vAlign w:val="bottom"/>
            <w:gridSpan w:val="18"/>
          </w:tcPr>
          <w:p>
            <w:pPr>
              <w:spacing w:after="0" w:line="176" w:lineRule="exact"/>
              <w:rPr>
                <w:sz w:val="20"/>
                <w:szCs w:val="20"/>
                <w:color w:val="auto"/>
              </w:rPr>
            </w:pPr>
            <w:r>
              <w:rPr>
                <w:rFonts w:ascii="Arial" w:cs="Arial" w:eastAsia="Arial" w:hAnsi="Arial"/>
                <w:sz w:val="18"/>
                <w:szCs w:val="18"/>
                <w:b w:val="1"/>
                <w:bCs w:val="1"/>
                <w:color w:val="0000EE"/>
              </w:rPr>
              <w:t>DESCRIPTION OF COMMON STOCK</w:t>
            </w:r>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79"/>
              </w:rPr>
              <w:t>9</w:t>
            </w:r>
          </w:p>
        </w:tc>
      </w:tr>
      <w:tr>
        <w:trPr>
          <w:trHeight w:val="21"/>
        </w:trPr>
        <w:tc>
          <w:tcPr>
            <w:tcW w:w="8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18"/>
            <w:shd w:val="clear" w:color="auto" w:fill="CCEEFF"/>
          </w:tcPr>
          <w:p>
            <w:pPr>
              <w:spacing w:after="0" w:line="176" w:lineRule="exact"/>
              <w:rPr>
                <w:sz w:val="20"/>
                <w:szCs w:val="20"/>
                <w:color w:val="auto"/>
              </w:rPr>
            </w:pPr>
            <w:r>
              <w:rPr>
                <w:rFonts w:ascii="Arial" w:cs="Arial" w:eastAsia="Arial" w:hAnsi="Arial"/>
                <w:sz w:val="18"/>
                <w:szCs w:val="18"/>
                <w:b w:val="1"/>
                <w:bCs w:val="1"/>
                <w:color w:val="0000EE"/>
              </w:rPr>
              <w:t>DESCRIPTION OF PREFERRED STOCK</w:t>
            </w:r>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10</w:t>
            </w:r>
          </w:p>
        </w:tc>
      </w:tr>
      <w:tr>
        <w:trPr>
          <w:trHeight w:val="176"/>
        </w:trPr>
        <w:tc>
          <w:tcPr>
            <w:tcW w:w="3360" w:type="dxa"/>
            <w:vAlign w:val="bottom"/>
            <w:tcBorders>
              <w:top w:val="single" w:sz="8" w:color="0000EE"/>
            </w:tcBorders>
            <w:gridSpan w:val="12"/>
          </w:tcPr>
          <w:p>
            <w:pPr>
              <w:spacing w:after="0" w:line="176" w:lineRule="exact"/>
              <w:rPr>
                <w:sz w:val="20"/>
                <w:szCs w:val="20"/>
                <w:color w:val="auto"/>
              </w:rPr>
            </w:pPr>
            <w:r>
              <w:rPr>
                <w:rFonts w:ascii="Arial" w:cs="Arial" w:eastAsia="Arial" w:hAnsi="Arial"/>
                <w:sz w:val="18"/>
                <w:szCs w:val="18"/>
                <w:b w:val="1"/>
                <w:bCs w:val="1"/>
                <w:color w:val="0000EE"/>
              </w:rPr>
              <w:t>DESCRIPTION OF WARRANTS</w:t>
            </w:r>
          </w:p>
        </w:tc>
        <w:tc>
          <w:tcPr>
            <w:tcW w:w="7240" w:type="dxa"/>
            <w:vAlign w:val="bottom"/>
            <w:tcBorders>
              <w:top w:val="single" w:sz="8" w:color="CCEEFF"/>
            </w:tcBorders>
            <w:gridSpan w:val="6"/>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11</w:t>
            </w:r>
          </w:p>
        </w:tc>
      </w:tr>
      <w:tr>
        <w:trPr>
          <w:trHeight w:val="20"/>
        </w:trPr>
        <w:tc>
          <w:tcPr>
            <w:tcW w:w="8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3220" w:type="dxa"/>
            <w:vAlign w:val="bottom"/>
            <w:tcBorders>
              <w:bottom w:val="single" w:sz="8" w:color="0000EE"/>
            </w:tcBorders>
            <w:gridSpan w:val="11"/>
            <w:shd w:val="clear" w:color="auto" w:fill="CCEEFF"/>
          </w:tcPr>
          <w:p>
            <w:pPr>
              <w:spacing w:after="0" w:line="176" w:lineRule="exact"/>
              <w:rPr>
                <w:sz w:val="20"/>
                <w:szCs w:val="20"/>
                <w:color w:val="auto"/>
              </w:rPr>
            </w:pPr>
            <w:r>
              <w:rPr>
                <w:rFonts w:ascii="Arial" w:cs="Arial" w:eastAsia="Arial" w:hAnsi="Arial"/>
                <w:sz w:val="18"/>
                <w:szCs w:val="18"/>
                <w:b w:val="1"/>
                <w:bCs w:val="1"/>
                <w:color w:val="0000EE"/>
                <w:w w:val="99"/>
              </w:rPr>
              <w:t>DESCRIPTION OF DEBT SECURITIES</w:t>
            </w:r>
          </w:p>
        </w:tc>
        <w:tc>
          <w:tcPr>
            <w:tcW w:w="7380" w:type="dxa"/>
            <w:vAlign w:val="bottom"/>
            <w:tcBorders>
              <w:bottom w:val="single" w:sz="8" w:color="CCEEFF"/>
            </w:tcBorders>
            <w:gridSpan w:val="7"/>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13</w:t>
            </w:r>
          </w:p>
        </w:tc>
      </w:tr>
      <w:tr>
        <w:trPr>
          <w:trHeight w:val="176"/>
        </w:trPr>
        <w:tc>
          <w:tcPr>
            <w:tcW w:w="10600" w:type="dxa"/>
            <w:vAlign w:val="bottom"/>
            <w:gridSpan w:val="18"/>
          </w:tcPr>
          <w:p>
            <w:pPr>
              <w:spacing w:after="0" w:line="176" w:lineRule="exact"/>
              <w:rPr>
                <w:sz w:val="20"/>
                <w:szCs w:val="20"/>
                <w:color w:val="auto"/>
              </w:rPr>
            </w:pPr>
            <w:r>
              <w:rPr>
                <w:rFonts w:ascii="Arial" w:cs="Arial" w:eastAsia="Arial" w:hAnsi="Arial"/>
                <w:sz w:val="18"/>
                <w:szCs w:val="18"/>
                <w:b w:val="1"/>
                <w:bCs w:val="1"/>
                <w:color w:val="0000EE"/>
              </w:rPr>
              <w:t>DESCRIPTION OF RIGHTS</w:t>
            </w:r>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19</w:t>
            </w:r>
          </w:p>
        </w:tc>
      </w:tr>
      <w:tr>
        <w:trPr>
          <w:trHeight w:val="21"/>
        </w:trPr>
        <w:tc>
          <w:tcPr>
            <w:tcW w:w="8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18"/>
            <w:shd w:val="clear" w:color="auto" w:fill="CCEEFF"/>
          </w:tcPr>
          <w:p>
            <w:pPr>
              <w:spacing w:after="0" w:line="176" w:lineRule="exact"/>
              <w:rPr>
                <w:sz w:val="20"/>
                <w:szCs w:val="20"/>
                <w:color w:val="auto"/>
              </w:rPr>
            </w:pPr>
            <w:r>
              <w:rPr>
                <w:rFonts w:ascii="Arial" w:cs="Arial" w:eastAsia="Arial" w:hAnsi="Arial"/>
                <w:sz w:val="18"/>
                <w:szCs w:val="18"/>
                <w:b w:val="1"/>
                <w:bCs w:val="1"/>
                <w:color w:val="0000EE"/>
              </w:rPr>
              <w:t>DESCRIPTION OF UNITS</w:t>
            </w:r>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20</w:t>
            </w:r>
          </w:p>
        </w:tc>
      </w:tr>
      <w:tr>
        <w:trPr>
          <w:trHeight w:val="175"/>
        </w:trPr>
        <w:tc>
          <w:tcPr>
            <w:tcW w:w="2140" w:type="dxa"/>
            <w:vAlign w:val="bottom"/>
            <w:tcBorders>
              <w:top w:val="single" w:sz="8" w:color="0000EE"/>
            </w:tcBorders>
            <w:gridSpan w:val="5"/>
          </w:tcPr>
          <w:p>
            <w:pPr>
              <w:spacing w:after="0" w:line="176" w:lineRule="exact"/>
              <w:rPr>
                <w:sz w:val="20"/>
                <w:szCs w:val="20"/>
                <w:color w:val="auto"/>
              </w:rPr>
            </w:pPr>
            <w:r>
              <w:rPr>
                <w:rFonts w:ascii="Arial" w:cs="Arial" w:eastAsia="Arial" w:hAnsi="Arial"/>
                <w:sz w:val="18"/>
                <w:szCs w:val="18"/>
                <w:b w:val="1"/>
                <w:bCs w:val="1"/>
                <w:color w:val="0000EE"/>
              </w:rPr>
              <w:t>LEGAL MATTERS</w:t>
            </w:r>
          </w:p>
        </w:tc>
        <w:tc>
          <w:tcPr>
            <w:tcW w:w="8460" w:type="dxa"/>
            <w:vAlign w:val="bottom"/>
            <w:tcBorders>
              <w:top w:val="single" w:sz="8" w:color="CCEEFF"/>
            </w:tcBorders>
            <w:gridSpan w:val="13"/>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23</w:t>
            </w:r>
          </w:p>
        </w:tc>
      </w:tr>
      <w:tr>
        <w:trPr>
          <w:trHeight w:val="21"/>
        </w:trPr>
        <w:tc>
          <w:tcPr>
            <w:tcW w:w="8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840" w:type="dxa"/>
            <w:vAlign w:val="bottom"/>
            <w:tcBorders>
              <w:bottom w:val="single" w:sz="8" w:color="0000EE"/>
            </w:tcBorders>
            <w:shd w:val="clear" w:color="auto" w:fill="CCEEFF"/>
          </w:tcPr>
          <w:p>
            <w:pPr>
              <w:spacing w:after="0" w:line="176" w:lineRule="exact"/>
              <w:rPr>
                <w:sz w:val="20"/>
                <w:szCs w:val="20"/>
                <w:color w:val="auto"/>
              </w:rPr>
            </w:pPr>
            <w:r>
              <w:rPr>
                <w:rFonts w:ascii="Arial" w:cs="Arial" w:eastAsia="Arial" w:hAnsi="Arial"/>
                <w:sz w:val="18"/>
                <w:szCs w:val="18"/>
                <w:b w:val="1"/>
                <w:bCs w:val="1"/>
                <w:color w:val="0000EE"/>
                <w:w w:val="97"/>
              </w:rPr>
              <w:t>EXPERTS</w:t>
            </w:r>
          </w:p>
        </w:tc>
        <w:tc>
          <w:tcPr>
            <w:tcW w:w="9760" w:type="dxa"/>
            <w:vAlign w:val="bottom"/>
            <w:tcBorders>
              <w:bottom w:val="single" w:sz="8" w:color="CCEEFF"/>
            </w:tcBorders>
            <w:gridSpan w:val="17"/>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23</w:t>
            </w:r>
          </w:p>
        </w:tc>
      </w:tr>
      <w:tr>
        <w:trPr>
          <w:trHeight w:val="176"/>
        </w:trPr>
        <w:tc>
          <w:tcPr>
            <w:tcW w:w="10600" w:type="dxa"/>
            <w:vAlign w:val="bottom"/>
            <w:gridSpan w:val="18"/>
          </w:tcPr>
          <w:p>
            <w:pPr>
              <w:spacing w:after="0" w:line="176" w:lineRule="exact"/>
              <w:rPr>
                <w:sz w:val="20"/>
                <w:szCs w:val="20"/>
                <w:color w:val="auto"/>
              </w:rPr>
            </w:pPr>
            <w:r>
              <w:rPr>
                <w:rFonts w:ascii="Arial" w:cs="Arial" w:eastAsia="Arial" w:hAnsi="Arial"/>
                <w:sz w:val="18"/>
                <w:szCs w:val="18"/>
                <w:b w:val="1"/>
                <w:bCs w:val="1"/>
                <w:color w:val="0000EE"/>
              </w:rPr>
              <w:t>WHERE YOU CAN FIND MORE INFORMATION</w:t>
            </w:r>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23</w:t>
            </w:r>
          </w:p>
        </w:tc>
      </w:tr>
      <w:tr>
        <w:trPr>
          <w:trHeight w:val="20"/>
        </w:trPr>
        <w:tc>
          <w:tcPr>
            <w:tcW w:w="8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6"/>
        </w:trPr>
        <w:tc>
          <w:tcPr>
            <w:tcW w:w="10600" w:type="dxa"/>
            <w:vAlign w:val="bottom"/>
            <w:gridSpan w:val="18"/>
            <w:shd w:val="clear" w:color="auto" w:fill="CCEEFF"/>
          </w:tcPr>
          <w:p>
            <w:pPr>
              <w:spacing w:after="0" w:line="176" w:lineRule="exact"/>
              <w:rPr>
                <w:sz w:val="20"/>
                <w:szCs w:val="20"/>
                <w:color w:val="auto"/>
              </w:rPr>
            </w:pPr>
            <w:r>
              <w:rPr>
                <w:rFonts w:ascii="Arial" w:cs="Arial" w:eastAsia="Arial" w:hAnsi="Arial"/>
                <w:sz w:val="18"/>
                <w:szCs w:val="18"/>
                <w:b w:val="1"/>
                <w:bCs w:val="1"/>
                <w:color w:val="0000EE"/>
              </w:rPr>
              <w:t>INCORPORATION OF DOCUMENTS BY REFERENCE</w:t>
            </w:r>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23</w:t>
            </w:r>
          </w:p>
        </w:tc>
      </w:tr>
      <w:tr>
        <w:trPr>
          <w:trHeight w:val="21"/>
        </w:trPr>
        <w:tc>
          <w:tcPr>
            <w:tcW w:w="84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40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This prospectus is part of a registration statement that we filed with the Securities and Exchange Commission, or SEC, utilizing a “shelf” registration process. Under this shelf registration process, we may offer shares of our common stock or preferred stock, various series of debt securities and/or warrants or rights to purchase any of such securities, either individually or in units, in one or more offerings, with a total value of up to $75,000,000. This prospectus provides you with a general description of the securities we may offer. Each time we offer a type or series of securities under this prospectus, we will provide a prospectus supplement that will contain specific information about the terms of that offering.</w:t>
      </w:r>
    </w:p>
    <w:p>
      <w:pPr>
        <w:spacing w:after="0" w:line="17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This prospectus does not contain all of the information included in the registration statement. For a more complete understanding of the offering of the securities, you should refer to the registration statement, including its exhibits. The prospectus supplement may also add, update or change information contained or incorporated by reference in this prospectus. However, no prospectus supplement will offer a security that is not registered and described in this prospectus at the time of its effectiveness. This prospectus, together with the applicable prospectus supplements and the documents incorporated by reference into this prospectus, includes all material information relating to the offering of securities under this prospectus. You should carefully read this prospectus, the applicable prospectus supplement, the information and documents incorporated herein by reference and the additional information under the headings “Where You Can Find More Information” and “Incorporation of Documents by Reference” before making an investment decision.</w:t>
      </w:r>
    </w:p>
    <w:p>
      <w:pPr>
        <w:spacing w:after="0" w:line="16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You should rely only on the information we have provided or incorporated by reference in this prospectus or any prospectus supplement. We have not authorized anyone to provide you with information different from that contained or incorporated by reference in this prospectus. No dealer, salesperson or other person is authorized to give any information or to represent anything not contained or incorporated by reference in this prospectus. You must not rely on any unauthorized information or representation. This prospectus is an offer to sell only the securities offered hereby, but only under circumstances and in jurisdictions where it is lawful to do so. You should assume that the information in this prospectus or any prospectus supplement is accurate only as of the date on the front of the document and that any information we have incorporated herein by reference is accurate only as of the date of the document incorporated by reference, regardless of the time of delivery of this prospectus or any sale of a security.</w:t>
      </w:r>
    </w:p>
    <w:p>
      <w:pPr>
        <w:spacing w:after="0" w:line="16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further note that the representations, warranties and covenants made by us in any agreement that is filed as an exhibit to any document that is incorporated by reference in this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This prospectus may not be used to consummate sales of our securities unless it is accompanied by a prospectus supplement. To the extent there are inconsistencies between any prospectus supplement, this prospectus and any documents incorporated by reference, the document with the most recent date will control.</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Unless the context indicates otherwise in this prospectus, the terms “Microbot,” the “Company,” “we,” “our” or “us” in this prospectus refer to Microbot Medical Inc. and its wholly-owned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i w:val="1"/>
          <w:iCs w:val="1"/>
          <w:color w:val="auto"/>
        </w:rPr>
        <w:t>This summary highlights selected information about our Company, the offering of our securities under this prospectus and information appearing elsewhere in this prospectus and in the documents we incorporate by reference. This summary is not complete and does not contain all the information that you should consider before investing in our securities. You should read this entire prospectus carefully, including “Risk Factors” contained in this prospectus beginning on page 4, and the more detailed financial statements, notes to the consolidated financial statements and other information incorporated by reference from our filings with the SEC or included in any applicable prospectus supplement. Investing in our securities involves risks. Therefore, carefully consider the risk factors set forth in any prospectus supplement and in our most recent annual and quarterly filings with the SEC, as well as other information in this prospectus and any prospectus supplements and the documents incorporated by reference herein or therein, before purchasing our securities. Each of the risk factors could adversely affect our business, operating results and financial condition, as well as adversely affect the value of an investment in our securities.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Microbot is a pre-clinical medical device company specializing in the research, design and development of next generation robotic endoluminal surgery devices targeting the minimally invasive surgery space. Microbot is primarily focused on leveraging its micro-robotic technologies with the goal of redefining surgical robotics while improving surgical outcomes for patients.</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Microbot’s current technological platforms, ViRob</w:t>
      </w:r>
      <w:r>
        <w:rPr>
          <w:rFonts w:ascii="Arial" w:cs="Arial" w:eastAsia="Arial" w:hAnsi="Arial"/>
          <w:sz w:val="28"/>
          <w:szCs w:val="28"/>
          <w:color w:val="auto"/>
          <w:vertAlign w:val="superscript"/>
        </w:rPr>
        <w:t>TM</w:t>
      </w:r>
      <w:r>
        <w:rPr>
          <w:rFonts w:ascii="Arial" w:cs="Arial" w:eastAsia="Arial" w:hAnsi="Arial"/>
          <w:sz w:val="17"/>
          <w:szCs w:val="17"/>
          <w:color w:val="auto"/>
        </w:rPr>
        <w:t>, TipCAT</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and Liberty™ (including certain CardioSert assets), are comprised of</w:t>
      </w:r>
    </w:p>
    <w:p>
      <w:pPr>
        <w:jc w:val="both"/>
        <w:spacing w:after="0" w:line="228" w:lineRule="auto"/>
        <w:rPr>
          <w:sz w:val="20"/>
          <w:szCs w:val="20"/>
          <w:color w:val="auto"/>
        </w:rPr>
      </w:pPr>
      <w:r>
        <w:rPr>
          <w:rFonts w:ascii="Arial" w:cs="Arial" w:eastAsia="Arial" w:hAnsi="Arial"/>
          <w:sz w:val="18"/>
          <w:szCs w:val="18"/>
          <w:color w:val="auto"/>
        </w:rPr>
        <w:t>proprietary innovative technologies. Using the ViRob platform, Microbot is currently developing the Self Cleaning Shunt, or SCS</w:t>
      </w:r>
      <w:r>
        <w:rPr>
          <w:rFonts w:ascii="Arial" w:cs="Arial" w:eastAsia="Arial" w:hAnsi="Arial"/>
          <w:sz w:val="29"/>
          <w:szCs w:val="29"/>
          <w:color w:val="auto"/>
          <w:vertAlign w:val="superscript"/>
        </w:rPr>
        <w:t>TM</w:t>
      </w:r>
      <w:r>
        <w:rPr>
          <w:rFonts w:ascii="Arial" w:cs="Arial" w:eastAsia="Arial" w:hAnsi="Arial"/>
          <w:sz w:val="18"/>
          <w:szCs w:val="18"/>
          <w:color w:val="auto"/>
        </w:rPr>
        <w:t>, for the treatment of hydrocephalus and Normal Pressure Hydrocephalus, or NPH. Utilizing the Liberty and CardioSert platforms, Microbot is developing the first ever fully disposable robot for various endovascular interventional procedures. In addition, the Company is focused on the development of a Multi Generation Pipeline Portfolio utilizing all of its proprietary technologies.</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Microbot has a patent portfolio of 40 issued/allowed patents and 23 patent applications pending worldwide.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Technological Platforms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ViRob</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ViRob is an autonomous crawling micro-robot which can be controlled remotely or within the body. Its miniature dimensions are expected to allow it to navigate and crawl in different natural spaces within the human body, including blood vessels, the digestive tract and the respiratory system as well as artificial spaces such as shunts, catheters, ports, etc. Its unique structure is expected to give it the ability to move in tight spaces and curved passages as well as the ability to remain within the human body for prolonged time. The SCS product was developed using the ViRob technology.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TipCAT</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TipCAT is a disposable self-propelled locomotive device that is specially designed to advance in tubular anatomies. The TipCAT is a mechanism comprising a series of interconnected balloons at the device’s tip that provides the TipCAT with its forward locomotion capability. The device can self-propel within natural tubular lumens such as the blood vessels, respiratory and the urinary and GI tracts. A single channel of air/fluid supply sequentially inflates and deflates a series of balloons creating an inchworm like forward motion. The TipCAT maintains a standard working channel for treatments. Unlike standard access devices such as guidewires, catheters for vascular access and endoscopes, the TipCAT does not need to be pushed into the patient’s lumen using external pressure; rather, it will gently advance itself through the organ’s anatomy. As a result, the TipCAT is designed to be able to reach every part of the lumen under examination regardless of the topography, be less operator dependent, and greatly reduce the likelihood of damage to lumen structure. The TipCAT thus offers functionality features equivalent to modern tubular access devices, along with advantages associated with its physiologically adapted self-propelling mechanism, flexibility, and design.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color w:val="auto"/>
        </w:rPr>
        <w:t>CardioSert</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On May 25, 2018, Microbot acquired a patent-protected technology from CardioSert Ltd., a privately-held medical device company based in Israel that was part of a technological incubator supported by the Israel Innovation Authorities. The CardioSert technology contemplates a combination of a guidewire and microcatheter, technologies that are broadly used for surgery within a tubular organ or structure such as a blood vessel or duct. The CardioSert technology features a unique guidewire delivery system with steering and stiffness control capabilities which when developed is expected to give the physician the ability to control the tip curvature, to adjust tip load to varying degrees of stiffness in a gradually continuous manner. The CardioSert technology was originally developed to support interventional cardiologists in crossing chronic total occlusions (CTO) during percutaneous coronary intervention (PCI) procedures and has the potential to be used in other spaces and applications, such as peripheral intervention, and neurosurgery.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Liberty</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January 13, 2020, Microbot unveiled what it believes is the world’s first fully disposable robotic system for use in Endovascular Interventional procedures, such as cardiovascular, peripheral and neurovascular. The Liberty robotic system features a unique compact design with the capability to be operated remotely, reduce radiation exposure and physical strain to the physician, as well as the potential to eliminate the use of multiple consumables through its “One &amp; Done” capabilities, based in part on the CardioSert platform.</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Liberty is designed to maneuver guidewires and over-the-wire devices (such as microcatheters) within the body’s vasculature. It eliminates the need for extensive capital equipment requiring dedicated Cath-lab rooms as well as dedicated staff. In addition, it is being designed to streamline Cath-lab procedures with our proprietary “One &amp; Done” tool that combines guidewire and microcatheter into a single device. With control over tip curvature and stiffness for maneuverability and access and without the need for constant tool exchanges – the “One &amp; Done” feature of Liberty may drastically reduce procedure time and costs while enhancing the operator experience.</w:t>
      </w:r>
    </w:p>
    <w:p>
      <w:pPr>
        <w:spacing w:after="0" w:line="188"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On August 17, 2020, Microbot announced the successful conclusion of its feasibility animal study using the Liberty robotic system. The study met all of its end points with no intraoperative adverse events, which supports Microbot’s objectives to allow physicians to conduct a catheter-based procedure from outside the catheterization laboratory (cath-lab), avoiding radiation exposure, physical strain and the risk of cross contamination. The study was performed by two leading physicians in the neuro vascular and peripheral vascular intervention spaces, and the results demonstrated robust navigation capabilities, intuitive usability and accurate deployment of embolic agents, most of which was conducted remotely from the cath-lab’s control room.</w:t>
      </w:r>
    </w:p>
    <w:p>
      <w:pPr>
        <w:spacing w:after="0" w:line="16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are continuously exploring and evaluating additional innovative guidewire/microcatheter technologies to be integrated and combined with the Liberty robotic platform.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additional information related to our business and operations, please refer to the reports incorporated herein by reference, including our Annual Report on Form 10-K for the year ended December 31, 2019 as described under the caption “Incorporation of Documents by Reference” on page 23 of this prospectus.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Corporate Information</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Our Company was incorporated on August 2, 1988 in the State of Delaware under the name Cellular Transplants, Inc. The original Certificate of Incorporation was restated on February 14, 1992 to change the name of the Company to CytoTheraputics, Inc. On May 24, 2000, the Certificate of Incorporation as restated was further amended to change the name of the Company to StemCells, Inc. On November 28, 2016, C&amp;RD Israel Ltd., a wholly-owned subsidiary of the Company, completed its merger with and into Microbot Medical Ltd., an Israeli corporation, with Microbot Israel Ltd. surviving as a wholly-owned subsidiary of the Company, or the Merger. Prior to the Merger, the Company was a biopharmaceutical company that operated in one segment: the research, development, and commercialization of stem cell therapeutics and related technologies. Immediately following the closing of the Merger, the business of Microbot Medical Ltd. became our sole focus. In connection with the Merger, we also changed our name from StemCells, Inc. to Microbot Medical Inc. On November 29, 2016, the stock of the Company began trading on the Nasdaq Capital Market under the symbol “MBOT”.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6" w:name="page27"/>
    <w:bookmarkEnd w:id="26"/>
    <w:p>
      <w:pPr>
        <w:jc w:val="both"/>
        <w:ind w:firstLine="648"/>
        <w:spacing w:after="0" w:line="279" w:lineRule="auto"/>
        <w:rPr>
          <w:sz w:val="20"/>
          <w:szCs w:val="20"/>
          <w:color w:val="auto"/>
        </w:rPr>
      </w:pPr>
      <w:r>
        <w:rPr>
          <w:rFonts w:ascii="Arial" w:cs="Arial" w:eastAsia="Arial" w:hAnsi="Arial"/>
          <w:sz w:val="17"/>
          <w:szCs w:val="17"/>
          <w:color w:val="auto"/>
        </w:rPr>
        <w:t>Our principal executive offices are located at 25 Recreation Park Drive, Unit 108, Hingham, Massachusetts 02043. Microbot also has an executive office at 6 Hayozma Street, Yoqneam, P.O.B. 242, Israel 2069204. Our telephone number is (781) 875-3605. We maintain an Internet website at www.microbotmedical.com. The information contained on, connected to or that can be accessed via our website is not part of this prospectus. We have included our website address in this prospectus as an inactive textual reference only and not as an active hyperlink.</w:t>
      </w:r>
    </w:p>
    <w:p>
      <w:pPr>
        <w:spacing w:after="0" w:line="171"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Our Annual Reports on Form 10-K, Quarterly Reports on Form 10-Q, Current Reports on Form 8-K and all amendments to those reports filed or furnished pursuant to Section 13(a) or 15(d) of the Securities Exchange Act of 1934, as amended, or the Exchange Act, are available free of charge through the investor relations page of our internet website as soon as reasonably practicable after we electronically file such material with, or furnish it to, the SEC.</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Offerings Under This Prospectus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Under this prospectus, we may offer shares of our common stock or preferred stock, various series of debt securities and/or warrants or rights to purchase any such securities, either individually or in units, with a total value of up to $75,000,000, from time to time at prices and on terms to be determined by market conditions at the time of the offering. This prospectus provides you with a general description of the securities we may offer. Each time we offer a type or series of securities under this prospectus, we will provide a prospectus supplement that will describe the specific amounts, prices and other important terms of the securities, including, to the extent applicable:</w:t>
      </w:r>
    </w:p>
    <w:p>
      <w:pPr>
        <w:spacing w:after="0" w:line="188"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designation or classification;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aggregate principal amount or aggregate offering price;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maturity, if applicable;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rates and times of payment of interest or dividends,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redemption or conversion terms,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voting or other rights, if any;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conversion or exercise prices, if any.</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prospectus supplement also may add, update or change information contained in this prospectus or in documents we have incorporated by reference into this prospectus. However, no prospectus supplement will fundamentally change the terms that are set forth in this prospectus or offer a security that is not registered and described in this prospectus at the time of its effectiveness.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may sell the securities directly to investors or to or through agents, underwriters or dealers. We, and our agents or underwriters, reserve the right to accept or reject all or part of any proposed purchase of securities. If we offer securities through agents or underwriters, we will include in the applicable prospectus supplement:</w:t>
      </w:r>
    </w:p>
    <w:p>
      <w:pPr>
        <w:spacing w:after="0" w:line="184"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names of those agents or underwriters;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applicable fees, discounts and commissions to be paid to them;</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details regarding over-allotment options, if any;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net proceeds to us.</w:t>
      </w:r>
    </w:p>
    <w:p>
      <w:pPr>
        <w:spacing w:after="0" w:line="221"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THIS PROSPECTUS MAY NOT BE USED TO CONSUMMATE A SALE OF ANY SECURITIES UNLESS IT IS ACCOMPANIED BY A PROSPECTUS SUPPLEMENT.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i w:val="1"/>
          <w:iCs w:val="1"/>
          <w:color w:val="auto"/>
        </w:rPr>
        <w:t>Investing in our securities involves significant risk. The prospectus supplement applicable to each offering of our securities may contain a discussion of the risks applicable to an investment in Microbot. Prior to making a decision about investing in our securities, you should consider the “Risk Factors” included and incorporated by reference in this prospectus and any applicable prospectus supplement, including the risk factors incorporated by reference from our most recent Annual Report on Form 10-K, as updated by our Quarterly Reports on Form 10-Q and our other filings with the SEC pursuant to Sections 13(a), 13(c), 14 or 15(d) of the Exchange Act filed after such annual report. The risks and uncertainties we describe are not the only ones facing us. Additional risks not presently known to us, or that we currently deem immaterial, may also impair our business operations. If any of these risks were to occur, our business, financial condition, or results of operations would likely suffer. In that event, the trading price of our common stock could decline, and you could lose all or part of your investment.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This prospectus and the documents incorporated by reference in this prospectus include forward-looking statements within the meaning of Section 27A of the Securities Act of 1933, as amended, or the Securities Act, and Section 21E of the Exchange Act that relate to future events or our future operations or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In some cases, you can identify forward-looking statements by terminology such as “may”, “should”, “intends”, “expects”, “plans”, “targets”, “anticipates”, “believes”, “estimates”, “will”, “would”, “predicts”, “potential”, or “continue” or the negative of these terms or other comparable terminology. These statements are only predictions and involve known and unknown risks, uncertainties and other factors. The Private Securities Litigation Reform Act of 1995 provides a “safe harbor” for such forward-looking statements. In order to comply with the terms of the safe harbor, we note that a variety of factors could cause actual results and experience to differ materially from the anticipated results or other expectations expressed in the forward-looking statements.</w:t>
      </w:r>
    </w:p>
    <w:p>
      <w:pPr>
        <w:spacing w:after="0" w:line="18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Such statements include, without limitation, all statements as to expectation or belief and statements as to our future results of operations; the progress of our research, product development and clinical programs; the need for, and timing of, additional capital and capital expenditures; partnering prospects; costs of manufacturing products; the protection of, and the need for, additional intellectual property rights; effects of regulations; the need for additional facilities; and potential market opportunities. Our actual results may vary materially from those contained in such forward-looking statements because of risks to which we are subject, including the fact that additional trials will be required to confirm the safety and demonstrate the efficacy of our planned products; uncertainty as to whether the U.S. Food and Drug Administration, or the FDA, or other regulatory authorities will clear our proposed products for commercialization and sale; the risk that our planned clinical trials or studies could be substantially delayed beyond their expected dates or cause us to incur substantial unanticipated costs; uncertainties in our ability to obtain the capital resources needed to continue our current research and development operations and to conduct the research, preclinical development and clinical trials necessary for regulatory approvals; the uncertainty regarding the outcome of our clinical trials or studies we may conduct in the future; the uncertainty regarding the validity and enforceability of the patents underlying our proposed products; the uncertainty as to whether the Company’s preclinical studies will be replicated in humans; the uncertainty whether any of our proposed products will prove clinically safe and effective; the uncertainty of whether we will achieve significant revenue from product sales or become profitable; obsolescence of our technologies; competition from third parties; intellectual property rights of third parties; litigation risks; legal and regulatory developments in Israel; and other risks to which we are subject.</w:t>
      </w:r>
    </w:p>
    <w:p>
      <w:pPr>
        <w:spacing w:after="0" w:line="18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have based these forward-looking statements on our current expectations and projections about future events. We believe that the assumptions and expectations reflected in such forward-looking statements are reasonable, based on information available to us on the date hereof, but we cannot assure you that these assumptions and expectations will prove to have been correct or that we will take any action that we may presently be planning. These forward-looking statements are inherently subject to known and unknown risks and uncertainties. We have included important cautionary statements in this prospectus, in the documents incorporated by reference in this prospectus, and in the sections in our periodic reports, including our most recent Annual Report on Form 10-K, entitled “Business,” “Risk Factors,” and “Management’s Discussion and Analysis of Financial Condition and Results of Operations,” as supplemented by our subsequent Quarterly Reports on Form 10-Q or our Current Reports on Form 8-K, discussing some of the factors that we believe could cause actual results or events to differ materially from the forward-looking statements that we are making including, but are not limited to, research and product development uncertainties, regulatory policies and approval requirements, competition from other similar businesses, market and general economic factors.</w:t>
      </w:r>
    </w:p>
    <w:p>
      <w:pPr>
        <w:spacing w:after="0" w:line="18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light of these assumptions, risks and uncertainties, the results and events discussed in the forward-looking statements contained in this prospectus or in any document incorporated herein by reference might not occur. Investors are cautioned not to place undue reliance on the forward-looking statements, which speak only as of the date of this prospectus or the date of the document incorporated by reference in this prospectus. We are not under any obligation, and we expressly disclaim any obligation, to update or alter any forward-looking statements, whether as a result of new information, future events or otherwise. All subsequent forward-looking statements attributable to us or to any person acting on our behalf are expressly qualified in their entirety by the cautionary statements contained or referred to in this section.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cannot assure you that we will receive any proceeds in connection with securities which may be offered pursuant to this prospectus. Unless otherwise indicated in the applicable prospectus supplement, we intend to use any net proceeds from the sale of securities under this prospectus for our operations, our further development and commercialization of our product candidates, other general corporate purposes, which may include, but are not limited to, working capital, intellectual property protection and enforcement, capital expenditures, repayment of indebtedness and collaborations, and the costs of acquiring, licensing or investing in new and existing businesses, product candidates and technologies. We have not determined the amounts we plan to spend on any of the areas listed above or the timing of these expenditures. As a result, our management will have broad discretion to allocate the net proceeds, if any, we receive in connection with securities offered pursuant to this prospectus for any purpose. Pending application of the net proceeds as described above, we may initially invest the net proceeds in short-term, investment-grade or interest-bearing securities in accordance with our cash-management policies. Additional information on the use of proceeds from the sale of securities offered by this prospectus may be set forth in the prospectus supplement relating to that offering.</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may offer securities under this prospectus from time to time pursuant to public offerings through one or more placement agents or underwriters, negotiated transactions, block trades or a combination of these methods. We may sell the securities (1) through underwriters or dealers, (2) through agents or (3) directly to one or more purchasers, or through a combination of such methods. We may distribute the securities from time to time in one or more transactions at:</w:t>
      </w:r>
    </w:p>
    <w:p>
      <w:pPr>
        <w:spacing w:after="0" w:line="187"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fixed price or prices, which may be changed from time to time;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market prices prevailing at the time of sale;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prices related to the prevailing market prices;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negotiated prices.</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may directly solicit offers to purchase the securities being offered by this prospectus. We may also designate agents to solicit offers to purchase the securities from time to time, and may enter into arrangements for “at the market,” equity line or similar transactions. We will name in a prospectus supplement any underwriter or agent involved in the offer or sale of the securities.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we utilize a dealer in the sale of the securities being offered by this prospectus, we will sell the securities to the dealer, as principal. The dealer may then resell the securities to the public at varying prices to be determined by the dealer at the time of resale.</w:t>
      </w:r>
    </w:p>
    <w:p>
      <w:pPr>
        <w:spacing w:after="0" w:line="17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If we utilize an underwriter in the sale of the securities being offered by this prospectus, we will execute an underwriting agreement with the underwriter at the time of sale, and we will provide the name of any underwriter in the prospectus supplement which the underwriter will use to make resales of the securities to the public. In connection with the sale of the securities, we, or the purchasers of the securities for whom the underwriter may act as agent, may compensate the underwriter in the form of underwriting discounts or commissions. The underwriter may sell the securities to or through dealers, and the underwriter may compensate those dealers in the form of discounts, concessions or commissions.</w:t>
      </w:r>
    </w:p>
    <w:p>
      <w:pPr>
        <w:spacing w:after="0" w:line="17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With respect to underwritten public offerings, negotiated transactions and block trades, we will provide in the applicable prospectus supplement information regarding any compensation we pay to underwriters, dealers or agents in connection with the offering of the securities, and any discounts, concessions or commissions allowed by underwriters to participating dealers. Underwriters, dealers and agents participating in the distribution of the securities may be deemed to be underwriters within the meaning of the Securities Act,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or to contribute to payments they may be required to make in respect thereof.</w:t>
      </w:r>
    </w:p>
    <w:p>
      <w:pPr>
        <w:spacing w:after="0" w:line="19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If so indicated in the applicable prospectus supplement, we will authorize underwriters, dealers or other persons acting as our agents to solicit offers by certain institutions to purchase securities from us pursuant to delayed delivery contracts providing for payment and delivery on the date stated in each applicable prospectus supplement. Each contract will be for an amount not less than, and the aggregate amount of securities sold pursuant to such contracts shall not be less nor more than, the respective amounts stated in each applicable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spacing w:after="0" w:line="195" w:lineRule="exact"/>
        <w:rPr>
          <w:sz w:val="20"/>
          <w:szCs w:val="20"/>
          <w:color w:val="auto"/>
        </w:rPr>
      </w:pPr>
    </w:p>
    <w:p>
      <w:pPr>
        <w:ind w:left="660" w:hanging="328"/>
        <w:spacing w:after="0" w:line="258"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purchase by an institution of the securities covered under that contract shall not at the time of delivery be prohibited under the laws of the jurisdiction to which that institution is subject; and</w:t>
      </w:r>
    </w:p>
    <w:p>
      <w:pPr>
        <w:spacing w:after="0" w:line="1"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the securities are also being sold to underwriters acting as principals for their own account, the underwriters shall have purchased such securities not sold for delayed delivery. The underwriters and other persons acting as our agents will not have any responsibility in respect of the validity or performance of delayed delivery contracts.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1" w:name="page32"/>
    <w:bookmarkEnd w:id="31"/>
    <w:p>
      <w:pPr>
        <w:jc w:val="both"/>
        <w:ind w:firstLine="648"/>
        <w:spacing w:after="0" w:line="254" w:lineRule="auto"/>
        <w:rPr>
          <w:sz w:val="20"/>
          <w:szCs w:val="20"/>
          <w:color w:val="auto"/>
        </w:rPr>
      </w:pPr>
      <w:r>
        <w:rPr>
          <w:rFonts w:ascii="Arial" w:cs="Arial" w:eastAsia="Arial" w:hAnsi="Arial"/>
          <w:sz w:val="18"/>
          <w:szCs w:val="18"/>
          <w:color w:val="auto"/>
        </w:rPr>
        <w:t>One or more firms, referred to as “remarketing firms,” may also offer or sell the securities, if a prospectus supplement so indicates, in connection with a remarketing arrangement upon their purchase. Remarketing firms will act as principals for their own accounts or as our agents. These remarketing firms will offer or sell the securities in accordance with the terms of the securities. Each prospectus supplement will identify and describe any remarketing firm and the terms of its agreement, if any, with us and will describe the remarketing firm’s compensation. Remarketing firms may be deemed to be underwriters in connection with the securities they remarket. Remarketing firms may be entitled under agreements that may be entered into with us to indemnification by us against certain civil liabilities, including liabilities under the Securities Act, and may be customers of, engage in transactions with or perform services for us in the ordinary course of business.</w:t>
      </w:r>
    </w:p>
    <w:p>
      <w:pPr>
        <w:spacing w:after="0" w:line="19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Certain underwriters may use this prospectus and any accompanying prospectus supplement for offers and sales related to market-making transactions in the securities. These underwriters may act as principal or agent in these transactions, and the sales will be made at prices related to prevailing market prices at the time of sale. Any underwriters involved in the sale of the securities may qualify as “underwriters” within the meaning of Section 2(a)(11) of the Securities Act. In addition, the underwriters’ commissions, discounts or concessions may qualify as underwriters’ compensation under the Securities Act and the rules of the Financial Industry Regulatory Authority, Inc., or FINRA.</w:t>
      </w:r>
    </w:p>
    <w:p>
      <w:pPr>
        <w:spacing w:after="0" w:line="17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Shares of our common stock sold pursuant to the registration statement of which this prospectus is a part will be authorized for listing and trading on The Nasdaq Capital Market. The applicable prospectus supplement will contain information, where applicable, as to any other listing, if any, on The Nasdaq Capital Market or any securities market or other securities exchange of the securities covered by the prospectus supplement. Underwriters may make a market in our common stock, but will not be obligated to do so and may discontinue any market making at any time without notice. We can make no assurance as to the liquidity of or the existence, development or maintenance of trading markets for any of the securities.</w:t>
      </w:r>
    </w:p>
    <w:p>
      <w:pPr>
        <w:spacing w:after="0" w:line="17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order to facilitate the offering of the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 sold to them. In these circumstances, these persons would cover such over-allotments or short positions by making purchases in the open market or by exercising their over-allotment option. In addition, these persons may stabilize or maintain the price of the securities by bidding for or purchasing the applicable security in the open market or by imposing penalty bids, whereby selling concessions allowed to dealers participating in the offering may be reclaimed if the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spacing w:after="0" w:line="17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The underwriters, dealers and agents may engage in other transactions with us, or perform other services for us, in the ordinary course of their business.</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DESCRIPTION OF COMMON STOCK</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authorized to issue 60,000,000 shares of common stock, par value $0.01 per share. As of September 30, 2020 we had 7,108,133 shares of common stock issued and outstanding and approximately 139 common stockholders of record. The following summary of certain provisions of our common stock does not purport to be complete. You should refer to our certificate of incorporation and our bylaws, copies of which are on file with the SEC as exhibits to previous SEC filings. Please refer to “Where You Can Find More Information” below for directions on obtaining these documents. The summary below is also qualified by provisions of applicable law.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Holders of common stock are entitled to one vote for each share held on all matters submitted to a vote of stockholders and do not have cumulative voting rights. Holders of common stock are entitled to receive proportionately any dividends as may be declared by our board of directors, out of funds that we may legally use to pay dividends, subject to any preferential dividend rights of any outstanding series of preferred stock or series of preferred stock that we may designate and issue in the future. All shares of common stock outstanding as of the date of this prospectus and, upon issuance and sale, all shares of common stock that we may offer pursuant to this prospectus, will be fully paid and nonassessable.</w:t>
      </w:r>
    </w:p>
    <w:p>
      <w:pPr>
        <w:spacing w:after="0" w:line="1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the event of our liquidation or dissolution, the holders of common stock are entitled to receive proportionately our net assets available for distribution to stockholders after the payment of all debts and other liabilities and subject to the prior rights of any outstanding preferred stock. Holders of common stock have no preemptive, subscription, redemption or conversion rights. There are no redemption or sinking fund provisions applicable to the common stock.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transfer agent and registrar for our common stock is Computershare Trust Company, N.A.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Capital Market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is listed for quotation on the Nasdaq Capital Market under the symbol “MBOT.”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DESCRIPTION OF PREFERRED STOCK</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have authority to issue 1,000,000 shares of preferred stock, par value $0.01 per share. As of the date of this prospectus, no shares of our preferred stock were outstanding or designated.</w:t>
      </w:r>
    </w:p>
    <w:p>
      <w:pPr>
        <w:spacing w:after="0" w:line="170"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following summary of certain provisions of our preferred stock does not purport to be complete. You should refer to our certificate of incorporation and by-laws, as amended to date, copies of which are on file with the SEC as exhibits to previous SEC filings. Please refer to “Where You Can Find More Information” below for directions on obtaining these documents. The summary below is also qualified by provisions of applicable law.</w:t>
      </w:r>
    </w:p>
    <w:p>
      <w:pPr>
        <w:spacing w:after="0" w:line="14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board of directors is authorized, without stockholder approval, from time to time, to issue shares of preferred stock in series and may, at the time of issuance, subject to Delaware law and our certificate of incorporation and by-laws, determine the rights, preferences and limitations of each series, including voting rights, dividend rights and redemption and liquidation preferences. Satisfaction of any dividend preferences of outstanding shares of preferred stock would reduce the amount of funds available for the payment of dividends on shares of our common stock. Holders of shares of preferred stock may be entitled to receive a preference payment in the event of any liquidation, dissolution or winding-up of our company before any payment is made to the holders of shares of our common stock. In some circumstances, the issuance of shares of preferred stock may render more difficult or tend to discourage a merger, tender offer or proxy contest, the assumption of control by a holder of a large block of our securities or the removal of incumbent management. Upon the affirmative vote of our board of directors, without stockholder approval, we may issue shares of preferred stock with voting and conversion rights which could adversely affect the holders of shares of our common stock.</w:t>
      </w:r>
    </w:p>
    <w:p>
      <w:pPr>
        <w:spacing w:after="0" w:line="18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we offer a specific series of preferred stock under this prospectus, we will describe the terms of the preferred stock in the prospectus supplement for such offering and will file a copy of the certificate establishing the terms of the preferred stock with the SEC. To the extent required, this description will include:</w:t>
      </w:r>
    </w:p>
    <w:p>
      <w:pPr>
        <w:spacing w:after="0" w:line="184"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title and stated value;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number of shares offered, the liquidation preference per share and the purchase price;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dividend rate(s), period(s) and/or payment date(s), or method(s) of calculation for such dividends;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whether dividends will be cumulative or non-cumulative and, if cumulative, the date from which dividends will accumulate;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procedures for any auction and remarketing,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provisions for a sinking fund,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provisions for redemption, if applicable;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listing of the preferred stock on any securities exchange or market;</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whether the preferred stock will be convertible into our common stock, and, if applicable, the conversion price (or how it will be calculated) and conversion period;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whether the preferred stock will be exchangeable into debt securities, and, if applicable, the exchange price (or how it will be calculated) and exchange period;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voting rights, if any, of the preferred stock;</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discussion of any material and/or special U.S. federal income tax considerations applicable to the preferred stock;</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relative ranking and preferences of the preferred stock as to dividend rights and rights upon liquidation, dissolution or winding up of the affairs of the Company;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material limitations on issuance of any class or series of preferred stock ranking senior to or on a parity with the series of preferred stock as to dividend rights and rights upon liquidation, dissolution or winding up of the Company.</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preferred stock offered by this prospectus will, when issued, be fully paid and nonassessable and will not have, or be subject to, any preemptive or similar rights.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transfer agent and registrar for any series or class of preferred stock will be set forth in the applicable prospectus supplement.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We may issue warrants to purchase shares of our common stock, preferred stock and/or debt securities in one or more series together with other securities or separately, as described in the applicable prospectus supplement. Below is a description of certain general terms and provisions of the warrants that we may offer. Particular terms of the warrants will be described in the warrant agreements and the prospectus supplement to the warrants.</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applicable prospectus supplement will contain, where applicable, the following terms of, and other information relating to, the warrants:</w:t>
      </w:r>
    </w:p>
    <w:p>
      <w:pPr>
        <w:spacing w:after="0" w:line="237"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specific designation and aggregate number of, and the price at which we will issue, the warrants;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currency or currency units in which the offering price, if any, and the exercise price are payable;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designation, amount and terms of the securities purchasable upon exercise of the warrants;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applicable, the exercise price for shares of our common stock and the number of shares of common stock to be received upon exercise of the warrants;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applicable, the exercise price for shares of our preferred stock, the number of shares of preferred stock to be received upon exercise, and a description of that series of our preferred stock;</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applicable, the exercise price for our debt securities, the amount of debt securities to be received upon exercise, and a description of that series of debt securities;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date on which the right to exercise the warrants will begin and the date on which that right will expire or, if you may not continuously exercise the warrants throughout that period, the specific date or dates on which you may exercise the warrants;</w:t>
      </w:r>
    </w:p>
    <w:p>
      <w:pPr>
        <w:spacing w:after="0" w:line="17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whether the warrants will be issued in fully registered form or bearer form, in definitive or global form or in any combination of these forms, although, in any case, the form of a warrant included in a unit will correspond to the form of the unit and of any security included in that unit;</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applicable material U.S. federal income tax consequences;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identity of the warrant agent for the warrants and of any other depositaries, execution or paying agents, transfer agents, registrars or other agents;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proposed listing, if any, of the warrants or any securities purchasable upon exercise of the warrants on any securities exchange;</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applicable, the date from and after which the warrants and the common stock, preferred stock and/or debt securities will be separately transferable;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applicable, the minimum or maximum amount of the warrants that may be exercised at any one time;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anti-dilution provisions of the warrants,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redemption or call provisions;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whether the warrants are to be sold separately or with other securities as parts of units;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any additional terms of the warrants, including terms, procedures and limitations relating to the exchange and exercise of the warrants.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Outstanding Warrants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September 30, 2020, we had outstanding:</w:t>
      </w:r>
    </w:p>
    <w:p>
      <w:pPr>
        <w:spacing w:after="0" w:line="225"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warrants to purchase 183 shares of our common stock at an exercise price of $2,754.00 per share, which are exercisable through April 9, 2023;</w:t>
      </w:r>
    </w:p>
    <w:p>
      <w:pPr>
        <w:spacing w:after="0" w:line="46" w:lineRule="exact"/>
        <w:rPr>
          <w:rFonts w:ascii="Arial" w:cs="Arial" w:eastAsia="Arial" w:hAnsi="Arial"/>
          <w:sz w:val="16"/>
          <w:szCs w:val="16"/>
          <w:color w:val="auto"/>
        </w:rPr>
      </w:pP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warrants to purchase 2,770 shares of our common stock at an exercise price of $40.50 per share, which are exercisable through March 14, 2022;</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warrants to purchase 8,082 shares of our common stock at an exercise price of $8.13 per share, which are exercisable through July 14, 2022;</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warrants to purchase 29,500 shares of our common stock at an exercise price of $12.50 per share, which are exercisable through July 15, 2022;</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warrants to purchase 45,643 shares of our common stock at an exercise price of $13.13 per share, which are exercisable through June 25, 2023;</w:t>
      </w:r>
    </w:p>
    <w:p>
      <w:pPr>
        <w:spacing w:after="0" w:line="32" w:lineRule="exact"/>
        <w:rPr>
          <w:rFonts w:ascii="Arial" w:cs="Arial" w:eastAsia="Arial" w:hAnsi="Arial"/>
          <w:sz w:val="16"/>
          <w:szCs w:val="16"/>
          <w:color w:val="auto"/>
        </w:rPr>
      </w:pPr>
    </w:p>
    <w:p>
      <w:pPr>
        <w:ind w:left="660" w:hanging="328"/>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warrants to purchase 47,619 shares of our common stock at an exercise price of $13.13 per share, which are exercisable through June 27, 2023; and</w:t>
      </w: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warrants to purchase 45,045 shares of our common stock at an exercise price of $13.88 per share, which are exercisable through June 30, 2023.</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transfer agent and registrar for any warrants will be set forth in the applicable prospectus supplement.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following description, together with the additional information we include in any applicable prospectus supplements, summarizes the material terms and provisions of the debt securities that we may offer under this prospectus. While the terms we have summarized below will apply generally to any future debt securities we may offer pursuant to this prospectus, we will describe the particular terms of any debt securities that we may offer in more detail in the applicable prospectus supplement. If we so indicate in a prospectus supplement, the terms of any debt securities offered under such prospectus supplement may differ from the terms we describe below, and to the extent the terms set forth in a prospectus supplement differ from the terms described below, the terms set forth in the prospectus supplement shall control.</w:t>
      </w:r>
    </w:p>
    <w:p>
      <w:pPr>
        <w:spacing w:after="0" w:line="19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may sell from time to time, in one or more offerings under this prospectus, debt securities, which may be senior or subordinated. We will issue any such senior debt securities under a senior indenture that we will enter into with a trustee to be named in the senior indenture. We will issue any such subordinated debt securities under a subordinated indenture, which we will enter into with a trustee to be named in the subordinated indenture. We have filed forms of these documents as exhibits to the registration statement, of which this prospectus is a part. We use the term “indentures” to refer to either the senior indenture or the subordinated indenture, as applicable. The indentures will be qualified under the Trust Indenture Act of 1939, or the Trust Indenture Act, as in effect on the date of the indenture. We use the term “debenture trustee” to refer to either the trustee under the senior indenture or the trustee under the subordinated indenture, as applicable.</w:t>
      </w:r>
    </w:p>
    <w:p>
      <w:pPr>
        <w:spacing w:after="0" w:line="17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summaries of material provisions of the senior debt securities, the subordinated debt securities and the indentures are subject to, and qualified in their entirety by reference to, all the provisions of the indenture applicable to a particular series of debt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Each indenture provides that debt securities may be issued from time to time in one or more series and may be denominated and payable in foreign currencies or units based on or relating to foreign currencies. Neither the senior indenture nor any subordinated indenture limits the amount of debt securities that may be issued thereunder, and each indenture provides that the specific terms of any series of debt securities shall be set forth in, or determined pursuant to, an authorizing resolution and/or a supplemental indenture, if any, relating to such series.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will describe in each prospectus supplement the following terms relating to a series of debt securities:</w:t>
      </w:r>
    </w:p>
    <w:p>
      <w:pPr>
        <w:spacing w:after="0" w:line="225"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title or designation;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aggregate principal amount and any limit on the amount that may be issued;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currency or units based on or relating to currencies in which debt securities of such series are denominated and the currency or units in which principal or interest or both will or may be payable;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whether we will issue the series of debt securities in global form, the terms of any global securities and who the depositary will be;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maturity date and the date or dates on which principal will be payable;</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interest rate, which may be fixed or variable, or the method for determining the rate and the date interest will begin to accrue, the date or dates interest will be payable and the record dates for interest payment dates or the method for determining such dates;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whether or not the debt securities will be secured or unsecured, and the terms of any secured debt;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terms of the subordination of any series of subordinated debt;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place or places where payments will be payable;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7" w:name="page38"/>
    <w:bookmarkEnd w:id="37"/>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right, if any, to defer payment of interest and the maximum length of any such deferral period;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date, if any, after which, and the price at which, we may, at our option, redeem the series of debt securities pursuant to any optional redemption provisions;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date, if any, on which, and the price at which we are obligated, pursuant to any mandatory sinking fund provisions or otherwise, to redeem, or at the holder’s option to purchase, the series of debt securities;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whether the indenture will restrict our ability to pay dividends, or will require us to maintain any asset ratios or reserves;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whether we will be restricted from incurring any additional indebtedness;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discussion on any material or special U.S. federal income tax considerations applicable to a series of debt securities;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denominations in which we will issue the series of debt securities, if other than denominations of $1,000 and any integral multiple thereof; and</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other specific terms, preferences, rights or limitations of, or restrictions on, the debt securities.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or Exchange Rights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will set forth in the prospectus supplement the terms, if any, on which a series of debt securities may be convertible into or exchangeable for our common stock or our other securities. We will include provisions as to whether conversion or exchange is mandatory, at the option of the holder or at our option. We may include provisions pursuant to which the number of shares of our common stock or our other securities that the holders of the series of debt securities receive would be subject to adjustment.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or Sale; No Protection in Event of a Change of Control or Highly Leveraged Transaction</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indentures do not contain any covenant that restricts our ability to merge or consolidate, or sell, convey, transfer or otherwise dispose of all or substantially all of our assets. However, any successor to or acquirer of such assets must assume all of our obligations under the indentures or the debt securities, as appropriate.</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Unless we state otherwise in the applicable prospectus supplement, the debt securities will not contain any provisions that may afford holders of the debt securities protection in the event we have a change of control or in the event of a highly leveraged transaction (whether or not such transaction results in a change of control), which could adversely affect holders of debt securities.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 Under the Indenture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events of default under the indentures with respect to any series of debt securities that we may issue:</w:t>
      </w:r>
    </w:p>
    <w:p>
      <w:pPr>
        <w:spacing w:after="0" w:line="225"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we fail to pay interest when due and our failure continues for 90 days and the time for payment has not been extended or deferred;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we fail to pay the principal, or premium, if any, when due and the time for payment has not been extended or delayed;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8" w:name="page39"/>
    <w:bookmarkEnd w:id="38"/>
    <w:p>
      <w:pPr>
        <w:jc w:val="both"/>
        <w:ind w:left="660" w:hanging="328"/>
        <w:spacing w:after="0" w:line="259"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we fail to observe or perform any other covenant set forth in the debt securities of such series or the applicable indentures, other than a covenant specifically relating to and for the benefit of holders of another series of debt securities, and our failure continues for 90 days after we receive written notice from the debenture trustee or holders of not less than a majority in aggregate principal amount of the outstanding debt securities of the applicable series; and</w:t>
      </w:r>
    </w:p>
    <w:p>
      <w:pPr>
        <w:spacing w:after="0" w:line="186"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specified events of bankruptcy, insolvency or reorganization occur as to us.</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No event of default with respect to a particular series of debt securities (except as to certain events of bankruptcy, insolvency or reorganization) necessarily constitutes an event of default with respect to any other series of debt securities. The occurrence of an event of default may constitute an event of default under any bank credit agreements we may have in existence from time to time. In addition, the occurrence of certain events of default or acceleration under the indenture may constitute an event of default under certain of our other indebtedness outstanding from time to time.</w:t>
      </w:r>
    </w:p>
    <w:p>
      <w:pPr>
        <w:spacing w:after="0" w:line="15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If an event of default with respect to debt securities of any series at the time outstanding occurs and is continuing, then the trustee or the holders of not less than a majority in principal amount of the outstanding debt securities of that series may, by a notice in writing to us (and to the debenture trustee if given by the holders), declare to be due and payable immediately the principal (or, if the debt securities of that series are discount securities, that portion of the principal amount as may be specified in the terms of that series) of and premium and accrued and unpaid interest, if any, on all debt securities of that series. Before a judgment or decree for payment of the money due has been obtained with respect to debt securities of any series, the holders of a majority in principal amount of the outstanding debt securities of that series (or, at a meeting of holders of such series at which a quorum is present, the holders of a majority in principal amount of the debt securities of such series represented at such meeting) may rescind and annul the acceleration if all events of default, other than the non-payment of accelerated principal, premium, if any, and interest, if any, with respect to debt securities of that series, have been cured or waived as provided in the applicable indenture (including payments or deposits in respect of principal, premium or interest that had become due other than as a result of such acceleration).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7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Subject to the terms of the indentures, if an event of default under an indenture shall occur and be continuing, the debenture trustee will be under no obligation to exercise any of its rights or powers under such indenture at the request or direction of any of the holders of the applicable series of debt securities, unless such holders have offered the debenture trustee reasonable indemnity. The holders of a majority in principal amount of the outstanding debt securities of any series will have the right to direct the time, method and place of conducting any proceeding for any remedy available to the debenture trustee, or exercising any trust or power conferred on the debenture trustee, with respect to the debt securities of that series, provided that:</w:t>
      </w:r>
    </w:p>
    <w:p>
      <w:pPr>
        <w:spacing w:after="0" w:line="161"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direction so given by the holder is not in conflict with any law or the applicable indenture;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subject to its duties under the Trust Indenture Act, the debenture trustee need not take any action that might involve it in personal liability or might be unduly prejudicial to the holders not involved in the proceeding.</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 holder of the debt securities of any series will only have the right to institute a proceeding under the indentures or to appoint a receiver or trustee, or to seek other remedies if:</w:t>
      </w:r>
    </w:p>
    <w:p>
      <w:pPr>
        <w:spacing w:after="0" w:line="170"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holder previously has given written notice to the debenture trustee of a continuing event of default with respect to that series;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holders of at least a majority in aggregate principal amount of the outstanding debt securities of that series have made written request, and such holders have offered reasonable indemnity to the debenture trustee to institute the proceeding as trustee; and</w:t>
      </w:r>
    </w:p>
    <w:p>
      <w:pPr>
        <w:spacing w:after="0" w:line="170"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debenture trustee does not institute the proceeding, and does not receive from the holders of a majority in aggregate principal amount of the outstanding debt securities of that series (or at a meeting of holders of such series at which a quorum is present, the holders of a majority in principal amount of the debt securities of such series represented at such meeting) other conflicting directions within 60 days after the notice, request and offer.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9" w:name="page40"/>
    <w:bookmarkEnd w:id="39"/>
    <w:p>
      <w:pPr>
        <w:ind w:firstLine="648"/>
        <w:spacing w:after="0" w:line="277" w:lineRule="auto"/>
        <w:rPr>
          <w:sz w:val="20"/>
          <w:szCs w:val="20"/>
          <w:color w:val="auto"/>
        </w:rPr>
      </w:pPr>
      <w:r>
        <w:rPr>
          <w:rFonts w:ascii="Arial" w:cs="Arial" w:eastAsia="Arial" w:hAnsi="Arial"/>
          <w:sz w:val="18"/>
          <w:szCs w:val="18"/>
          <w:color w:val="auto"/>
        </w:rPr>
        <w:t>These limitations do not apply to a suit instituted by a holder of debt securities if we default in the payment of the principal, premium, if any, or interest on, the debt securities.</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will periodically file statements with the applicable debenture trustee regarding our compliance with specified covenants in the applicable indenture.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Indenture; Waiver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debenture trustee and we may change the applicable indenture without the consent of any holders with respect to specific matters, including:</w:t>
      </w:r>
    </w:p>
    <w:p>
      <w:pPr>
        <w:spacing w:after="0" w:line="248"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fix any ambiguity, defect or inconsistency in the indenture;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change anything that does not materially adversely affect the interests of any holder of debt securities of any series issued pursuant to such indenture.</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under the indentures, the rights of holders of a series of debt securities may be changed by us and the debenture trustee with the written consent of the holders of at least a majority in aggregate principal amount of the outstanding debt securities of each series (or, at a meeting of holders of such series at which a quorum is present, the holders of a majority in principal amount of the debt securities of such series represented at such meeting) that is affected. However, the debenture trustee and we may make the following changes only with the consent of each holder of any outstanding debt securities affected:</w:t>
      </w:r>
    </w:p>
    <w:p>
      <w:pPr>
        <w:spacing w:after="0" w:line="188"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extending the fixed maturity of the series of debt securities;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reducing the principal amount, reducing the rate of or extending the time of payment of interest, or any premium payable upon the redemption of any debt securities;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reducing the principal amount of discount securities payable upon acceleration of maturity;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making the principal of or premium or interest on any debt security payable in currency other than that stated in the debt security;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reducing the percentage of debt securities, the holders of which are required to consent to any amendment or waiver.</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Except for certain specified provisions, the holders of at least a majority in principal amount of the outstanding debt securities of any series (or, at a meeting of holders of such series at which a quorum is present, the holders of a majority in principal amount of the debt securities of such series represented at such meeting)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or in respect of a covenant or provision, which cannot be modified or amended without the consent of the holder of each outstanding debt security of the series affected; provided, however, that the holders of a majority in principal amount of the outstanding debt securities of any series may rescind an acceleration and its consequences, including any related payment default that resulted from the acceleration.</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Discharge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Each indenture provides that we can elect to be discharged from our obligations with respect to one or more series of debt securities, except for obligations to:</w:t>
      </w:r>
    </w:p>
    <w:p>
      <w:pPr>
        <w:spacing w:after="0" w:line="170"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register the transfer or exchange of debt securities of the series;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replace stolen, lost or mutilated debt securities of the series;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maintain paying agencies;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hold monies for payment in trust;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compensate and indemnify the trustee;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appoint any successor trustee.</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In order to exercise our rights to be discharged with respect to a series, we must deposit with the trustee money or government obligations sufficient to pay all the principal of, the premium, if any, and interest on, the debt securities of the series on the dates payments are due.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Exchange, and Transfer</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will issue the debt securities of each series only in fully registered form without coupons and, unless we otherwise specify in the applicable prospectus supplement, in denominations of $1,000 and any integral multiple thereof. The indentures provide that we may issue debt securities of a series in temporary or permanent global form and as book-entry securities that will be deposited with, or on behalf of, The Depository Trust Company or another depositary named by us and identified in a prospectus supplement with respect to that series.</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At the option of the holder, subject to the terms of the indentures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spacing w:after="0" w:line="18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Subject to the terms of the indentures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or in the applicable indenture, we will make no service charge for any registration of transfer or exchange, but we may require payment of any taxes or other governmental charges.</w:t>
      </w:r>
    </w:p>
    <w:p>
      <w:pPr>
        <w:spacing w:after="0" w:line="16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we elect to redeem the debt securities of any series, we will not be required to:</w:t>
      </w:r>
    </w:p>
    <w:p>
      <w:pPr>
        <w:spacing w:after="0" w:line="225" w:lineRule="exact"/>
        <w:rPr>
          <w:sz w:val="20"/>
          <w:szCs w:val="20"/>
          <w:color w:val="auto"/>
        </w:rPr>
      </w:pPr>
    </w:p>
    <w:p>
      <w:pPr>
        <w:jc w:val="both"/>
        <w:ind w:left="660" w:hanging="328"/>
        <w:spacing w:after="0" w:line="263"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18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register the transfer of or exchange any debt securities so selected for redemption, in whole or in part, except the unredeemed portion of any debt securities we are redeeming in part.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Information Concerning the Debenture Trustee</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debenture trustee, other than during the occurrence and continuance of an event of default under the applicable indenture, undertakes to perform only those duties as are specifically set forth in the applicable indenture. Upon an event of default under an indenture, the debenture trustee under such indenture must use the same degree of care as a prudent person would exercise or use in the conduct of his or her own affairs. Subject to this provision, the debenture trustee is under no obligation to exercise any of the powers given it by the indentures at the request of any holder of debt securities unless it is offered reasonable security and indemnity against the costs, expenses and liabilities that it might incur.</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Paying Agents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spacing w:after="0" w:line="1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will pay principal of and any premium and interest on the debt securities of a particular series at the office of the paying agents designated by us, except that unless we otherwise indicate in the applicable prospectus supplement, we will make interest payments by check which we will mail to the holder. Unless we otherwise indicate in a prospectus supplement, we will designate the corporate trust office of the debenture trustee in the City of New York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All money we pay to a paying agent or the debenture trustee for the payment of the principal of or any premium or interest on any debt securities which remains unclaimed at the end of two years after such principal, premium or interest has become due and payable will be repaid to us, and the holder of the security thereafter may look only to us for payment thereof.</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indentures and the debt securities will be governed by and construed in accordance with the laws of the State of New York, except to the extent that the Trust Indenture Act is applicable.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Subordination of Subordinated Debt Securities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obligations pursuant to any subordinated debt securities will be unsecured and will be subordinate and junior in priority of payment to certain of our other indebtedness to the extent described in a prospectus supplement. The subordinated indenture does not limit the amount of senior indebtedness we may incur. It also does not limit us from issuing any other secured or unsecured debt.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DESCRIPTION OF RIGHTS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may issue rights to our stockholders to purchase shares of our common stock, preferred stock or the other securities described in this prospectus. We may offer rights separately or together with one or more additional rights, debt securities, preferred stock, common stock or warrants, or any combination of those securities in the form of units, as described in the applicable prospectus supplement. Each series of rights will be issued under a separate rights agreement to be entered into between us and a bank or trust company, as rights agent. The rights agent will act solely as our agent in connection with the certificates relating to the rights of the series of certificates and will not assume any obligation or relationship of agency or trust for or with any holders of rights certificates or beneficial owners of rights. The following description sets forth certain general terms and provisions of the rights to which any prospectus supplement may relate. The particular terms of the rights to which any prospectus supplement may relate and the extent, if any, to which the general provisions may apply to the rights so offered will be described in the applicable prospectus supplement. To the extent that any particular terms of the rights, rights agreement or rights certificates described in a prospectus supplement differ from any of the terms described below, then the terms described below will be deemed to have been superseded by that prospectus supplement. We encourage you to read the applicable rights agreement and rights certificate for additional information before you decide whether to purchase any of our rights.</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will provide in a prospectus supplement the following terms of the rights being issued:</w:t>
      </w:r>
    </w:p>
    <w:p>
      <w:pPr>
        <w:spacing w:after="0" w:line="225"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date of determining the stockholders entitled to the rights distribution;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aggregate number of shares of common stock, preferred stock or other securities purchasable upon exercise of the rights;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exercise price;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aggregate number of rights issued;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whether the rights are transferrable and the date, if any, on and after which the rights may be separately transferred;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date on which the right to exercise the rights will commence, and the date on which the right to exercise the rights will expire;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method by which holders of rights will be entitled to exercise;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conditions to the completion of the offering,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withdrawal, termination and cancellation rights,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whether there are any backstop or standby purchaser or purchasers and the terms of their commitment,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whether stockholders are entitled to oversubscription rights,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applicable material U.S. federal income tax considerations;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other terms of the rights, including terms, procedures and limitations relating to the distribution, exchange and exercise of the rights, as applicable.</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Each right will entitle the holder of rights to purchase for cash the principal amount of shares of common stock, preferred stock or other securities at the exercise price provided in the applicable prospectus supplement. Rights may be exercised at any time up to the close of business on the expiration date for the rights provided in the applicable prospectus supplement.</w:t>
      </w:r>
    </w:p>
    <w:p>
      <w:pPr>
        <w:spacing w:after="0" w:line="1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Holders may exercise rights as described in the applicable prospectus supplement. Upon receipt of payment and the rights certificate properly completed and duly executed at the corporate trust office of the rights agent or any other office indicated in the prospectus supplement, we will, as soon as practicable, forward the shares of common stock, preferred stock or other securities, as applicable, purchasable upon exercise of the rights. If less than all of the rights issued in any rights offering are exercised, we may offer any unsubscribed securities directly to persons other than stockholders, to or through agents, underwriters or dealers or through a combination of such methods, including pursuant to standby arrangements, as described in the applicable prospectus supplement.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Rights Agent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rights agent for any rights we offer will be set forth in the applicable prospectus supplement.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following description, together with the additional information that we include in any applicable prospectus supplements summarizes the material terms and provisions of the units that we may offer under this prospectus. While the terms we have summarized below will apply generally to any units that we may offer under this prospectus, we will describe the particular terms of any series of units in more detail in the applicable prospectus supplement. The terms of any units offered under a prospectus supplement may differ from the terms described below.</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will incorporate by reference from reports that we file with the SEC, the form of unit agreement that describes the terms of the series of units we are offering, and any supplemental agreements, before the issuance of the related series of units. The following summaries of material terms and provisions of the units are subject to, and qualified in their entirety by reference to, all the provisions of the unit agreement and any supplemental agreements applicable to a particular series of units. We urge you to read the applicable prospectus supplements related to the particular series of units that we may offer under this prospectus, as well as any related free writing prospectuses and the complete unit agreement and any supplemental agreements that contain the terms of the units.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may issue units consisting of common stock, preferred stock, one or more debt securities, warrants, rights for the purchase of common stock, preferred stock and/or debt securities in one or more series, in any combination. Each unit will be issued so that the holder of the unit is also the holder of each security included in the unit. Thus, the holder of a unit will have the rights and obligations of a holder of each security included in the unit. The unit agreement under which a unit is issued may provide that the securities included in the unit may not be held or transferred separately, at any time or at any time before a specified date.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will describe in the applicable prospectus supplement the terms of the series of units being offered, including:</w:t>
      </w:r>
    </w:p>
    <w:p>
      <w:pPr>
        <w:spacing w:after="0" w:line="225" w:lineRule="exact"/>
        <w:rPr>
          <w:sz w:val="20"/>
          <w:szCs w:val="20"/>
          <w:color w:val="auto"/>
        </w:rPr>
      </w:pPr>
    </w:p>
    <w:p>
      <w:pPr>
        <w:ind w:left="66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designation and terms of the units and of the securities comprising the units, including whether and under what circumstances those securities may be held or transferred separately;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provisions of the governing unit agreement that differ from those described below;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provisions for the issuance, payment, settlement, transfer or exchange of the units or of the securities comprising the units.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provisions described in this section, as well as those set forth in any prospectus supplement or as described under “Description of Common Stock,” “Description of Preferred Stock,” “Description of Debt Securities,” “Description of Warrants” and “Description of Rights” will apply to each unit, as applicable, and to any common stock, preferred stock, debt security, warrant or right included in each unit, as applicable.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 Agent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name and address of the unit agent for any units we offer will be set forth in the applicable prospectus supplement.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in Series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may issue units in such amounts and in such numerous distinct series as we determine.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Enforceability of Rights by Holders of Units</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Each unit agent will act solely as our agent under the applicable unit agreement and will not assume any obligation or relationship of agency or trust with any holder of any unit. A single bank or trust company may act as unit agent for more than one series of units. A unit agent will have no duty or responsibility in case of any default by us under the applicable unit agreement or unit, including any duty or responsibility to initiate any proceedings at law or otherwise, or to make any demand upon us. Any holder of a unit may, without the consent of the related unit agent or the holder of any other unit, enforce by appropriate legal action its rights as holder under any security included in the unit.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CERTAIN PROVISIONS OF DELAWARE LAW AND OF THE COMPANY’S CERTIFICATE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AND BYLAWS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Anti-Takeover Provisions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Delaware Law</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231F20"/>
        </w:rPr>
        <w:t>We are subject to the anti-takeover provisions of Section 203 of the Delaware General Corporation Law, or DGCL. Section 203 prohibits a publicly-held Delaware corporation from engaging in a “business combination” with an “interested stockholder” for a period of three years after the date of the transaction in which the person became an interested stockholder, unless the business combination is, or the transaction in which the person became an interested stockholder was, approved in a prescribed manner or another prescribed exception applies. For purposes of Section 203, a “business combination” is defined broadly to include a merger, asset sale or other transaction resulting in a financial benefit to the interested stockholder, and, subject to certain exceptions, an “interested stockholder” is a person who, together with his or her affiliates and associates, owns, or within three years prior, did own, 15% or more of the corporation’s voting stock.</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Staggered Board</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Our restated certificate of incorporation and restated by-laws provide for the Board of Directors to be divided into three classes serving staggered terms. At each annual meeting of stockholders, directors elected to succeed those directors whose terms expire are elected for a three-year term of office. All directors elected to our classified Board of Directors will serve until the election and qualification of their respective successors or their earlier resignation or removal. The Board of Directors is authorized to create new directorships and to fill such positions so created and is permitted to specify the class to which any such new position is assigned. The person filling such position would serve for the term applicable to that class. The Board of Directors (or its remaining members, even if less than a quorum) is also empowered to fill vacancies on the Board of Directors occurring for any reason for the remainder of the term of the class of directors in which the vacancy occurred. Members of the Board of Directors may only be removed for cause and only by the affirmative vote of 80% of the outstanding voting stock. These provisions are likely to increase the time required for stockholders to change the composition of the Board of Directors. For example, in general, at least two annual meetings will be necessary for stockholders to effect a change in a majority of the members of the Board of Directors. The provision for a classified board could prevent a party who acquires control of a majority of our outstanding common stock from obtaining control of our Board of Directors until our second annual stockholders meeting following the date the acquirer obtains the controlling stock interest. The classified board provision could have the effect of discouraging a potential acquirer from making a tender offer or otherwise attempting to obtain control of us and could increase the likelihood that incumbent directors will retain their positions.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 notice provisions for stockholder proposals</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Our restated by-laws establish an advance notice procedure for stockholder nominations of candidates for election to our Board of Directors, as well as procedures for including proposed nominations at special meetings at which directors are to be elected. Stockholders at our annual meeting may only consider proposals or nominations specified in the notice of meeting or brought before the meeting by or at the direction of our board or by a stockholder who was a stockholder of record on the record date for the meeting, who is entitled to vote at the meeting and who has given to our secretary timely written notice, in proper form, of the stockholder’s intention to bring that business before the meeting, and who has complied with the procedures and requirements set forth in the by-laws. Although the by-laws do not give the Board of Directors the power to approve or disapprove stockholder nominations of candidates or proposals regarding other business to be conducted at a special or annual meeting, these by-laws may have the effect of precluding the conduct of some business at a meeting if the proper procedures are not followed or may discourage or defer a potential acquirer from conducting a solicitation of proxies to elect its own slate of directors or otherwise attempting to obtain control of Microbot.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i w:val="1"/>
          <w:iCs w:val="1"/>
          <w:color w:val="auto"/>
        </w:rPr>
        <w:t>Special meetings of stockholders</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Special meetings of the stockholders may be called only by the Board of Directors, president or secretary upon the application of a majority of the directors. Stockholders are not permitted to call a special meeting or to require our Board of Directors to call a special meeting.</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stockholder action by written consent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restated certificate of incorporation and restated by-laws do not permit our stockholders to act by written consent. As a result, any action to be effected by our stockholders must be effected at a duly called annual or special meeting of the stockholders.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Super-majority stockholder vote required for certain actions.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DGCL provides generally that the affirmative vote of a majority of the shares entitled to vote on any matter is required to amend a corporation’s certificate of incorporation or by-laws, unless the corporation’s certificate of incorporation or by-laws, as the case may be, requires a greater percentage. Our restated certificate of incorporation requires the affirmative vote of the holders of at least 80% of our outstanding voting stock to amend or repeal certain provisions of our restated certificate of incorporation. This 80% stockholder vote would be in addition to any separate class vote that might in the future be required pursuant to the terms of any preferred stock that might then be outstanding. In addition, an 80% vote is also required for any amendment to, or repeal of, our restated by-laws by the stockholders. Our restated by-laws may be amended or repealed by a vote of a majority of the total number of authorized directors.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Limitation of Liability and Indemnification</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Our restated certificate of incorporation and our amended and restated bylaws provide that each person who was or is made a party or is threatened to be made a party to or is otherwise involved (including, without limitation, as a witness) in any action, suit or proceeding, whether civil, criminal, administrative or investigative, by reason of the fact that he or she is or was one of our directors or officers or is or was serving at our request as a director, officer, or trustee of another corporation, or of a partnership, joint venture, trust or other enterprise, including service with respect to an employee benefit plan, whether the basis of such proceeding is alleged action in an official capacity as a director, officer or trustee or in any other capacity while serving as a director, officer or trustee, shall be indemnified and held harmless by us to the fullest extent authorized by the DGCL against all expense, liability and loss (including attorneys’ fees, judgments, fines, ERISA excise taxes or penalties and amounts paid in settlement) reasonably incurred or suffered by such.</w:t>
      </w:r>
    </w:p>
    <w:p>
      <w:pPr>
        <w:spacing w:after="0" w:line="16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Section 145 of the DGCL permits a corporation to indemnify any director or officer of the corporation against expenses (including attorneys’ fees), judgments, fines and amounts paid in settlement actually and reasonably incurred in connection with any action, suit or proceeding brought by reason of the fact that such person is or was a director or officer of the corporation, if such person acted in good faith and in a manner that he or she reasonably believed to be in, or not opposed to, the best interests of the corporation, and, with respect to any criminal action or proceeding, if he or she had no reasonable cause to believe his or her conduct was unlawful. In a derivative action (i.e., one brought by or on behalf of the corporation), indemnification may be provided only for expenses actually and reasonably incurred by any director or officer in connection with the defense or settlement of such an action or suit if such person acted in good faith and in a manner that he or she reasonably believed to be in, or not opposed to, the best interests of the corporation, except that no indemnification shall be provided if such person shall have been adjudged to be liable to the corporation, unless and only to the extent that the Delaware Chancery Court or the court in which the action or suit was brought shall determine that such person is fairly and reasonably entitled to indemnity for such expenses despite such adjudication of liability.</w:t>
      </w:r>
    </w:p>
    <w:p>
      <w:pPr>
        <w:spacing w:after="0" w:line="18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Pursuant to Section 102(b)(7) of the DGCL, Article Ninth of our restated certificate of incorporation eliminates the liability of a director to us or our stockholders for monetary damages for such a breach of fiduciary duty as a director, except for liabilities arising:</w:t>
      </w:r>
    </w:p>
    <w:p>
      <w:pPr>
        <w:spacing w:after="0" w:line="170" w:lineRule="exact"/>
        <w:rPr>
          <w:sz w:val="20"/>
          <w:szCs w:val="20"/>
          <w:color w:val="auto"/>
        </w:rPr>
      </w:pPr>
    </w:p>
    <w:p>
      <w:pPr>
        <w:ind w:left="5540" w:right="4920" w:hanging="4884"/>
        <w:spacing w:after="0" w:line="623" w:lineRule="auto"/>
        <w:tabs>
          <w:tab w:leader="none" w:pos="986" w:val="left"/>
        </w:tabs>
        <w:numPr>
          <w:ilvl w:val="0"/>
          <w:numId w:val="29"/>
        </w:numPr>
        <w:rPr>
          <w:rFonts w:ascii="Arial" w:cs="Arial" w:eastAsia="Arial" w:hAnsi="Arial"/>
          <w:sz w:val="16"/>
          <w:szCs w:val="16"/>
          <w:color w:val="auto"/>
        </w:rPr>
      </w:pPr>
      <w:r>
        <w:rPr>
          <w:rFonts w:ascii="Arial" w:cs="Arial" w:eastAsia="Arial" w:hAnsi="Arial"/>
          <w:sz w:val="16"/>
          <w:szCs w:val="16"/>
          <w:color w:val="auto"/>
        </w:rPr>
        <w:t>from any breach of the director’s duty of loyalty to us or our stockholders;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-185420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6" w:name="page47"/>
    <w:bookmarkEnd w:id="46"/>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from acts or omissions not in good faith or which involve intentional misconduct or a knowing violation of law;</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under Section 174 of the DGCL;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from any transaction from which the director derived an improper personal benefit.</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231F20"/>
        </w:rPr>
        <w:t>We have entered into indemnification agreements with our directors and certain officers, in addition to the indemnification provided in our restated certificate of incorporation and our amended and restated bylaws, and intend to enter into indemnification agreements with any new directors and executive officers in the future. We have purchased and intend to maintain insurance on behalf of any person who is or was a director or officer against any loss arising from any claim asserted against him or her and incurred by him or her in any such capacity, subject to certain exclusions.</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231F20"/>
        </w:rPr>
        <w:t>The foregoing discussion of our restated certificate of incorporation, amended and restated bylaws, indemnification agreements, indemnity agreement, and Delaware law is not intended to be exhaustive and is qualified in its entirety by such restated certificate of incorporation, amended and restated bylaws, indemnification agreements, indemnity agreement, or law.</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validity of the shares being offered under this prospectus by us will be passed upon for us by Mintz, Levin, Cohn, Ferris, Glovsky and Popeo, P.C., Boston, Massachusetts.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consolidated financial statements of Microbot Medical Inc. appearing it its Annual Report on Form 10-K for the year ended December 31, 2019, have been audited by Brightman Almagor Zohar &amp; Co., a firm in the Deloitte Global Network, independent registered public accounting firm, as set forth in their report thereon, including therein, and incorporated herein by reference. Such consolidated financial statements are incorporated herein by reference in reliance upon such report given on the authority of such firm as experts in accounting and auditing.</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are subject to the reporting requirements of the Exchange Act and file annual, quarterly and current reports, proxy statements and other information with the SEC. SEC filings are available at the SEC’s website at http://www.sec.gov.</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prospectus is only part of a registration statement on Form S-3 that we have filed with the SEC under the Securities Act and therefore omits certain information contained in the registration statement. We have also filed exhibits and schedules with the registration statement that are excluded from this prospectus, and you should refer to the applicable exhibit or schedule for a complete description of any statement referring to any contract or other document.</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registration statement and the documents referred to below under “Incorporation of Certain Information by Reference” are also available on our website at http://www.microbotmedical.com. We have not incorporated by reference into this prospectus the information on our website, and you should not consider it to be a part of this prospectus.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OF DOCUMENTS BY REFERENCE</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SEC allows us to “incorporate by reference” information that we file with them. Incorporation by reference allows us to disclose important information to you by referring you to those other documents. The information incorporated by reference is an important part of this prospectus, and information that we file later with the SEC will automatically update and supersede this information. We filed a registration statement on Form S-3 under the Securities Act with the SEC with respect to the securities we may offer pursuant to this prospectus. This prospectus omits certain information contained in the registration statement, as permitted by the SEC. You should refer to the registration statement, including the exhibits, for further information about us and the securities we may offer pursuant to this prospectus. Statements in this prospectus regarding the provisions of certain documents filed with, or incorporated by reference in, the registration statement are not necessarily complete and each statement is qualified in all respects by that reference. Copies of all or any part of the registration statement, including the documents incorporated by reference or the exhibits, are available at the SEC’s website at http://www.sec.gov. The documents we are incorporating by reference are: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7" w:name="page48"/>
    <w:bookmarkEnd w:id="47"/>
    <w:p>
      <w:pPr>
        <w:ind w:left="980" w:hanging="324"/>
        <w:spacing w:after="0" w:line="277"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69">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for the year ended December 31, 2019 filed with the SEC on April 14, 2020 and Amendment No. 1 to our Annual Report on </w:t>
      </w:r>
      <w:hyperlink r:id="rId70">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2019 filed on April 29, 2020;</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our Quarterly Reports on Form 10-Q for the quarters ended </w:t>
      </w:r>
      <w:hyperlink r:id="rId71">
        <w:r>
          <w:rPr>
            <w:rFonts w:ascii="Arial" w:cs="Arial" w:eastAsia="Arial" w:hAnsi="Arial"/>
            <w:sz w:val="18"/>
            <w:szCs w:val="18"/>
            <w:u w:val="single" w:color="auto"/>
            <w:color w:val="0000EE"/>
          </w:rPr>
          <w:t xml:space="preserve">March 31, 2020, </w:t>
        </w:r>
      </w:hyperlink>
      <w:hyperlink r:id="rId72">
        <w:r>
          <w:rPr>
            <w:rFonts w:ascii="Arial" w:cs="Arial" w:eastAsia="Arial" w:hAnsi="Arial"/>
            <w:sz w:val="18"/>
            <w:szCs w:val="18"/>
            <w:u w:val="single" w:color="auto"/>
            <w:color w:val="auto"/>
          </w:rPr>
          <w:t xml:space="preserve">June </w:t>
        </w:r>
        <w:r>
          <w:rPr>
            <w:rFonts w:ascii="Arial" w:cs="Arial" w:eastAsia="Arial" w:hAnsi="Arial"/>
            <w:sz w:val="18"/>
            <w:szCs w:val="18"/>
            <w:u w:val="single" w:color="auto"/>
            <w:color w:val="0000EE"/>
          </w:rPr>
          <w:t>30, 2020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73">
        <w:r>
          <w:rPr>
            <w:rFonts w:ascii="Arial" w:cs="Arial" w:eastAsia="Arial" w:hAnsi="Arial"/>
            <w:sz w:val="18"/>
            <w:szCs w:val="18"/>
            <w:u w:val="single" w:color="auto"/>
            <w:color w:val="0000EE"/>
          </w:rPr>
          <w:t>September 30, 2020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that we filed with the SEC on May 15, 2020, August 14, 2020 and November 16, 2020.</w:t>
      </w:r>
    </w:p>
    <w:p>
      <w:pPr>
        <w:spacing w:after="0" w:line="170"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31"/>
        </w:numPr>
        <w:rPr>
          <w:rFonts w:ascii="Arial" w:cs="Arial" w:eastAsia="Arial" w:hAnsi="Arial"/>
          <w:sz w:val="18"/>
          <w:szCs w:val="18"/>
          <w:u w:val="single" w:color="auto"/>
          <w:color w:val="0000EE"/>
        </w:rPr>
      </w:pPr>
      <w:r>
        <w:rPr>
          <w:rFonts w:ascii="Arial" w:cs="Arial" w:eastAsia="Arial" w:hAnsi="Arial"/>
          <w:sz w:val="18"/>
          <w:szCs w:val="18"/>
          <w:color w:val="auto"/>
        </w:rPr>
        <w:t xml:space="preserve">our Current Reports on Form 8-K, filed with the SEC (except for the information furnished under Items 2.02 or 7.01 and the exhibits furnished thereto) on: </w:t>
      </w:r>
      <w:hyperlink r:id="rId74">
        <w:r>
          <w:rPr>
            <w:rFonts w:ascii="Arial" w:cs="Arial" w:eastAsia="Arial" w:hAnsi="Arial"/>
            <w:sz w:val="18"/>
            <w:szCs w:val="18"/>
            <w:u w:val="single" w:color="auto"/>
            <w:color w:val="0000EE"/>
          </w:rPr>
          <w:t xml:space="preserve">February 25, 2020, </w:t>
        </w:r>
      </w:hyperlink>
      <w:hyperlink r:id="rId75">
        <w:r>
          <w:rPr>
            <w:rFonts w:ascii="Arial" w:cs="Arial" w:eastAsia="Arial" w:hAnsi="Arial"/>
            <w:sz w:val="18"/>
            <w:szCs w:val="18"/>
            <w:u w:val="single" w:color="auto"/>
            <w:color w:val="auto"/>
          </w:rPr>
          <w:t xml:space="preserve">February </w:t>
        </w:r>
        <w:r>
          <w:rPr>
            <w:rFonts w:ascii="Arial" w:cs="Arial" w:eastAsia="Arial" w:hAnsi="Arial"/>
            <w:sz w:val="18"/>
            <w:szCs w:val="18"/>
            <w:u w:val="single" w:color="auto"/>
            <w:color w:val="0000EE"/>
          </w:rPr>
          <w:t xml:space="preserve">28, 2020, </w:t>
        </w:r>
      </w:hyperlink>
      <w:hyperlink r:id="rId76">
        <w:r>
          <w:rPr>
            <w:rFonts w:ascii="Arial" w:cs="Arial" w:eastAsia="Arial" w:hAnsi="Arial"/>
            <w:sz w:val="18"/>
            <w:szCs w:val="18"/>
            <w:u w:val="single" w:color="auto"/>
            <w:color w:val="auto"/>
          </w:rPr>
          <w:t xml:space="preserve">March </w:t>
        </w:r>
        <w:r>
          <w:rPr>
            <w:rFonts w:ascii="Arial" w:cs="Arial" w:eastAsia="Arial" w:hAnsi="Arial"/>
            <w:sz w:val="18"/>
            <w:szCs w:val="18"/>
            <w:u w:val="single" w:color="auto"/>
            <w:color w:val="0000EE"/>
          </w:rPr>
          <w:t xml:space="preserve">3, 2020, </w:t>
        </w:r>
      </w:hyperlink>
      <w:hyperlink r:id="rId77">
        <w:r>
          <w:rPr>
            <w:rFonts w:ascii="Arial" w:cs="Arial" w:eastAsia="Arial" w:hAnsi="Arial"/>
            <w:sz w:val="18"/>
            <w:szCs w:val="18"/>
            <w:u w:val="single" w:color="auto"/>
            <w:color w:val="auto"/>
          </w:rPr>
          <w:t xml:space="preserve">April </w:t>
        </w:r>
        <w:r>
          <w:rPr>
            <w:rFonts w:ascii="Arial" w:cs="Arial" w:eastAsia="Arial" w:hAnsi="Arial"/>
            <w:sz w:val="18"/>
            <w:szCs w:val="18"/>
            <w:u w:val="single" w:color="auto"/>
            <w:color w:val="0000EE"/>
          </w:rPr>
          <w:t xml:space="preserve">1, 2020, </w:t>
        </w:r>
      </w:hyperlink>
      <w:hyperlink r:id="rId78">
        <w:r>
          <w:rPr>
            <w:rFonts w:ascii="Arial" w:cs="Arial" w:eastAsia="Arial" w:hAnsi="Arial"/>
            <w:sz w:val="18"/>
            <w:szCs w:val="18"/>
            <w:u w:val="single" w:color="auto"/>
            <w:color w:val="auto"/>
          </w:rPr>
          <w:t xml:space="preserve">May </w:t>
        </w:r>
        <w:r>
          <w:rPr>
            <w:rFonts w:ascii="Arial" w:cs="Arial" w:eastAsia="Arial" w:hAnsi="Arial"/>
            <w:sz w:val="18"/>
            <w:szCs w:val="18"/>
            <w:u w:val="single" w:color="auto"/>
            <w:color w:val="0000EE"/>
          </w:rPr>
          <w:t xml:space="preserve">7, 2020, </w:t>
        </w:r>
      </w:hyperlink>
      <w:hyperlink r:id="rId79">
        <w:r>
          <w:rPr>
            <w:rFonts w:ascii="Arial" w:cs="Arial" w:eastAsia="Arial" w:hAnsi="Arial"/>
            <w:sz w:val="18"/>
            <w:szCs w:val="18"/>
            <w:u w:val="single" w:color="auto"/>
            <w:color w:val="auto"/>
          </w:rPr>
          <w:t xml:space="preserve">June </w:t>
        </w:r>
        <w:r>
          <w:rPr>
            <w:rFonts w:ascii="Arial" w:cs="Arial" w:eastAsia="Arial" w:hAnsi="Arial"/>
            <w:sz w:val="18"/>
            <w:szCs w:val="18"/>
            <w:u w:val="single" w:color="auto"/>
            <w:color w:val="0000EE"/>
          </w:rPr>
          <w:t xml:space="preserve">19, 2020, </w:t>
        </w:r>
      </w:hyperlink>
      <w:hyperlink r:id="rId80">
        <w:r>
          <w:rPr>
            <w:rFonts w:ascii="Arial" w:cs="Arial" w:eastAsia="Arial" w:hAnsi="Arial"/>
            <w:sz w:val="18"/>
            <w:szCs w:val="18"/>
            <w:u w:val="single" w:color="auto"/>
            <w:color w:val="auto"/>
          </w:rPr>
          <w:t xml:space="preserve">August </w:t>
        </w:r>
        <w:r>
          <w:rPr>
            <w:rFonts w:ascii="Arial" w:cs="Arial" w:eastAsia="Arial" w:hAnsi="Arial"/>
            <w:sz w:val="18"/>
            <w:szCs w:val="18"/>
            <w:u w:val="single" w:color="auto"/>
            <w:color w:val="0000EE"/>
          </w:rPr>
          <w:t>3, 2020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81">
        <w:r>
          <w:rPr>
            <w:rFonts w:ascii="Arial" w:cs="Arial" w:eastAsia="Arial" w:hAnsi="Arial"/>
            <w:sz w:val="18"/>
            <w:szCs w:val="18"/>
            <w:u w:val="single" w:color="auto"/>
            <w:color w:val="0000EE"/>
          </w:rPr>
          <w:t>September 4, 2020;</w:t>
        </w:r>
      </w:hyperlink>
    </w:p>
    <w:p>
      <w:pPr>
        <w:spacing w:after="0" w:line="183" w:lineRule="exact"/>
        <w:rPr>
          <w:rFonts w:ascii="Arial" w:cs="Arial" w:eastAsia="Arial" w:hAnsi="Arial"/>
          <w:sz w:val="18"/>
          <w:szCs w:val="18"/>
          <w:u w:val="single" w:color="auto"/>
          <w:color w:val="0000EE"/>
        </w:rPr>
      </w:pPr>
    </w:p>
    <w:p>
      <w:pPr>
        <w:ind w:left="980" w:hanging="324"/>
        <w:spacing w:after="0" w:line="277"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description of our common stock contained in our registration statement on Form 8-A filed August 3, 1998, under the Exchange Act, including any amendment or report filed for the purpose of updating such description;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all reports and other documents subsequently filed by us pursuant to Sections 13(a), 13(c), 14 and 15(d) of the Exchange Act after the date of this prospectus and prior to the termination of this offering.</w:t>
      </w:r>
    </w:p>
    <w:p>
      <w:pPr>
        <w:spacing w:after="0" w:line="170" w:lineRule="exact"/>
        <w:rPr>
          <w:rFonts w:ascii="Arial" w:cs="Arial" w:eastAsia="Arial" w:hAnsi="Arial"/>
          <w:sz w:val="18"/>
          <w:szCs w:val="18"/>
          <w:color w:val="auto"/>
        </w:rPr>
      </w:pPr>
    </w:p>
    <w:p>
      <w:pPr>
        <w:ind w:left="660"/>
        <w:spacing w:after="0"/>
        <w:rPr>
          <w:sz w:val="20"/>
          <w:szCs w:val="20"/>
          <w:color w:val="auto"/>
        </w:rPr>
      </w:pPr>
      <w:r>
        <w:rPr>
          <w:rFonts w:ascii="Arial" w:cs="Arial" w:eastAsia="Arial" w:hAnsi="Arial"/>
          <w:sz w:val="18"/>
          <w:szCs w:val="18"/>
          <w:color w:val="auto"/>
        </w:rPr>
        <w:t>The SEC file number for each of the documents listed above is 000-19871</w:t>
      </w:r>
    </w:p>
    <w:p>
      <w:pPr>
        <w:spacing w:after="0" w:line="225" w:lineRule="exact"/>
        <w:rPr>
          <w:rFonts w:ascii="Arial" w:cs="Arial" w:eastAsia="Arial" w:hAnsi="Arial"/>
          <w:sz w:val="18"/>
          <w:szCs w:val="18"/>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addition, all reports and other documents filed by us pursuant to the Exchange Act after the date of the initial registration statement and prior to effectiveness of the registration statement shall be deemed to be incorporated by reference into this prospectus.</w:t>
      </w:r>
    </w:p>
    <w:p>
      <w:pPr>
        <w:spacing w:after="0" w:line="170" w:lineRule="exact"/>
        <w:rPr>
          <w:rFonts w:ascii="Arial" w:cs="Arial" w:eastAsia="Arial" w:hAnsi="Arial"/>
          <w:sz w:val="18"/>
          <w:szCs w:val="18"/>
          <w:color w:val="auto"/>
        </w:rPr>
      </w:pPr>
    </w:p>
    <w:p>
      <w:pPr>
        <w:jc w:val="both"/>
        <w:ind w:firstLine="648"/>
        <w:spacing w:after="0" w:line="279" w:lineRule="auto"/>
        <w:rPr>
          <w:sz w:val="20"/>
          <w:szCs w:val="20"/>
          <w:color w:val="auto"/>
        </w:rPr>
      </w:pPr>
      <w:r>
        <w:rPr>
          <w:rFonts w:ascii="Arial" w:cs="Arial" w:eastAsia="Arial" w:hAnsi="Arial"/>
          <w:sz w:val="17"/>
          <w:szCs w:val="17"/>
          <w:color w:val="auto"/>
        </w:rPr>
        <w:t>Any statement contained in this prospectus or in a document incorporated or deemed to be incorporated by reference into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spacing w:after="0" w:line="171" w:lineRule="exact"/>
        <w:rPr>
          <w:rFonts w:ascii="Arial" w:cs="Arial" w:eastAsia="Arial" w:hAnsi="Arial"/>
          <w:sz w:val="18"/>
          <w:szCs w:val="18"/>
          <w:color w:val="auto"/>
        </w:rPr>
      </w:pPr>
    </w:p>
    <w:p>
      <w:pPr>
        <w:jc w:val="both"/>
        <w:ind w:firstLine="648"/>
        <w:spacing w:after="0" w:line="279" w:lineRule="auto"/>
        <w:rPr>
          <w:sz w:val="20"/>
          <w:szCs w:val="20"/>
          <w:color w:val="auto"/>
        </w:rPr>
      </w:pPr>
      <w:r>
        <w:rPr>
          <w:rFonts w:ascii="Arial" w:cs="Arial" w:eastAsia="Arial" w:hAnsi="Arial"/>
          <w:sz w:val="17"/>
          <w:szCs w:val="17"/>
          <w:color w:val="auto"/>
        </w:rPr>
        <w:t>We will provide, upon written or oral request, without charge to each person, including any beneficial owner, to whom a copy of this prospectus is delivered, a copy of any or all of the information incorporated herein by reference (exclusive of exhibits to such documents unless such exhibits are specifically incorporated by reference herein). You may request a copy of any or all of these filings, at no cost, by writing or telephoning us at: Microbot Medical Inc., 25 Recreation Park Drive, Unit 108, Hingham, MA 02043; Attention: Harel Gadot; telephone number (908) 938-5561.</w:t>
      </w:r>
    </w:p>
    <w:p>
      <w:pPr>
        <w:spacing w:after="0" w:line="171" w:lineRule="exact"/>
        <w:rPr>
          <w:rFonts w:ascii="Arial" w:cs="Arial" w:eastAsia="Arial" w:hAnsi="Arial"/>
          <w:sz w:val="18"/>
          <w:szCs w:val="18"/>
          <w:color w:val="auto"/>
        </w:rPr>
      </w:pPr>
    </w:p>
    <w:p>
      <w:pPr>
        <w:jc w:val="both"/>
        <w:ind w:firstLine="648"/>
        <w:spacing w:after="0" w:line="279" w:lineRule="auto"/>
        <w:rPr>
          <w:sz w:val="20"/>
          <w:szCs w:val="20"/>
          <w:color w:val="auto"/>
        </w:rPr>
      </w:pPr>
      <w:r>
        <w:rPr>
          <w:rFonts w:ascii="Arial" w:cs="Arial" w:eastAsia="Arial" w:hAnsi="Arial"/>
          <w:sz w:val="17"/>
          <w:szCs w:val="17"/>
          <w:color w:val="auto"/>
        </w:rPr>
        <w:t>You should rely only on information contained in, or incorporated by reference into, this prospectus and any prospectus supplement. We have not authorized anyone to provide you with information different from that contained in this prospectus or incorporated by reference in this prospectus. We are not making offers to sell the securities in any jurisdiction in which such an offer or solicitation is not authorized or in which the person making such offer or solicitation is not qualified to do so or to anyone to whom it is unlawful to make such offer or solicitation.</w:t>
      </w:r>
    </w:p>
    <w:p>
      <w:pPr>
        <w:spacing w:after="0" w:line="171"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8" w:name="page49"/>
    <w:bookmarkEnd w:id="48"/>
    <w:p>
      <w:pPr>
        <w:jc w:val="center"/>
        <w:ind w:right="19"/>
        <w:spacing w:after="0"/>
        <w:rPr>
          <w:sz w:val="20"/>
          <w:szCs w:val="20"/>
          <w:color w:val="auto"/>
        </w:rPr>
      </w:pPr>
      <w:r>
        <w:rPr>
          <w:rFonts w:ascii="Arial" w:cs="Arial" w:eastAsia="Arial" w:hAnsi="Arial"/>
          <w:sz w:val="18"/>
          <w:szCs w:val="18"/>
          <w:b w:val="1"/>
          <w:bCs w:val="1"/>
          <w:color w:val="auto"/>
        </w:rPr>
        <w:t>701,756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1574165</wp:posOffset>
            </wp:positionH>
            <wp:positionV relativeFrom="paragraph">
              <wp:posOffset>154305</wp:posOffset>
            </wp:positionV>
            <wp:extent cx="2571750" cy="9429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3">
                      <a:extLst>
                        <a:ext uri="{28A0092B-C50C-407E-A947-70E740481C1C}"/>
                      </a:extLst>
                    </a:blip>
                    <a:srcRect/>
                    <a:stretch>
                      <a:fillRect/>
                    </a:stretch>
                  </pic:blipFill>
                  <pic:spPr bwMode="auto">
                    <a:xfrm>
                      <a:off x="0" y="0"/>
                      <a:ext cx="2571750" cy="942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PROSPECTUS SUPPLEMENT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27"/>
          <w:szCs w:val="27"/>
          <w:b w:val="1"/>
          <w:bCs w:val="1"/>
          <w:color w:val="auto"/>
        </w:rPr>
        <w:t>H.C. Wainwright &amp; Co.</w:t>
      </w: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291465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9019"/>
      </w:cols>
      <w:pgMar w:left="1440" w:top="66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1)"/>
      <w:numFmt w:val="decimal"/>
      <w:start w:val="2"/>
    </w:lvl>
  </w:abstractNum>
  <w:abstractNum w:abstractNumId="1">
    <w:nsid w:val="4E6AFB66"/>
    <w:multiLevelType w:val="hybridMultilevel"/>
    <w:lvl w:ilvl="0">
      <w:lvlJc w:val="left"/>
      <w:lvlText w:val="(%1)"/>
      <w:numFmt w:val="decimal"/>
      <w:start w:val="1"/>
    </w:lvl>
  </w:abstractNum>
  <w:abstractNum w:abstractNumId="2">
    <w:nsid w:val="25E45D32"/>
    <w:multiLevelType w:val="hybridMultilevel"/>
    <w:lvl w:ilvl="0">
      <w:lvlJc w:val="left"/>
      <w:lvlText w:val="●"/>
      <w:numFmt w:val="bullet"/>
      <w:start w:val="1"/>
    </w:lvl>
    <w:lvl w:ilvl="1">
      <w:lvlJc w:val="left"/>
      <w:lvlText w:val="○"/>
      <w:numFmt w:val="bullet"/>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
      <w:numFmt w:val="bullet"/>
      <w:start w:val="1"/>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
      <w:numFmt w:val="bullet"/>
      <w:start w:val="1"/>
    </w:lvl>
  </w:abstractNum>
  <w:abstractNum w:abstractNumId="18">
    <w:nsid w:val="79838CB2"/>
    <w:multiLevelType w:val="hybridMultilevel"/>
    <w:lvl w:ilvl="0">
      <w:lvlJc w:val="left"/>
      <w:lvlText w:val="●"/>
      <w:numFmt w:val="bullet"/>
      <w:start w:val="1"/>
    </w:lvl>
  </w:abstractNum>
  <w:abstractNum w:abstractNumId="19">
    <w:nsid w:val="4353D0CD"/>
    <w:multiLevelType w:val="hybridMultilevel"/>
    <w:lvl w:ilvl="0">
      <w:lvlJc w:val="left"/>
      <w:lvlText w:val="●"/>
      <w:numFmt w:val="bullet"/>
      <w:start w:val="1"/>
    </w:lvl>
  </w:abstractNum>
  <w:abstractNum w:abstractNumId="20">
    <w:nsid w:val="B03E0C6"/>
    <w:multiLevelType w:val="hybridMultilevel"/>
    <w:lvl w:ilvl="0">
      <w:lvlJc w:val="left"/>
      <w:lvlText w:val="●"/>
      <w:numFmt w:val="bullet"/>
      <w:start w:val="1"/>
    </w:lvl>
  </w:abstractNum>
  <w:abstractNum w:abstractNumId="21">
    <w:nsid w:val="189A769B"/>
    <w:multiLevelType w:val="hybridMultilevel"/>
    <w:lvl w:ilvl="0">
      <w:lvlJc w:val="left"/>
      <w:lvlText w:val="●"/>
      <w:numFmt w:val="bullet"/>
      <w:start w:val="1"/>
    </w:lvl>
  </w:abstractNum>
  <w:abstractNum w:abstractNumId="22">
    <w:nsid w:val="54E49EB4"/>
    <w:multiLevelType w:val="hybridMultilevel"/>
    <w:lvl w:ilvl="0">
      <w:lvlJc w:val="left"/>
      <w:lvlText w:val="●"/>
      <w:numFmt w:val="bullet"/>
      <w:start w:val="1"/>
    </w:lvl>
  </w:abstractNum>
  <w:abstractNum w:abstractNumId="23">
    <w:nsid w:val="71F32454"/>
    <w:multiLevelType w:val="hybridMultilevel"/>
    <w:lvl w:ilvl="0">
      <w:lvlJc w:val="left"/>
      <w:lvlText w:val="●"/>
      <w:numFmt w:val="bullet"/>
      <w:start w:val="1"/>
    </w:lvl>
  </w:abstractNum>
  <w:abstractNum w:abstractNumId="24">
    <w:nsid w:val="2CA88611"/>
    <w:multiLevelType w:val="hybridMultilevel"/>
    <w:lvl w:ilvl="0">
      <w:lvlJc w:val="left"/>
      <w:lvlText w:val="●"/>
      <w:numFmt w:val="bullet"/>
      <w:start w:val="1"/>
    </w:lvl>
  </w:abstractNum>
  <w:abstractNum w:abstractNumId="25">
    <w:nsid w:val="836C40E"/>
    <w:multiLevelType w:val="hybridMultilevel"/>
    <w:lvl w:ilvl="0">
      <w:lvlJc w:val="left"/>
      <w:lvlText w:val="●"/>
      <w:numFmt w:val="bullet"/>
      <w:start w:val="1"/>
    </w:lvl>
  </w:abstractNum>
  <w:abstractNum w:abstractNumId="26">
    <w:nsid w:val="2901D82"/>
    <w:multiLevelType w:val="hybridMultilevel"/>
    <w:lvl w:ilvl="0">
      <w:lvlJc w:val="left"/>
      <w:lvlText w:val="●"/>
      <w:numFmt w:val="bullet"/>
      <w:start w:val="1"/>
    </w:lvl>
  </w:abstractNum>
  <w:abstractNum w:abstractNumId="27">
    <w:nsid w:val="3A95F874"/>
    <w:multiLevelType w:val="hybridMultilevel"/>
    <w:lvl w:ilvl="0">
      <w:lvlJc w:val="left"/>
      <w:lvlText w:val="●"/>
      <w:numFmt w:val="bullet"/>
      <w:start w:val="1"/>
    </w:lvl>
  </w:abstractNum>
  <w:abstractNum w:abstractNumId="28">
    <w:nsid w:val="8138641"/>
    <w:multiLevelType w:val="hybridMultilevel"/>
    <w:lvl w:ilvl="0">
      <w:lvlJc w:val="left"/>
      <w:lvlText w:val="●"/>
      <w:numFmt w:val="bullet"/>
      <w:start w:val="1"/>
    </w:lvl>
  </w:abstractNum>
  <w:abstractNum w:abstractNumId="29">
    <w:nsid w:val="1E7FF521"/>
    <w:multiLevelType w:val="hybridMultilevel"/>
    <w:lvl w:ilvl="0">
      <w:lvlJc w:val="left"/>
      <w:lvlText w:val="●"/>
      <w:numFmt w:val="bullet"/>
      <w:start w:val="1"/>
    </w:lvl>
  </w:abstractNum>
  <w:abstractNum w:abstractNumId="30">
    <w:nsid w:val="7C3DBD3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42" Type="http://schemas.openxmlformats.org/officeDocument/2006/relationships/image" Target="media/image25.png"/><Relationship Id="rId43" Type="http://schemas.openxmlformats.org/officeDocument/2006/relationships/image" Target="media/image26.jpeg"/><Relationship Id="rId44" Type="http://schemas.openxmlformats.org/officeDocument/2006/relationships/image" Target="media/image27.png"/><Relationship Id="rId45" Type="http://schemas.openxmlformats.org/officeDocument/2006/relationships/image" Target="media/image28.png"/><Relationship Id="rId46" Type="http://schemas.openxmlformats.org/officeDocument/2006/relationships/image" Target="media/image29.png"/><Relationship Id="rId47" Type="http://schemas.openxmlformats.org/officeDocument/2006/relationships/image" Target="media/image30.png"/><Relationship Id="rId48" Type="http://schemas.openxmlformats.org/officeDocument/2006/relationships/image" Target="media/image31.png"/><Relationship Id="rId49" Type="http://schemas.openxmlformats.org/officeDocument/2006/relationships/image" Target="media/image32.png"/><Relationship Id="rId50" Type="http://schemas.openxmlformats.org/officeDocument/2006/relationships/image" Target="media/image33.png"/><Relationship Id="rId51" Type="http://schemas.openxmlformats.org/officeDocument/2006/relationships/image" Target="media/image34.png"/><Relationship Id="rId52" Type="http://schemas.openxmlformats.org/officeDocument/2006/relationships/image" Target="media/image35.png"/><Relationship Id="rId53" Type="http://schemas.openxmlformats.org/officeDocument/2006/relationships/image" Target="media/image36.png"/><Relationship Id="rId54" Type="http://schemas.openxmlformats.org/officeDocument/2006/relationships/image" Target="media/image37.png"/><Relationship Id="rId55" Type="http://schemas.openxmlformats.org/officeDocument/2006/relationships/image" Target="media/image38.png"/><Relationship Id="rId56" Type="http://schemas.openxmlformats.org/officeDocument/2006/relationships/image" Target="media/image39.png"/><Relationship Id="rId57" Type="http://schemas.openxmlformats.org/officeDocument/2006/relationships/image" Target="media/image40.png"/><Relationship Id="rId58" Type="http://schemas.openxmlformats.org/officeDocument/2006/relationships/image" Target="media/image41.png"/><Relationship Id="rId59" Type="http://schemas.openxmlformats.org/officeDocument/2006/relationships/image" Target="media/image42.png"/><Relationship Id="rId60" Type="http://schemas.openxmlformats.org/officeDocument/2006/relationships/image" Target="media/image43.png"/><Relationship Id="rId61" Type="http://schemas.openxmlformats.org/officeDocument/2006/relationships/image" Target="media/image44.png"/><Relationship Id="rId62" Type="http://schemas.openxmlformats.org/officeDocument/2006/relationships/image" Target="media/image45.png"/><Relationship Id="rId63" Type="http://schemas.openxmlformats.org/officeDocument/2006/relationships/image" Target="media/image46.png"/><Relationship Id="rId64" Type="http://schemas.openxmlformats.org/officeDocument/2006/relationships/image" Target="media/image47.png"/><Relationship Id="rId65" Type="http://schemas.openxmlformats.org/officeDocument/2006/relationships/image" Target="media/image48.png"/><Relationship Id="rId66" Type="http://schemas.openxmlformats.org/officeDocument/2006/relationships/image" Target="media/image49.png"/><Relationship Id="rId67" Type="http://schemas.openxmlformats.org/officeDocument/2006/relationships/image" Target="media/image50.png"/><Relationship Id="rId68" Type="http://schemas.openxmlformats.org/officeDocument/2006/relationships/image" Target="media/image51.png"/><Relationship Id="rId82" Type="http://schemas.openxmlformats.org/officeDocument/2006/relationships/image" Target="media/image52.png"/><Relationship Id="rId83" Type="http://schemas.openxmlformats.org/officeDocument/2006/relationships/image" Target="media/image53.jpeg"/><Relationship Id="rId84" Type="http://schemas.openxmlformats.org/officeDocument/2006/relationships/image" Target="media/image54.png"/><Relationship Id="rId32" Type="http://schemas.openxmlformats.org/officeDocument/2006/relationships/hyperlink" Target="https://www.sec.gov/Archives/edgar/data/883975/000149315223010223/form10-k.htm" TargetMode="External"/><Relationship Id="rId33" Type="http://schemas.openxmlformats.org/officeDocument/2006/relationships/hyperlink" Target="https://www.sec.gov/Archives/edgar/data/883975/000149315223017966/form10-q.htm" TargetMode="External"/><Relationship Id="rId34" Type="http://schemas.openxmlformats.org/officeDocument/2006/relationships/hyperlink" Target="https://www.sec.gov/Archives/edgar/data/883975/000149315223002202/form8-k.htm" TargetMode="External"/><Relationship Id="rId35" Type="http://schemas.openxmlformats.org/officeDocument/2006/relationships/hyperlink" Target="https://www.sec.gov/Archives/edgar/data/883975/000149315223018050/form8-k.htm" TargetMode="External"/><Relationship Id="rId36" Type="http://schemas.openxmlformats.org/officeDocument/2006/relationships/hyperlink" Target="https://www.sec.gov/Archives/edgar/data/883975/000149315223018456/form8-k.htm" TargetMode="External"/><Relationship Id="rId37" Type="http://schemas.openxmlformats.org/officeDocument/2006/relationships/hyperlink" Target="https://www.sec.gov/Archives/edgar/data/883975/000149315223018718/form8-k.htm" TargetMode="External"/><Relationship Id="rId38" Type="http://schemas.openxmlformats.org/officeDocument/2006/relationships/hyperlink" Target="https://www.sec.gov/Archives/edgar/data/883975/000149315223018932/form8-k.htm" TargetMode="External"/><Relationship Id="rId39" Type="http://schemas.openxmlformats.org/officeDocument/2006/relationships/hyperlink" Target="https://www.sec.gov/Archives/edgar/data/883975/000149315223019000/form8-k.htm" TargetMode="External"/><Relationship Id="rId40" Type="http://schemas.openxmlformats.org/officeDocument/2006/relationships/hyperlink" Target="https://www.sec.gov/Archives/edgar/data/883975/000149315223019537/form8-k.htm" TargetMode="External"/><Relationship Id="rId41" Type="http://schemas.openxmlformats.org/officeDocument/2006/relationships/hyperlink" Target="https://www.sec.gov/Archives/edgar/data/883975/000149315223019871/form8-k.htm" TargetMode="External"/><Relationship Id="rId69" Type="http://schemas.openxmlformats.org/officeDocument/2006/relationships/hyperlink" Target="https://www.sec.gov/Archives/edgar/data/883975/000149315220006338/form10-k.htm" TargetMode="External"/><Relationship Id="rId70" Type="http://schemas.openxmlformats.org/officeDocument/2006/relationships/hyperlink" Target="https://www.sec.gov/Archives/edgar/data/883975/000149315220007340/form10k-a.htm" TargetMode="External"/><Relationship Id="rId71" Type="http://schemas.openxmlformats.org/officeDocument/2006/relationships/hyperlink" Target="https://www.sec.gov/Archives/edgar/data/883975/000149315220009113/form10-q.htm" TargetMode="External"/><Relationship Id="rId72" Type="http://schemas.openxmlformats.org/officeDocument/2006/relationships/hyperlink" Target="https://www.sec.gov/Archives/edgar/data/883975/000149315220015744/form10-q.htm" TargetMode="External"/><Relationship Id="rId73" Type="http://schemas.openxmlformats.org/officeDocument/2006/relationships/hyperlink" Target="https://www.sec.gov/Archives/edgar/data/883975/000149315220021648/form10-q.htm" TargetMode="External"/><Relationship Id="rId74" Type="http://schemas.openxmlformats.org/officeDocument/2006/relationships/hyperlink" Target="https://www.sec.gov/Archives/edgar/data/883975/000149315220002943/form8-k.htm" TargetMode="External"/><Relationship Id="rId75" Type="http://schemas.openxmlformats.org/officeDocument/2006/relationships/hyperlink" Target="https://www.sec.gov/Archives/edgar/data/883975/000149315220003150/form8-k.htm" TargetMode="External"/><Relationship Id="rId76" Type="http://schemas.openxmlformats.org/officeDocument/2006/relationships/hyperlink" Target="https://www.sec.gov/Archives/edgar/data/883975/000149315220003248/form8k.htm" TargetMode="External"/><Relationship Id="rId77" Type="http://schemas.openxmlformats.org/officeDocument/2006/relationships/hyperlink" Target="https://www.sec.gov/Archives/edgar/data/883975/000149315220005551/form8-k.htm" TargetMode="External"/><Relationship Id="rId78" Type="http://schemas.openxmlformats.org/officeDocument/2006/relationships/hyperlink" Target="https://www.sec.gov/Archives/edgar/data/883975/000149315220007944/form8-k.htm" TargetMode="External"/><Relationship Id="rId79" Type="http://schemas.openxmlformats.org/officeDocument/2006/relationships/hyperlink" Target="https://www.sec.gov/Archives/edgar/data/883975/000149315220011512/form8-k.htm" TargetMode="External"/><Relationship Id="rId80" Type="http://schemas.openxmlformats.org/officeDocument/2006/relationships/hyperlink" Target="https://www.sec.gov/Archives/edgar/data/883975/000149315220014441/form8-k.htm" TargetMode="External"/><Relationship Id="rId81" Type="http://schemas.openxmlformats.org/officeDocument/2006/relationships/hyperlink" Target="https://www.sec.gov/Archives/edgar/data/883975/000149315220017270/form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2023-06-05T16:24:48Z</dcterms:created>
  <dcterms:modified xsi:type="dcterms:W3CDTF">2023-06-05T16:24:48Z</dcterms:modified>
</cp:coreProperties>
</file>