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9"/>
              </w:rPr>
              <w:t>Washington, D.C. 20549</w:t>
            </w: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40" w:type="dxa"/>
            <w:vAlign w:val="bottom"/>
            <w:gridSpan w:val="2"/>
            <w:vMerge w:val="restart"/>
          </w:tcPr>
          <w:p>
            <w:pPr>
              <w:jc w:val="center"/>
              <w:ind w:right="632"/>
              <w:spacing w:after="0"/>
              <w:rPr>
                <w:sz w:val="20"/>
                <w:szCs w:val="20"/>
                <w:color w:val="auto"/>
              </w:rPr>
            </w:pPr>
            <w:r>
              <w:rPr>
                <w:rFonts w:ascii="Arial" w:cs="Arial" w:eastAsia="Arial" w:hAnsi="Arial"/>
                <w:sz w:val="22"/>
                <w:szCs w:val="22"/>
                <w:color w:val="auto"/>
                <w:w w:val="94"/>
              </w:rPr>
              <w:t>FORM D</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4"/>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6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7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0000883975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gridSpan w:val="3"/>
            <w:vMerge w:val="restart"/>
          </w:tcPr>
          <w:p>
            <w:pPr>
              <w:ind w:left="500"/>
              <w:spacing w:after="0"/>
              <w:rPr>
                <w:sz w:val="20"/>
                <w:szCs w:val="20"/>
                <w:color w:val="auto"/>
              </w:rPr>
            </w:pPr>
            <w:r>
              <w:rPr>
                <w:rFonts w:ascii="Arial" w:cs="Arial" w:eastAsia="Arial" w:hAnsi="Arial"/>
                <w:sz w:val="22"/>
                <w:szCs w:val="22"/>
                <w:color w:val="auto"/>
              </w:rPr>
              <w:t>STEMCELLS INC</w:t>
            </w:r>
          </w:p>
        </w:tc>
        <w:tc>
          <w:tcPr>
            <w:tcW w:w="7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gridSpan w:val="3"/>
          </w:tcPr>
          <w:p>
            <w:pPr>
              <w:ind w:left="500"/>
              <w:spacing w:after="0"/>
              <w:rPr>
                <w:sz w:val="20"/>
                <w:szCs w:val="20"/>
                <w:color w:val="auto"/>
              </w:rPr>
            </w:pPr>
            <w:r>
              <w:rPr>
                <w:rFonts w:ascii="Arial" w:cs="Arial" w:eastAsia="Arial" w:hAnsi="Arial"/>
                <w:sz w:val="22"/>
                <w:szCs w:val="22"/>
                <w:color w:val="auto"/>
                <w:w w:val="94"/>
              </w:rPr>
              <w:t>CYTOTHERAPEUTICS INC/DE</w:t>
            </w: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4160" w:type="dxa"/>
            <w:vAlign w:val="bottom"/>
            <w:gridSpan w:val="4"/>
          </w:tcPr>
          <w:p>
            <w:pPr>
              <w:ind w:left="500"/>
              <w:spacing w:after="0"/>
              <w:rPr>
                <w:sz w:val="20"/>
                <w:szCs w:val="20"/>
                <w:color w:val="auto"/>
              </w:rPr>
            </w:pPr>
            <w:r>
              <w:rPr>
                <w:rFonts w:ascii="Arial" w:cs="Arial" w:eastAsia="Arial" w:hAnsi="Arial"/>
                <w:sz w:val="22"/>
                <w:szCs w:val="22"/>
                <w:color w:val="auto"/>
              </w:rPr>
              <w:t>CELLULAR TRANSPLANTS, INC.</w:t>
            </w: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ind w:left="54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680" w:type="dxa"/>
            <w:vAlign w:val="bottom"/>
          </w:tcPr>
          <w:p>
            <w:pPr>
              <w:ind w:left="20"/>
              <w:spacing w:after="0"/>
              <w:rPr>
                <w:sz w:val="20"/>
                <w:szCs w:val="20"/>
                <w:color w:val="auto"/>
              </w:rPr>
            </w:pPr>
            <w:r>
              <w:rPr>
                <w:rFonts w:ascii="Arial" w:cs="Arial" w:eastAsia="Arial" w:hAnsi="Arial"/>
                <w:sz w:val="22"/>
                <w:szCs w:val="22"/>
                <w:color w:val="auto"/>
              </w:rPr>
              <w:t>02043</w:t>
            </w:r>
          </w:p>
        </w:tc>
        <w:tc>
          <w:tcPr>
            <w:tcW w:w="7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781-875-3605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Gadot</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Harel</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ind w:left="20"/>
              <w:spacing w:after="0"/>
              <w:rPr>
                <w:sz w:val="20"/>
                <w:szCs w:val="20"/>
                <w:color w:val="auto"/>
              </w:rPr>
            </w:pPr>
            <w:r>
              <w:rPr>
                <w:rFonts w:ascii="Arial" w:cs="Arial" w:eastAsia="Arial" w:hAnsi="Arial"/>
                <w:sz w:val="22"/>
                <w:szCs w:val="22"/>
                <w:color w:val="auto"/>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gridSpan w:val="2"/>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Ben Naim</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22"/>
                <w:szCs w:val="22"/>
                <w:color w:val="auto"/>
              </w:rPr>
              <w:t>Ben</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ind w:left="20"/>
              <w:spacing w:after="0"/>
              <w:rPr>
                <w:sz w:val="20"/>
                <w:szCs w:val="20"/>
                <w:color w:val="auto"/>
              </w:rPr>
            </w:pPr>
            <w:r>
              <w:rPr>
                <w:rFonts w:ascii="Arial" w:cs="Arial" w:eastAsia="Arial" w:hAnsi="Arial"/>
                <w:sz w:val="22"/>
                <w:szCs w:val="22"/>
                <w:color w:val="auto"/>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321" w:right="239" w:bottom="0" w:gutter="0" w:footer="0" w:header="0"/>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Waizer</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Yoav</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Bornstein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Yoseph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Laxminarain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Pratipatti</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Burell</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Madden</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91"/>
              </w:rPr>
              <w:t>Martin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8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80" w:type="dxa"/>
            <w:vAlign w:val="bottom"/>
          </w:tcPr>
          <w:p>
            <w:pPr>
              <w:spacing w:after="0"/>
              <w:rPr>
                <w:sz w:val="24"/>
                <w:szCs w:val="24"/>
                <w:color w:val="auto"/>
              </w:rPr>
            </w:pPr>
          </w:p>
        </w:tc>
        <w:tc>
          <w:tcPr>
            <w:tcW w:w="3120" w:type="dxa"/>
            <w:vAlign w:val="bottom"/>
            <w:gridSpan w:val="2"/>
          </w:tcPr>
          <w:p>
            <w:pPr>
              <w:ind w:left="66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8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20" w:type="dxa"/>
            <w:vAlign w:val="bottom"/>
            <w:gridSpan w:val="2"/>
          </w:tcPr>
          <w:p>
            <w:pPr>
              <w:ind w:left="70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-8414385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-8414385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-6544310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-6544310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-4674870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-4674870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-2805430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-2805430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-935990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-935990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bookmarkStart w:id="2" w:name="page3"/>
    <w:bookmarkEnd w:id="2"/>
    <w:p>
      <w:pPr>
        <w:ind w:left="460"/>
        <w:spacing w:after="0"/>
        <w:rPr>
          <w:sz w:val="20"/>
          <w:szCs w:val="20"/>
          <w:color w:val="auto"/>
        </w:rPr>
      </w:pPr>
      <w:r>
        <w:rPr>
          <w:rFonts w:ascii="Arial" w:cs="Arial" w:eastAsia="Arial" w:hAnsi="Arial"/>
          <w:sz w:val="22"/>
          <w:szCs w:val="22"/>
          <w:color w:val="auto"/>
        </w:rPr>
        <w:t>Commercial Banking</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7"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7"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2019-01-25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7"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7"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Equity</w:t>
            </w:r>
          </w:p>
        </w:tc>
        <w:tc>
          <w:tcPr>
            <w:tcW w:w="16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800" w:type="dxa"/>
            <w:vAlign w:val="bottom"/>
            <w:gridSpan w:val="6"/>
          </w:tcPr>
          <w:p>
            <w:pPr>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1600" w:type="dxa"/>
            <w:vAlign w:val="bottom"/>
          </w:tcPr>
          <w:p>
            <w:pPr>
              <w:ind w:left="8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2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0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6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60" w:type="dxa"/>
            <w:vAlign w:val="bottom"/>
            <w:gridSpan w:val="5"/>
            <w:vMerge w:val="continue"/>
          </w:tcPr>
          <w:p>
            <w:pPr>
              <w:spacing w:after="0"/>
              <w:rPr>
                <w:sz w:val="10"/>
                <w:szCs w:val="10"/>
                <w:color w:val="auto"/>
              </w:rPr>
            </w:pPr>
          </w:p>
        </w:tc>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340" w:type="dxa"/>
            <w:vAlign w:val="bottom"/>
            <w:gridSpan w:val="2"/>
          </w:tcPr>
          <w:p>
            <w:pPr>
              <w:ind w:left="114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60" w:type="dxa"/>
            <w:vAlign w:val="bottom"/>
            <w:gridSpan w:val="5"/>
          </w:tcPr>
          <w:p>
            <w:pPr>
              <w:spacing w:after="0"/>
              <w:rPr>
                <w:sz w:val="20"/>
                <w:szCs w:val="20"/>
                <w:color w:val="auto"/>
              </w:rPr>
            </w:pPr>
            <w:r>
              <w:rPr>
                <w:rFonts w:ascii="Arial" w:cs="Arial" w:eastAsia="Arial" w:hAnsi="Arial"/>
                <w:sz w:val="22"/>
                <w:szCs w:val="22"/>
                <w:color w:val="auto"/>
              </w:rPr>
              <w:t>H.C. Wainwright &amp; Co., LLC</w:t>
            </w:r>
          </w:p>
        </w:tc>
        <w:tc>
          <w:tcPr>
            <w:tcW w:w="1740" w:type="dxa"/>
            <w:vAlign w:val="bottom"/>
          </w:tcPr>
          <w:p>
            <w:pPr>
              <w:ind w:left="1100"/>
              <w:spacing w:after="0"/>
              <w:rPr>
                <w:sz w:val="20"/>
                <w:szCs w:val="20"/>
                <w:color w:val="auto"/>
              </w:rPr>
            </w:pPr>
            <w:r>
              <w:rPr>
                <w:rFonts w:ascii="Arial" w:cs="Arial" w:eastAsia="Arial" w:hAnsi="Arial"/>
                <w:sz w:val="22"/>
                <w:szCs w:val="22"/>
                <w:color w:val="auto"/>
              </w:rPr>
              <w:t>375</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7320" w:type="dxa"/>
            <w:vAlign w:val="bottom"/>
            <w:gridSpan w:val="4"/>
          </w:tcPr>
          <w:p>
            <w:pPr>
              <w:ind w:left="114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4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Arial" w:cs="Arial" w:eastAsia="Arial" w:hAnsi="Arial"/>
                <w:sz w:val="22"/>
                <w:szCs w:val="22"/>
                <w:color w:val="auto"/>
              </w:rPr>
              <w:t>None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1740" w:type="dxa"/>
            <w:vAlign w:val="bottom"/>
          </w:tcPr>
          <w:p>
            <w:pPr>
              <w:spacing w:after="0"/>
              <w:rPr>
                <w:sz w:val="24"/>
                <w:szCs w:val="24"/>
                <w:color w:val="auto"/>
              </w:rPr>
            </w:pPr>
          </w:p>
        </w:tc>
        <w:tc>
          <w:tcPr>
            <w:tcW w:w="5580" w:type="dxa"/>
            <w:vAlign w:val="bottom"/>
            <w:gridSpan w:val="3"/>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430 Park Avenue</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340" w:type="dxa"/>
            <w:vAlign w:val="bottom"/>
            <w:gridSpan w:val="2"/>
          </w:tcPr>
          <w:p>
            <w:pPr>
              <w:ind w:left="110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340" w:type="dxa"/>
            <w:vAlign w:val="bottom"/>
            <w:gridSpan w:val="2"/>
          </w:tcPr>
          <w:p>
            <w:pPr>
              <w:ind w:left="110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Arial" w:cs="Arial" w:eastAsia="Arial" w:hAnsi="Arial"/>
                <w:sz w:val="22"/>
                <w:szCs w:val="22"/>
                <w:color w:val="auto"/>
                <w:w w:val="94"/>
              </w:rPr>
              <w:t>State(s) of Solicitation (select all that apply)</w:t>
            </w:r>
          </w:p>
        </w:tc>
        <w:tc>
          <w:tcPr>
            <w:tcW w:w="3340" w:type="dxa"/>
            <w:vAlign w:val="bottom"/>
            <w:gridSpan w:val="2"/>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60" w:type="dxa"/>
            <w:vAlign w:val="bottom"/>
            <w:gridSpan w:val="5"/>
            <w:vMerge w:val="restart"/>
          </w:tcPr>
          <w:p>
            <w:pPr>
              <w:ind w:left="40"/>
              <w:spacing w:after="0"/>
              <w:rPr>
                <w:sz w:val="20"/>
                <w:szCs w:val="20"/>
                <w:color w:val="auto"/>
              </w:rPr>
            </w:pPr>
            <w:r>
              <w:rPr>
                <w:rFonts w:ascii="Arial" w:cs="Arial" w:eastAsia="Arial" w:hAnsi="Arial"/>
                <w:sz w:val="22"/>
                <w:szCs w:val="22"/>
                <w:color w:val="auto"/>
                <w:w w:val="92"/>
              </w:rPr>
              <w:t>Check “All States” or check individual States</w:t>
            </w:r>
          </w:p>
        </w:tc>
        <w:tc>
          <w:tcPr>
            <w:tcW w:w="33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60" w:type="dxa"/>
            <w:vAlign w:val="bottom"/>
            <w:gridSpan w:val="5"/>
            <w:vMerge w:val="continue"/>
          </w:tcPr>
          <w:p>
            <w:pPr>
              <w:spacing w:after="0"/>
              <w:rPr>
                <w:sz w:val="10"/>
                <w:szCs w:val="10"/>
                <w:color w:val="auto"/>
              </w:rPr>
            </w:pPr>
          </w:p>
        </w:tc>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9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2"/>
              </w:rPr>
              <w:t>NEW JERSEY</w:t>
            </w:r>
          </w:p>
        </w:tc>
        <w:tc>
          <w:tcPr>
            <w:tcW w:w="100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100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00" w:type="dxa"/>
            <w:vAlign w:val="bottom"/>
            <w:tcBorders>
              <w:bottom w:val="single" w:sz="8" w:color="9A9A9A"/>
            </w:tcBorders>
            <w:gridSpan w:val="6"/>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0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640" w:type="dxa"/>
            <w:vAlign w:val="bottom"/>
          </w:tcPr>
          <w:p>
            <w:pPr>
              <w:ind w:left="20"/>
              <w:spacing w:after="0"/>
              <w:rPr>
                <w:sz w:val="20"/>
                <w:szCs w:val="20"/>
                <w:color w:val="auto"/>
              </w:rPr>
            </w:pPr>
            <w:r>
              <w:rPr>
                <w:rFonts w:ascii="Arial" w:cs="Arial" w:eastAsia="Arial" w:hAnsi="Arial"/>
                <w:sz w:val="22"/>
                <w:szCs w:val="22"/>
                <w:color w:val="auto"/>
              </w:rPr>
              <w:t>$31,250 USD or</w:t>
            </w:r>
          </w:p>
        </w:tc>
        <w:tc>
          <w:tcPr>
            <w:tcW w:w="1740" w:type="dxa"/>
            <w:vAlign w:val="bottom"/>
          </w:tcPr>
          <w:p>
            <w:pPr>
              <w:ind w:left="80"/>
              <w:spacing w:after="0"/>
              <w:rPr>
                <w:sz w:val="20"/>
                <w:szCs w:val="20"/>
                <w:color w:val="auto"/>
              </w:rPr>
            </w:pPr>
            <w:r>
              <w:rPr>
                <w:rFonts w:ascii="Arial" w:cs="Arial" w:eastAsia="Arial" w:hAnsi="Arial"/>
                <w:sz w:val="22"/>
                <w:szCs w:val="22"/>
                <w:color w:val="auto"/>
              </w:rPr>
              <w:t>Indefinite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40" w:type="dxa"/>
            <w:vAlign w:val="bottom"/>
          </w:tcPr>
          <w:p>
            <w:pPr>
              <w:ind w:left="20"/>
              <w:spacing w:after="0"/>
              <w:rPr>
                <w:sz w:val="20"/>
                <w:szCs w:val="20"/>
                <w:color w:val="auto"/>
              </w:rPr>
            </w:pPr>
            <w:r>
              <w:rPr>
                <w:rFonts w:ascii="Arial" w:cs="Arial" w:eastAsia="Arial" w:hAnsi="Arial"/>
                <w:sz w:val="22"/>
                <w:szCs w:val="22"/>
                <w:color w:val="auto"/>
              </w:rPr>
              <w:t>$31,250 USD</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ind w:left="500"/>
              <w:spacing w:after="0"/>
              <w:rPr>
                <w:sz w:val="20"/>
                <w:szCs w:val="20"/>
                <w:color w:val="auto"/>
              </w:rPr>
            </w:pPr>
            <w:r>
              <w:rPr>
                <w:rFonts w:ascii="Arial" w:cs="Arial" w:eastAsia="Arial" w:hAnsi="Arial"/>
                <w:sz w:val="22"/>
                <w:szCs w:val="22"/>
                <w:color w:val="auto"/>
              </w:rPr>
              <w:t>$0 USD or</w:t>
            </w:r>
          </w:p>
        </w:tc>
        <w:tc>
          <w:tcPr>
            <w:tcW w:w="1740" w:type="dxa"/>
            <w:vAlign w:val="bottom"/>
          </w:tcPr>
          <w:p>
            <w:pPr>
              <w:ind w:left="80"/>
              <w:spacing w:after="0"/>
              <w:rPr>
                <w:sz w:val="20"/>
                <w:szCs w:val="20"/>
                <w:color w:val="auto"/>
              </w:rPr>
            </w:pPr>
            <w:r>
              <w:rPr>
                <w:rFonts w:ascii="Arial" w:cs="Arial" w:eastAsia="Arial" w:hAnsi="Arial"/>
                <w:sz w:val="22"/>
                <w:szCs w:val="22"/>
                <w:color w:val="auto"/>
              </w:rPr>
              <w:t>Indefinite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-1638935</wp:posOffset>
            </wp:positionV>
            <wp:extent cx="5969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-1638935</wp:posOffset>
            </wp:positionV>
            <wp:extent cx="5969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160" w:type="dxa"/>
            <w:vAlign w:val="bottom"/>
          </w:tcPr>
          <w:p>
            <w:pPr>
              <w:jc w:val="right"/>
              <w:spacing w:after="0"/>
              <w:rPr>
                <w:sz w:val="20"/>
                <w:szCs w:val="20"/>
                <w:color w:val="auto"/>
              </w:rPr>
            </w:pPr>
            <w:r>
              <w:rPr>
                <w:rFonts w:ascii="Arial" w:cs="Arial" w:eastAsia="Arial" w:hAnsi="Arial"/>
                <w:sz w:val="22"/>
                <w:szCs w:val="22"/>
                <w:color w:val="auto"/>
              </w:rPr>
              <w:t>$2,187</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16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118" w:right="239" w:bottom="101" w:gutter="0" w:footer="0" w:header="0"/>
        </w:sectPr>
      </w:pPr>
    </w:p>
    <w:bookmarkStart w:id="4" w:name="page5"/>
    <w:bookmarkEnd w:id="4"/>
    <w:p>
      <w:pPr>
        <w:ind w:right="360"/>
        <w:spacing w:after="0" w:line="329" w:lineRule="auto"/>
        <w:rPr>
          <w:sz w:val="20"/>
          <w:szCs w:val="20"/>
          <w:color w:val="auto"/>
        </w:rPr>
      </w:pPr>
      <w:r>
        <w:rPr>
          <w:rFonts w:ascii="Arial" w:cs="Arial" w:eastAsia="Arial" w:hAnsi="Arial"/>
          <w:sz w:val="19"/>
          <w:szCs w:val="19"/>
          <w:color w:val="auto"/>
        </w:rPr>
        <w:t>H.C. Wainwright &amp; Co., LLC received sales commissions in connection with the private placement of warrants. It also received cash and warrants to purchase 12,500 shares of common stock in connection with a registered direct offering by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100"/>
              <w:spacing w:after="0"/>
              <w:rPr>
                <w:sz w:val="20"/>
                <w:szCs w:val="20"/>
                <w:color w:val="auto"/>
              </w:rPr>
            </w:pPr>
            <w:r>
              <w:rPr>
                <w:rFonts w:ascii="Arial" w:cs="Arial" w:eastAsia="Arial" w:hAnsi="Arial"/>
                <w:sz w:val="22"/>
                <w:szCs w:val="22"/>
                <w:b w:val="1"/>
                <w:bCs w:val="1"/>
                <w:color w:val="auto"/>
                <w:w w:val="94"/>
              </w:rPr>
              <w:t>Name of Signer</w:t>
            </w:r>
          </w:p>
        </w:tc>
        <w:tc>
          <w:tcPr>
            <w:tcW w:w="40" w:type="dxa"/>
            <w:vAlign w:val="bottom"/>
          </w:tcPr>
          <w:p>
            <w:pPr>
              <w:spacing w:after="0"/>
              <w:rPr>
                <w:sz w:val="24"/>
                <w:szCs w:val="24"/>
                <w:color w:val="auto"/>
              </w:rPr>
            </w:pPr>
          </w:p>
        </w:tc>
        <w:tc>
          <w:tcPr>
            <w:tcW w:w="4620" w:type="dxa"/>
            <w:vAlign w:val="bottom"/>
            <w:tcBorders>
              <w:top w:val="single" w:sz="8" w:color="2C2C2C"/>
              <w:bottom w:val="single" w:sz="8" w:color="808080"/>
            </w:tcBorders>
          </w:tcPr>
          <w:p>
            <w:pPr>
              <w:ind w:left="21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18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Microbot Medical Inc.</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Harel Gadot</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Harel Gadot</w:t>
            </w:r>
          </w:p>
        </w:tc>
        <w:tc>
          <w:tcPr>
            <w:tcW w:w="40" w:type="dxa"/>
            <w:vAlign w:val="bottom"/>
          </w:tcPr>
          <w:p>
            <w:pPr>
              <w:spacing w:after="0"/>
              <w:rPr>
                <w:sz w:val="22"/>
                <w:szCs w:val="22"/>
                <w:color w:val="auto"/>
              </w:rPr>
            </w:pPr>
          </w:p>
        </w:tc>
        <w:tc>
          <w:tcPr>
            <w:tcW w:w="46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Chief Executive Officer &amp; Chairman</w:t>
            </w:r>
          </w:p>
        </w:tc>
        <w:tc>
          <w:tcPr>
            <w:tcW w:w="40" w:type="dxa"/>
            <w:vAlign w:val="bottom"/>
          </w:tcPr>
          <w:p>
            <w:pPr>
              <w:spacing w:after="0"/>
              <w:rPr>
                <w:sz w:val="22"/>
                <w:szCs w:val="22"/>
                <w:color w:val="auto"/>
              </w:rPr>
            </w:pPr>
          </w:p>
        </w:tc>
        <w:tc>
          <w:tcPr>
            <w:tcW w:w="118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88"/>
              </w:rPr>
              <w:t>2019-02-04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2019-12-05T00:23:50Z</dcterms:created>
  <dcterms:modified xsi:type="dcterms:W3CDTF">2019-12-05T00:23:50Z</dcterms:modified>
</cp:coreProperties>
</file>