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31,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94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Delaware</w:t>
            </w:r>
          </w:p>
        </w:tc>
        <w:tc>
          <w:tcPr>
            <w:tcW w:w="448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0"/>
              </w:rPr>
              <w:t>000-19871</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94-3078125</w:t>
            </w:r>
          </w:p>
        </w:tc>
      </w:tr>
      <w:tr>
        <w:trPr>
          <w:trHeight w:val="198"/>
        </w:trPr>
        <w:tc>
          <w:tcPr>
            <w:tcW w:w="2940" w:type="dxa"/>
            <w:vAlign w:val="bottom"/>
            <w:tcBorders>
              <w:top w:val="single" w:sz="8" w:color="auto"/>
            </w:tcBorders>
          </w:tcPr>
          <w:p>
            <w:pPr>
              <w:jc w:val="center"/>
              <w:ind w:left="570"/>
              <w:spacing w:after="0" w:line="198" w:lineRule="exact"/>
              <w:rPr>
                <w:sz w:val="20"/>
                <w:szCs w:val="20"/>
                <w:color w:val="auto"/>
              </w:rPr>
            </w:pPr>
            <w:r>
              <w:rPr>
                <w:rFonts w:ascii="Arial" w:cs="Arial" w:eastAsia="Arial" w:hAnsi="Arial"/>
                <w:sz w:val="18"/>
                <w:szCs w:val="18"/>
                <w:b w:val="1"/>
                <w:bCs w:val="1"/>
                <w:color w:val="auto"/>
                <w:w w:val="90"/>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(Commission</w:t>
            </w: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ind w:right="75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294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6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4"/>
              </w:rPr>
              <w:t>File Number)</w:t>
            </w: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2"/>
              </w:rPr>
              <w:t>25 Recreation Park Drive, Unit 108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9"/>
              </w:rPr>
              <w:t>Hingham, Massachusetts 02043</w:t>
            </w:r>
          </w:p>
        </w:tc>
        <w:tc>
          <w:tcPr>
            <w:tcW w:w="276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8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2760" w:type="dxa"/>
            <w:vAlign w:val="bottom"/>
          </w:tcPr>
          <w:p>
            <w:pPr>
              <w:spacing w:after="0"/>
              <w:rPr>
                <w:sz w:val="24"/>
                <w:szCs w:val="24"/>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(Former Name or Former Address, if Changed Since Last Report)</w:t>
            </w:r>
          </w:p>
        </w:tc>
        <w:tc>
          <w:tcPr>
            <w:tcW w:w="2760" w:type="dxa"/>
            <w:vAlign w:val="bottom"/>
          </w:tcPr>
          <w:p>
            <w:pPr>
              <w:spacing w:after="0"/>
              <w:rPr>
                <w:sz w:val="24"/>
                <w:szCs w:val="24"/>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0" w:type="dxa"/>
            <w:vAlign w:val="bottom"/>
          </w:tcPr>
          <w:p>
            <w:pPr>
              <w:spacing w:after="0"/>
              <w:rPr>
                <w:sz w:val="22"/>
                <w:szCs w:val="22"/>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20" w:type="dxa"/>
            <w:vAlign w:val="bottom"/>
          </w:tcPr>
          <w:p>
            <w:pPr>
              <w:spacing w:after="0"/>
              <w:rPr>
                <w:sz w:val="22"/>
                <w:szCs w:val="22"/>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May 31, 2023, Microbot Medical Inc. (the “Company”) issued a press release announcing that an additional milestone was achieved when medical</w:t>
      </w:r>
    </w:p>
    <w:p>
      <w:pPr>
        <w:spacing w:after="0" w:line="4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professionals experienced the Company’s LIBERTY</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Robotic Surgical System as part of a formative study. The study was designed to enable medical professionals, including physicians and Cath-lab technicians, to use and experience LIBERTY in a real-use simulated environment.</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31, 2023, the Company announced that an additional milestone was achieved when medical professionals experienced the Company’s LIBERTY Robotic Surgical System as part of a formative study. The study was designed to enable medical professionals, including physicians and Cath-lab technicians, to use and experience LIBERTY in a real-use simulated environment.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study included five teams, each consisting of an interventional radiologist and a Cath-Lab technician and simulated the expected clinical setup and use of the LIBERTY Robotic Surgical System. All participants were successfully trained on the system prior to their participation and the study validated that the LIBERTY Robotic Surgical System operation and setup are intuitive.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Analysis and data from the study exhibited high subjective grading both by the physicians and the technicians, with no comments made on the designed operative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b w:val="1"/>
                <w:bCs w:val="1"/>
                <w:i w:val="1"/>
                <w:iCs w:val="1"/>
                <w:color w:val="auto"/>
                <w:w w:val="97"/>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660" w:type="dxa"/>
            <w:vAlign w:val="bottom"/>
          </w:tcPr>
          <w:p>
            <w:pPr>
              <w:spacing w:after="0"/>
              <w:rPr>
                <w:sz w:val="20"/>
                <w:szCs w:val="20"/>
                <w:color w:val="auto"/>
              </w:rPr>
            </w:pP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66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60" w:type="dxa"/>
            <w:vAlign w:val="bottom"/>
            <w:shd w:val="clear" w:color="auto" w:fill="000000"/>
          </w:tcPr>
          <w:p>
            <w:pPr>
              <w:spacing w:after="0"/>
              <w:rPr>
                <w:sz w:val="2"/>
                <w:szCs w:val="2"/>
                <w:color w:val="auto"/>
              </w:rPr>
            </w:pPr>
          </w:p>
        </w:tc>
        <w:tc>
          <w:tcPr>
            <w:tcW w:w="7660" w:type="dxa"/>
            <w:vAlign w:val="bottom"/>
            <w:shd w:val="clear" w:color="auto" w:fill="000000"/>
          </w:tcPr>
          <w:p>
            <w:pPr>
              <w:spacing w:after="0"/>
              <w:rPr>
                <w:sz w:val="2"/>
                <w:szCs w:val="2"/>
                <w:color w:val="auto"/>
              </w:rPr>
            </w:pPr>
          </w:p>
        </w:tc>
      </w:tr>
      <w:tr>
        <w:trPr>
          <w:trHeight w:val="391"/>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2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7"/>
              </w:rPr>
              <w:t>Press Release dated May 31, 2023</w:t>
            </w:r>
          </w:p>
        </w:tc>
        <w:tc>
          <w:tcPr>
            <w:tcW w:w="7660" w:type="dxa"/>
            <w:vAlign w:val="bottom"/>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66"/>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168910</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LIBERTY Robotic Surgical System Achieved Additional Milestone in its Path to First in Human and Regulatory Process</w:t>
      </w:r>
    </w:p>
    <w:p>
      <w:pPr>
        <w:spacing w:after="0" w:line="229" w:lineRule="exact"/>
        <w:rPr>
          <w:sz w:val="20"/>
          <w:szCs w:val="20"/>
          <w:color w:val="auto"/>
        </w:rPr>
      </w:pPr>
    </w:p>
    <w:p>
      <w:pPr>
        <w:jc w:val="center"/>
        <w:ind w:left="340" w:right="160"/>
        <w:spacing w:after="0" w:line="277" w:lineRule="auto"/>
        <w:rPr>
          <w:sz w:val="20"/>
          <w:szCs w:val="20"/>
          <w:color w:val="auto"/>
        </w:rPr>
      </w:pPr>
      <w:r>
        <w:rPr>
          <w:rFonts w:ascii="Arial" w:cs="Arial" w:eastAsia="Arial" w:hAnsi="Arial"/>
          <w:sz w:val="18"/>
          <w:szCs w:val="18"/>
          <w:i w:val="1"/>
          <w:iCs w:val="1"/>
          <w:color w:val="auto"/>
        </w:rPr>
        <w:t>The data collected from the usage and experience of the medical professionals in the formative study will be used to support the Company’s anticipated milestones</w:t>
      </w:r>
    </w:p>
    <w:p>
      <w:pPr>
        <w:spacing w:after="0" w:line="16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b w:val="1"/>
          <w:bCs w:val="1"/>
          <w:color w:val="auto"/>
        </w:rPr>
        <w:t xml:space="preserve">HINGHAM, Mass., May 31, 2023 </w:t>
      </w:r>
      <w:r>
        <w:rPr>
          <w:rFonts w:ascii="Arial" w:cs="Arial" w:eastAsia="Arial" w:hAnsi="Arial"/>
          <w:sz w:val="18"/>
          <w:szCs w:val="18"/>
          <w:color w:val="auto"/>
        </w:rPr>
        <w:t>– Microbot Medical Inc. (Nasdaq: MBOT), the developer of the LIBERTY</w:t>
      </w:r>
      <w:r>
        <w:rPr>
          <w:rFonts w:ascii="Arial" w:cs="Arial" w:eastAsia="Arial" w:hAnsi="Arial"/>
          <w:sz w:val="29"/>
          <w:szCs w:val="29"/>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Robotic Surgical System, the first single-use endovascular surgical robotic system, announces that an additional milestone was achieved when medical professionals experienced the Company’s LIBERTY Robotic Surgical System as part of a formative study. The study was designed to enable medical professionals, including physicians and Cath-lab technicians, to use and experience LIBERTY in a real-use simulated environment.</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study was performed and managed by experts from a company specializing in conducting Human Factors and Usability Engineering tests of medical devices.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study included five teams, each consisting of an interventional radiologist and a Cath-Lab technician and simulated the expected clinical setup and use</w:t>
      </w:r>
    </w:p>
    <w:p>
      <w:pPr>
        <w:spacing w:after="0" w:line="46"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of the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Surgical System. All participants were successfully trained on the system prior to their participation and the study validated that the LIBERTY Robotic Surgical System operation and setup are intuitive.</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Analysis and data from the study exhibited high subjective grading both by the physicians and the technicians, with no comments made on the designed operative flow.</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“Educating and establishing close relationships with our target audience, enables the Company to gain valuable feedback and increase awareness to our unique system. In parallel to our regulatory and pre-clinical efforts, we invest in receiving endorsements from leading experts and institutes which we believe will allow us to leverage our path to the clinical stages and later on to the market,” commented Eyal Morag, Chief Medical Officer.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2814320</wp:posOffset>
            </wp:positionH>
            <wp:positionV relativeFrom="page">
              <wp:posOffset>448945</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LIBERTY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Robotic Surgical System aims to improve the way surgical robotics are being used in endovascular procedures today, by eliminating the need for large, cumbersome, and expensive capital equipment, while reducing radiation exposure and physician strain. The Company believes the</w:t>
      </w:r>
    </w:p>
    <w:p>
      <w:pPr>
        <w:spacing w:after="0"/>
        <w:rPr>
          <w:sz w:val="20"/>
          <w:szCs w:val="20"/>
          <w:color w:val="auto"/>
        </w:rPr>
      </w:pPr>
      <w:r>
        <w:rPr>
          <w:rFonts w:ascii="Arial" w:cs="Arial" w:eastAsia="Arial" w:hAnsi="Arial"/>
          <w:sz w:val="16"/>
          <w:szCs w:val="16"/>
          <w:color w:val="auto"/>
        </w:rPr>
        <w:t>LIBERTY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Robotic Surgical System’s remote operation has the potential to be the first system to democratize endovascular interventional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Microbot Medical is available at </w:t>
      </w:r>
      <w:r>
        <w:rPr>
          <w:rFonts w:ascii="Arial" w:cs="Arial" w:eastAsia="Arial" w:hAnsi="Arial"/>
          <w:sz w:val="18"/>
          <w:szCs w:val="18"/>
          <w:u w:val="single" w:color="auto"/>
          <w:color w:val="auto"/>
        </w:rPr>
        <w:t>http://www.microbotmedical.com.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w:t>
      </w:r>
    </w:p>
    <w:p>
      <w:pPr>
        <w:spacing w:after="0" w:line="217" w:lineRule="auto"/>
        <w:rPr>
          <w:sz w:val="20"/>
          <w:szCs w:val="20"/>
          <w:color w:val="auto"/>
        </w:rPr>
      </w:pPr>
      <w:r>
        <w:rPr>
          <w:rFonts w:ascii="Arial" w:cs="Arial" w:eastAsia="Arial" w:hAnsi="Arial"/>
          <w:sz w:val="16"/>
          <w:szCs w:val="16"/>
          <w:color w:val="auto"/>
        </w:rPr>
        <w:t>including, without limitation, market conditions, risks inherent in the development and/or commercialization of LIBERTY</w:t>
      </w:r>
      <w:r>
        <w:rPr>
          <w:rFonts w:ascii="Arial" w:cs="Arial" w:eastAsia="Arial" w:hAnsi="Arial"/>
          <w:sz w:val="26"/>
          <w:szCs w:val="26"/>
          <w:color w:val="auto"/>
          <w:vertAlign w:val="superscript"/>
        </w:rPr>
        <w:t>®</w:t>
      </w:r>
      <w:r>
        <w:rPr>
          <w:rFonts w:ascii="Arial" w:cs="Arial" w:eastAsia="Arial" w:hAnsi="Arial"/>
          <w:sz w:val="16"/>
          <w:szCs w:val="16"/>
          <w:color w:val="auto"/>
        </w:rPr>
        <w:t>, the outcome of its studies to</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evaluate LIBERTY</w:t>
      </w:r>
      <w:r>
        <w:rPr>
          <w:rFonts w:ascii="Arial" w:cs="Arial" w:eastAsia="Arial" w:hAnsi="Arial"/>
          <w:sz w:val="28"/>
          <w:szCs w:val="28"/>
          <w:color w:val="auto"/>
          <w:vertAlign w:val="superscript"/>
        </w:rPr>
        <w:t>®</w:t>
      </w:r>
      <w:r>
        <w:rPr>
          <w:rFonts w:ascii="Arial" w:cs="Arial" w:eastAsia="Arial" w:hAnsi="Arial"/>
          <w:sz w:val="17"/>
          <w:szCs w:val="17"/>
          <w:color w:val="auto"/>
        </w:rPr>
        <w:t>, whether the Company’s core business focus program and cost reduction plan are sufficient to enable the Company to continue to focus on its LIBERTY technology while it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2023-05-31T07:32:23Z</dcterms:created>
  <dcterms:modified xsi:type="dcterms:W3CDTF">2023-05-31T07:32:23Z</dcterms:modified>
</cp:coreProperties>
</file>