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25,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Delaware</w:t>
            </w:r>
          </w:p>
        </w:tc>
        <w:tc>
          <w:tcPr>
            <w:tcW w:w="448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000-19871</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2940" w:type="dxa"/>
            <w:vAlign w:val="bottom"/>
            <w:tcBorders>
              <w:top w:val="single" w:sz="8" w:color="auto"/>
            </w:tcBorders>
          </w:tcPr>
          <w:p>
            <w:pPr>
              <w:jc w:val="center"/>
              <w:ind w:left="570"/>
              <w:spacing w:after="0" w:line="198" w:lineRule="exact"/>
              <w:rPr>
                <w:sz w:val="20"/>
                <w:szCs w:val="20"/>
                <w:color w:val="auto"/>
              </w:rPr>
            </w:pPr>
            <w:r>
              <w:rPr>
                <w:rFonts w:ascii="Arial" w:cs="Arial" w:eastAsia="Arial" w:hAnsi="Arial"/>
                <w:sz w:val="18"/>
                <w:szCs w:val="18"/>
                <w:b w:val="1"/>
                <w:bCs w:val="1"/>
                <w:color w:val="auto"/>
                <w:w w:val="90"/>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89"/>
              </w:rPr>
              <w:t>288 Grove Street, Suite 388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2"/>
              </w:rPr>
              <w:t>Braintree, MA 02184</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276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2"/>
              </w:rPr>
              <w:t>25 Recreation Park Drive, Unit 108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9"/>
              </w:rPr>
              <w:t>Hingham, Massachusetts 02043</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55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(Former Name or Former Address, if Changed Since Last Report)</w:t>
            </w:r>
          </w:p>
        </w:tc>
        <w:tc>
          <w:tcPr>
            <w:tcW w:w="276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22"/>
                <w:szCs w:val="22"/>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220" w:type="dxa"/>
            <w:vAlign w:val="bottom"/>
          </w:tcPr>
          <w:p>
            <w:pPr>
              <w:spacing w:after="0"/>
              <w:rPr>
                <w:sz w:val="22"/>
                <w:szCs w:val="22"/>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25, 2023, Microbot Medical Inc. issued a press release announcing its first steps towards its planned European market clearance, by engaging with a leading notified body to secure CE Mark for sales in Europe.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b w:val="1"/>
                <w:bCs w:val="1"/>
                <w:i w:val="1"/>
                <w:iCs w:val="1"/>
                <w:color w:val="auto"/>
                <w:w w:val="97"/>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00" w:type="dxa"/>
            <w:vAlign w:val="bottom"/>
          </w:tcPr>
          <w:p>
            <w:pPr>
              <w:spacing w:after="0"/>
              <w:rPr>
                <w:sz w:val="20"/>
                <w:szCs w:val="20"/>
                <w:color w:val="auto"/>
              </w:rPr>
            </w:pP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70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shd w:val="clear" w:color="auto" w:fill="000000"/>
          </w:tcPr>
          <w:p>
            <w:pPr>
              <w:spacing w:after="0"/>
              <w:rPr>
                <w:sz w:val="2"/>
                <w:szCs w:val="2"/>
                <w:color w:val="auto"/>
              </w:rPr>
            </w:pPr>
          </w:p>
        </w:tc>
        <w:tc>
          <w:tcPr>
            <w:tcW w:w="7700" w:type="dxa"/>
            <w:vAlign w:val="bottom"/>
            <w:shd w:val="clear" w:color="auto" w:fill="000000"/>
          </w:tcPr>
          <w:p>
            <w:pPr>
              <w:spacing w:after="0"/>
              <w:rPr>
                <w:sz w:val="2"/>
                <w:szCs w:val="2"/>
                <w:color w:val="auto"/>
              </w:rPr>
            </w:pP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0000EE"/>
              </w:rPr>
              <w:t>Press Release dated July 25, 2023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168910</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Engaging with a Leading Notified Body to Secure CE Mark for Sales in Europe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Engagement includes audit plans for ISO 13485 certification, to pave the way for obtaining CE Mark for clearance of sales in the European Union</w:t>
      </w:r>
    </w:p>
    <w:p>
      <w:pPr>
        <w:spacing w:after="0" w:line="23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 xml:space="preserve">BRAINTREE, Mass., July 25, 2023 </w:t>
      </w:r>
      <w:r>
        <w:rPr>
          <w:rFonts w:ascii="Arial" w:cs="Arial" w:eastAsia="Arial" w:hAnsi="Arial"/>
          <w:sz w:val="18"/>
          <w:szCs w:val="18"/>
          <w:color w:val="auto"/>
        </w:rPr>
        <w:t>– Microbot Medical Inc. (Nasdaq: MBOT), the developer of the LIBERTY</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Robotic Surgical System,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single-use endovascular robotic system, today announced the first steps towards its planned European market clearance, by engaging with a leading Notified Body.</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Notified Body will audit the Company to verify the compliance of its quality management system and the quality of the LIBERTY Robotic Surgical System development with widely acceptable standards in the medical device industry. In addition, preparations are being made to obtain MDR certification (European Medical Devices Regulation) leading to CE mark, which would allow the Company to sell the LIBERTY Robotic Surgical System throughout the European Union.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success of multiple pre- clinical studies conducted with the participation of leading European-based interventional radiologists, Microbot is now expanding to seek a wider range of potential users in key growth markets,” commented Harel Gadot, Chairman, President and CEO. “We believe the LIBERTY Robotic Surgical System has the potential to revolution the way catheterization are been done today, by providing a single use procedure with a high degree of stability, as demonstrated in our pre-clinical studies.”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LIBERTY®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Robotic Surgical System’s remote operation has the potential to be the first system to democratize endovascular interventional procedures.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2797175</wp:posOffset>
            </wp:positionH>
            <wp:positionV relativeFrom="page">
              <wp:posOffset>448945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LIBERTY, the outcome of its studies to evaluate LIBERTY, whether the Company’s core business focus program and cost reduction plan are sufficient to enable the Company to continue to focus on its LIBERTY technology while it stabilizes its financial condition and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2023-07-25T08:19:12Z</dcterms:created>
  <dcterms:modified xsi:type="dcterms:W3CDTF">2023-07-25T08:19:12Z</dcterms:modified>
</cp:coreProperties>
</file>