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2359"/>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51708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70805" cy="42545"/>
                    </a:xfrm>
                    <a:prstGeom prst="rect">
                      <a:avLst/>
                    </a:prstGeom>
                    <a:noFill/>
                  </pic:spPr>
                </pic:pic>
              </a:graphicData>
            </a:graphic>
          </wp:anchor>
        </w:drawing>
        <w:t xml:space="preserve">SEC 1745 </w:t>
      </w:r>
      <w:r>
        <w:rPr>
          <w:rFonts w:ascii="Arial" w:cs="Arial" w:eastAsia="Arial" w:hAnsi="Arial"/>
          <w:sz w:val="16"/>
          <w:szCs w:val="16"/>
          <w:b w:val="1"/>
          <w:bCs w:val="1"/>
          <w:color w:val="auto"/>
        </w:rPr>
        <w:t>Persons who respond to the collection of information contained in this form are not required to</w:t>
      </w:r>
      <w:r>
        <w:rPr>
          <w:rFonts w:ascii="Arial" w:cs="Arial" w:eastAsia="Arial" w:hAnsi="Arial"/>
          <w:sz w:val="16"/>
          <w:szCs w:val="16"/>
          <w:color w:val="auto"/>
        </w:rPr>
        <w:t xml:space="preserve"> (12-02) </w:t>
      </w:r>
      <w:r>
        <w:rPr>
          <w:rFonts w:ascii="Arial" w:cs="Arial" w:eastAsia="Arial" w:hAnsi="Arial"/>
          <w:sz w:val="16"/>
          <w:szCs w:val="16"/>
          <w:b w:val="1"/>
          <w:bCs w:val="1"/>
          <w:color w:val="auto"/>
        </w:rPr>
        <w:t>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9525</wp:posOffset>
            </wp:positionV>
            <wp:extent cx="517080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70805" cy="42545"/>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318135</wp:posOffset>
            </wp:positionV>
            <wp:extent cx="156908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908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616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3594100</wp:posOffset>
            </wp:positionH>
            <wp:positionV relativeFrom="paragraph">
              <wp:posOffset>67310</wp:posOffset>
            </wp:positionV>
            <wp:extent cx="156908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9085" cy="42545"/>
                    </a:xfrm>
                    <a:prstGeom prst="rect">
                      <a:avLst/>
                    </a:prstGeom>
                    <a:noFill/>
                  </pic:spPr>
                </pic:pic>
              </a:graphicData>
            </a:graphic>
          </wp:anchor>
        </w:drawing>
      </w:r>
    </w:p>
    <w:p>
      <w:pPr>
        <w:spacing w:after="0" w:line="232" w:lineRule="exact"/>
        <w:rPr>
          <w:sz w:val="24"/>
          <w:szCs w:val="24"/>
          <w:color w:val="auto"/>
        </w:rPr>
      </w:pPr>
    </w:p>
    <w:p>
      <w:pPr>
        <w:ind w:left="5680"/>
        <w:spacing w:after="0"/>
        <w:rPr>
          <w:sz w:val="20"/>
          <w:szCs w:val="20"/>
          <w:color w:val="auto"/>
        </w:rPr>
      </w:pPr>
      <w:r>
        <w:rPr>
          <w:rFonts w:ascii="Arial" w:cs="Arial" w:eastAsia="Arial" w:hAnsi="Arial"/>
          <w:sz w:val="18"/>
          <w:szCs w:val="18"/>
          <w:color w:val="auto"/>
        </w:rPr>
        <w:t>OMB NUMBER: 3235-0145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3594100</wp:posOffset>
            </wp:positionH>
            <wp:positionV relativeFrom="paragraph">
              <wp:posOffset>67310</wp:posOffset>
            </wp:positionV>
            <wp:extent cx="156908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69085" cy="42545"/>
                    </a:xfrm>
                    <a:prstGeom prst="rect">
                      <a:avLst/>
                    </a:prstGeom>
                    <a:noFill/>
                  </pic:spPr>
                </pic:pic>
              </a:graphicData>
            </a:graphic>
          </wp:anchor>
        </w:drawing>
      </w:r>
    </w:p>
    <w:p>
      <w:pPr>
        <w:spacing w:after="0" w:line="232" w:lineRule="exact"/>
        <w:rPr>
          <w:sz w:val="24"/>
          <w:szCs w:val="24"/>
          <w:color w:val="auto"/>
        </w:rPr>
      </w:pPr>
    </w:p>
    <w:p>
      <w:pPr>
        <w:ind w:left="5680"/>
        <w:spacing w:after="0"/>
        <w:rPr>
          <w:sz w:val="20"/>
          <w:szCs w:val="20"/>
          <w:color w:val="auto"/>
        </w:rPr>
      </w:pPr>
      <w:r>
        <w:rPr>
          <w:rFonts w:ascii="Arial" w:cs="Arial" w:eastAsia="Arial" w:hAnsi="Arial"/>
          <w:sz w:val="18"/>
          <w:szCs w:val="18"/>
          <w:color w:val="auto"/>
        </w:rPr>
        <w:t>Expires:  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3594100</wp:posOffset>
            </wp:positionH>
            <wp:positionV relativeFrom="paragraph">
              <wp:posOffset>67310</wp:posOffset>
            </wp:positionV>
            <wp:extent cx="156908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9085" cy="42545"/>
                    </a:xfrm>
                    <a:prstGeom prst="rect">
                      <a:avLst/>
                    </a:prstGeom>
                    <a:noFill/>
                  </pic:spPr>
                </pic:pic>
              </a:graphicData>
            </a:graphic>
          </wp:anchor>
        </w:drawing>
      </w:r>
    </w:p>
    <w:p>
      <w:pPr>
        <w:spacing w:after="0" w:line="232" w:lineRule="exact"/>
        <w:rPr>
          <w:sz w:val="24"/>
          <w:szCs w:val="24"/>
          <w:color w:val="auto"/>
        </w:rPr>
      </w:pPr>
    </w:p>
    <w:p>
      <w:pPr>
        <w:ind w:left="5680"/>
        <w:spacing w:after="0"/>
        <w:rPr>
          <w:sz w:val="20"/>
          <w:szCs w:val="20"/>
          <w:color w:val="auto"/>
        </w:rPr>
      </w:pPr>
      <w:r>
        <w:rPr>
          <w:rFonts w:ascii="Arial" w:cs="Arial" w:eastAsia="Arial" w:hAnsi="Arial"/>
          <w:sz w:val="18"/>
          <w:szCs w:val="18"/>
          <w:color w:val="auto"/>
        </w:rPr>
        <w:t>Estimated average burden</w:t>
      </w:r>
    </w:p>
    <w:p>
      <w:pPr>
        <w:spacing w:after="0" w:line="15" w:lineRule="exact"/>
        <w:rPr>
          <w:sz w:val="24"/>
          <w:szCs w:val="24"/>
          <w:color w:val="auto"/>
        </w:rPr>
      </w:pPr>
    </w:p>
    <w:p>
      <w:pPr>
        <w:ind w:left="5680"/>
        <w:spacing w:after="0"/>
        <w:rPr>
          <w:sz w:val="20"/>
          <w:szCs w:val="20"/>
          <w:color w:val="auto"/>
        </w:rPr>
      </w:pPr>
      <w:r>
        <w:rPr>
          <w:rFonts w:ascii="Arial" w:cs="Arial" w:eastAsia="Arial" w:hAnsi="Arial"/>
          <w:sz w:val="18"/>
          <w:szCs w:val="18"/>
          <w:color w:val="auto"/>
        </w:rPr>
        <w:t>hours per response. . . . . .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3594100</wp:posOffset>
            </wp:positionH>
            <wp:positionV relativeFrom="paragraph">
              <wp:posOffset>62865</wp:posOffset>
            </wp:positionV>
            <wp:extent cx="156908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9085" cy="4254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80"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SCHEDULE 13G</w:t>
      </w:r>
    </w:p>
    <w:p>
      <w:pPr>
        <w:spacing w:after="0" w:line="30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329"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STEMCELLS,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0685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19"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5"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0685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19"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95"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85857R105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80010</wp:posOffset>
            </wp:positionV>
            <wp:extent cx="25469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322"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January 26,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0685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19"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Rule 13d-1(b)</w:t>
      </w:r>
    </w:p>
    <w:p>
      <w:pPr>
        <w:spacing w:after="0" w:line="252" w:lineRule="exact"/>
        <w:rPr>
          <w:sz w:val="24"/>
          <w:szCs w:val="24"/>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|X|</w:t>
        <w:tab/>
        <w:t>Rule 13d-1(c)</w:t>
      </w:r>
    </w:p>
    <w:p>
      <w:pPr>
        <w:spacing w:after="0" w:line="252" w:lineRule="exact"/>
        <w:rPr>
          <w:sz w:val="24"/>
          <w:szCs w:val="24"/>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Rule 13d-1(d)</w:t>
      </w:r>
    </w:p>
    <w:p>
      <w:pPr>
        <w:spacing w:after="0" w:line="252" w:lineRule="exact"/>
        <w:rPr>
          <w:sz w:val="24"/>
          <w:szCs w:val="24"/>
          <w:color w:val="auto"/>
        </w:rPr>
      </w:pPr>
    </w:p>
    <w:p>
      <w:pPr>
        <w:ind w:right="2119" w:firstLine="8"/>
        <w:spacing w:after="0" w:line="259" w:lineRule="auto"/>
        <w:tabs>
          <w:tab w:leader="none" w:pos="13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4" w:lineRule="exact"/>
        <w:rPr>
          <w:sz w:val="24"/>
          <w:szCs w:val="24"/>
          <w:color w:val="auto"/>
        </w:rPr>
      </w:pPr>
    </w:p>
    <w:p>
      <w:pPr>
        <w:jc w:val="both"/>
        <w:ind w:right="2259"/>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719" w:right="1440" w:bottom="65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3440"/>
        <w:spacing w:after="0"/>
        <w:rPr>
          <w:sz w:val="20"/>
          <w:szCs w:val="20"/>
          <w:color w:val="auto"/>
        </w:rPr>
      </w:pPr>
      <w:r>
        <w:rPr>
          <w:rFonts w:ascii="Arial" w:cs="Arial" w:eastAsia="Arial" w:hAnsi="Arial"/>
          <w:sz w:val="15"/>
          <w:szCs w:val="15"/>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5149850"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ectPr>
          <w:pgSz w:w="11900" w:h="16838" w:orient="portrait"/>
          <w:cols w:equalWidth="0" w:num="1">
            <w:col w:w="10219"/>
          </w:cols>
          <w:pgMar w:left="240" w:top="719" w:right="1440" w:bottom="655"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CUSIP No. 85857R105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500" w:right="5659"/>
        <w:spacing w:after="0" w:line="505"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The Riverview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51454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2.</w:t>
            </w:r>
          </w:p>
        </w:tc>
        <w:tc>
          <w:tcPr>
            <w:tcW w:w="6120" w:type="dxa"/>
            <w:vAlign w:val="bottom"/>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60" w:type="dxa"/>
            <w:vAlign w:val="bottom"/>
          </w:tcPr>
          <w:p>
            <w:pPr>
              <w:ind w:left="1020"/>
              <w:spacing w:after="0"/>
              <w:rPr>
                <w:sz w:val="20"/>
                <w:szCs w:val="20"/>
                <w:color w:val="auto"/>
              </w:rPr>
            </w:pPr>
            <w:r>
              <w:rPr>
                <w:rFonts w:ascii="Arial" w:cs="Arial" w:eastAsia="Arial" w:hAnsi="Arial"/>
                <w:sz w:val="18"/>
                <w:szCs w:val="18"/>
                <w:color w:val="auto"/>
                <w:w w:val="86"/>
              </w:rPr>
              <w:t>(a) |X|</w:t>
            </w:r>
          </w:p>
        </w:tc>
      </w:tr>
      <w:tr>
        <w:trPr>
          <w:trHeight w:val="222"/>
        </w:trPr>
        <w:tc>
          <w:tcPr>
            <w:tcW w:w="3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460" w:type="dxa"/>
            <w:vAlign w:val="bottom"/>
          </w:tcPr>
          <w:p>
            <w:pPr>
              <w:ind w:left="1020"/>
              <w:spacing w:after="0"/>
              <w:rPr>
                <w:sz w:val="20"/>
                <w:szCs w:val="20"/>
                <w:color w:val="auto"/>
              </w:rPr>
            </w:pPr>
            <w:r>
              <w:rPr>
                <w:rFonts w:ascii="Arial" w:cs="Arial" w:eastAsia="Arial" w:hAnsi="Arial"/>
                <w:sz w:val="18"/>
                <w:szCs w:val="18"/>
                <w:color w:val="auto"/>
                <w:w w:val="90"/>
              </w:rPr>
              <w:t>(b) |_|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00" w:right="7159" w:hanging="492"/>
        <w:spacing w:after="0" w:line="508"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51454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22"/>
        </w:trPr>
        <w:tc>
          <w:tcPr>
            <w:tcW w:w="10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63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90"/>
              </w:rPr>
              <w:t>Number of</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020" w:type="dxa"/>
            <w:vAlign w:val="bottom"/>
            <w:vMerge w:val="restart"/>
          </w:tcPr>
          <w:p>
            <w:pPr>
              <w:jc w:val="center"/>
              <w:ind w:right="52"/>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ind w:right="72"/>
              <w:spacing w:after="0"/>
              <w:rPr>
                <w:sz w:val="20"/>
                <w:szCs w:val="20"/>
                <w:color w:val="auto"/>
              </w:rPr>
            </w:pPr>
            <w:r>
              <w:rPr>
                <w:rFonts w:ascii="Arial" w:cs="Arial" w:eastAsia="Arial" w:hAnsi="Arial"/>
                <w:sz w:val="18"/>
                <w:szCs w:val="18"/>
                <w:color w:val="auto"/>
                <w:w w:val="94"/>
              </w:rPr>
              <w:t>Beneficially</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63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91"/>
              </w:rPr>
              <w:t>Owned By</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87"/>
              </w:rPr>
              <w:t>Each</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2,340,131</w:t>
            </w:r>
          </w:p>
        </w:tc>
        <w:tc>
          <w:tcPr>
            <w:tcW w:w="0" w:type="dxa"/>
            <w:vAlign w:val="bottom"/>
          </w:tcPr>
          <w:p>
            <w:pPr>
              <w:spacing w:after="0"/>
              <w:rPr>
                <w:sz w:val="1"/>
                <w:szCs w:val="1"/>
                <w:color w:val="auto"/>
              </w:rPr>
            </w:pPr>
          </w:p>
        </w:tc>
      </w:tr>
      <w:tr>
        <w:trPr>
          <w:trHeight w:val="130"/>
        </w:trPr>
        <w:tc>
          <w:tcPr>
            <w:tcW w:w="1020" w:type="dxa"/>
            <w:vAlign w:val="bottom"/>
            <w:vMerge w:val="restart"/>
          </w:tcPr>
          <w:p>
            <w:pPr>
              <w:jc w:val="center"/>
              <w:ind w:right="72"/>
              <w:spacing w:after="0"/>
              <w:rPr>
                <w:sz w:val="20"/>
                <w:szCs w:val="20"/>
                <w:color w:val="auto"/>
              </w:rPr>
            </w:pPr>
            <w:r>
              <w:rPr>
                <w:rFonts w:ascii="Arial" w:cs="Arial" w:eastAsia="Arial" w:hAnsi="Arial"/>
                <w:sz w:val="18"/>
                <w:szCs w:val="18"/>
                <w:color w:val="auto"/>
                <w:w w:val="89"/>
              </w:rPr>
              <w:t>Reporting</w:t>
            </w:r>
          </w:p>
        </w:tc>
        <w:tc>
          <w:tcPr>
            <w:tcW w:w="14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3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0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89"/>
              </w:rPr>
              <w:t>Person With</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6340" w:type="dxa"/>
            <w:vAlign w:val="bottom"/>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69850</wp:posOffset>
            </wp:positionV>
            <wp:extent cx="42195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03" w:lineRule="exact"/>
        <w:rPr>
          <w:sz w:val="20"/>
          <w:szCs w:val="20"/>
          <w:color w:val="auto"/>
        </w:rPr>
      </w:pPr>
    </w:p>
    <w:p>
      <w:pPr>
        <w:ind w:left="1960" w:right="6439" w:hanging="493"/>
        <w:spacing w:after="0" w:line="508"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2,340,131</w:t>
      </w:r>
    </w:p>
    <w:p>
      <w:pPr>
        <w:spacing w:after="0" w:line="1" w:lineRule="exact"/>
        <w:rPr>
          <w:rFonts w:ascii="Arial" w:cs="Arial" w:eastAsia="Arial" w:hAnsi="Arial"/>
          <w:sz w:val="18"/>
          <w:szCs w:val="18"/>
          <w:color w:val="auto"/>
        </w:rPr>
      </w:pPr>
    </w:p>
    <w:p>
      <w:pPr>
        <w:ind w:left="500" w:right="5039" w:hanging="492"/>
        <w:spacing w:after="0" w:line="508"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2,340,131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tabs>
          <w:tab w:leader="none" w:pos="480" w:val="left"/>
          <w:tab w:leader="none" w:pos="74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4"/>
          <w:szCs w:val="14"/>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5145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0" w:right="6019" w:hanging="492"/>
        <w:spacing w:after="0" w:line="50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5.53%</w:t>
      </w:r>
    </w:p>
    <w:p>
      <w:pPr>
        <w:spacing w:after="0" w:line="1" w:lineRule="exact"/>
        <w:rPr>
          <w:rFonts w:ascii="Arial" w:cs="Arial" w:eastAsia="Arial" w:hAnsi="Arial"/>
          <w:sz w:val="18"/>
          <w:szCs w:val="18"/>
          <w:color w:val="auto"/>
        </w:rPr>
      </w:pPr>
    </w:p>
    <w:p>
      <w:pPr>
        <w:ind w:left="500" w:right="6639" w:hanging="492"/>
        <w:spacing w:after="0" w:line="519"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 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-639445</wp:posOffset>
            </wp:positionV>
            <wp:extent cx="51454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51454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CUSIP No. 85857R105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51454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500" w:right="5659"/>
        <w:spacing w:after="0" w:line="505"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Millennium Holding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51454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2.</w:t>
            </w:r>
          </w:p>
        </w:tc>
        <w:tc>
          <w:tcPr>
            <w:tcW w:w="6120" w:type="dxa"/>
            <w:vAlign w:val="bottom"/>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60" w:type="dxa"/>
            <w:vAlign w:val="bottom"/>
          </w:tcPr>
          <w:p>
            <w:pPr>
              <w:ind w:left="1020"/>
              <w:spacing w:after="0"/>
              <w:rPr>
                <w:sz w:val="20"/>
                <w:szCs w:val="20"/>
                <w:color w:val="auto"/>
              </w:rPr>
            </w:pPr>
            <w:r>
              <w:rPr>
                <w:rFonts w:ascii="Arial" w:cs="Arial" w:eastAsia="Arial" w:hAnsi="Arial"/>
                <w:sz w:val="18"/>
                <w:szCs w:val="18"/>
                <w:color w:val="auto"/>
                <w:w w:val="86"/>
              </w:rPr>
              <w:t>(a) |X|</w:t>
            </w:r>
          </w:p>
        </w:tc>
      </w:tr>
      <w:tr>
        <w:trPr>
          <w:trHeight w:val="222"/>
        </w:trPr>
        <w:tc>
          <w:tcPr>
            <w:tcW w:w="3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460" w:type="dxa"/>
            <w:vAlign w:val="bottom"/>
          </w:tcPr>
          <w:p>
            <w:pPr>
              <w:ind w:left="1020"/>
              <w:spacing w:after="0"/>
              <w:rPr>
                <w:sz w:val="20"/>
                <w:szCs w:val="20"/>
                <w:color w:val="auto"/>
              </w:rPr>
            </w:pPr>
            <w:r>
              <w:rPr>
                <w:rFonts w:ascii="Arial" w:cs="Arial" w:eastAsia="Arial" w:hAnsi="Arial"/>
                <w:sz w:val="18"/>
                <w:szCs w:val="18"/>
                <w:color w:val="auto"/>
                <w:w w:val="90"/>
              </w:rPr>
              <w:t>(b) |_|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1454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10219"/>
          </w:cols>
          <w:pgMar w:left="240" w:top="131" w:right="1440" w:bottom="0" w:gutter="0" w:footer="0" w:header="0"/>
        </w:sectPr>
      </w:pPr>
    </w:p>
    <w:p>
      <w:pPr>
        <w:spacing w:after="0" w:line="200" w:lineRule="exact"/>
        <w:rPr>
          <w:sz w:val="20"/>
          <w:szCs w:val="20"/>
          <w:color w:val="auto"/>
        </w:rPr>
      </w:pPr>
    </w:p>
    <w:p>
      <w:pPr>
        <w:spacing w:after="0" w:line="26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5"/>
          <w:szCs w:val="15"/>
          <w:color w:val="auto"/>
        </w:rPr>
      </w:pPr>
      <w:r>
        <w:rPr>
          <w:rFonts w:ascii="Arial" w:cs="Arial" w:eastAsia="Arial" w:hAnsi="Arial"/>
          <w:sz w:val="15"/>
          <w:szCs w:val="15"/>
          <w:color w:val="auto"/>
        </w:rPr>
        <w:t>SEC Use Only</w:t>
      </w:r>
    </w:p>
    <w:p>
      <w:pPr>
        <w:sectPr>
          <w:pgSz w:w="11900" w:h="16838" w:orient="portrait"/>
          <w:cols w:equalWidth="0" w:num="1">
            <w:col w:w="10219"/>
          </w:cols>
          <w:pgMar w:left="240" w:top="131" w:right="1440" w:bottom="0" w:gutter="0" w:footer="0" w:header="0"/>
          <w:type w:val="continuous"/>
        </w:sectPr>
      </w:pPr>
    </w:p>
    <w:bookmarkStart w:id="2" w:name="page3"/>
    <w:bookmarkEnd w:id="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ind w:left="500" w:right="7159" w:hanging="492"/>
        <w:spacing w:after="0" w:line="508"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22"/>
        </w:trPr>
        <w:tc>
          <w:tcPr>
            <w:tcW w:w="10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63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90"/>
              </w:rPr>
              <w:t>Number of</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020" w:type="dxa"/>
            <w:vAlign w:val="bottom"/>
            <w:vMerge w:val="restart"/>
          </w:tcPr>
          <w:p>
            <w:pPr>
              <w:jc w:val="center"/>
              <w:ind w:right="52"/>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ind w:right="72"/>
              <w:spacing w:after="0"/>
              <w:rPr>
                <w:sz w:val="20"/>
                <w:szCs w:val="20"/>
                <w:color w:val="auto"/>
              </w:rPr>
            </w:pPr>
            <w:r>
              <w:rPr>
                <w:rFonts w:ascii="Arial" w:cs="Arial" w:eastAsia="Arial" w:hAnsi="Arial"/>
                <w:sz w:val="18"/>
                <w:szCs w:val="18"/>
                <w:color w:val="auto"/>
                <w:w w:val="94"/>
              </w:rPr>
              <w:t>Beneficially</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63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91"/>
              </w:rPr>
              <w:t>Owned By</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87"/>
              </w:rPr>
              <w:t>Each</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2,340,131</w:t>
            </w:r>
          </w:p>
        </w:tc>
        <w:tc>
          <w:tcPr>
            <w:tcW w:w="0" w:type="dxa"/>
            <w:vAlign w:val="bottom"/>
          </w:tcPr>
          <w:p>
            <w:pPr>
              <w:spacing w:after="0"/>
              <w:rPr>
                <w:sz w:val="1"/>
                <w:szCs w:val="1"/>
                <w:color w:val="auto"/>
              </w:rPr>
            </w:pPr>
          </w:p>
        </w:tc>
      </w:tr>
      <w:tr>
        <w:trPr>
          <w:trHeight w:val="130"/>
        </w:trPr>
        <w:tc>
          <w:tcPr>
            <w:tcW w:w="1020" w:type="dxa"/>
            <w:vAlign w:val="bottom"/>
            <w:vMerge w:val="restart"/>
          </w:tcPr>
          <w:p>
            <w:pPr>
              <w:jc w:val="center"/>
              <w:ind w:right="72"/>
              <w:spacing w:after="0"/>
              <w:rPr>
                <w:sz w:val="20"/>
                <w:szCs w:val="20"/>
                <w:color w:val="auto"/>
              </w:rPr>
            </w:pPr>
            <w:r>
              <w:rPr>
                <w:rFonts w:ascii="Arial" w:cs="Arial" w:eastAsia="Arial" w:hAnsi="Arial"/>
                <w:sz w:val="18"/>
                <w:szCs w:val="18"/>
                <w:color w:val="auto"/>
                <w:w w:val="89"/>
              </w:rPr>
              <w:t>Reporting</w:t>
            </w:r>
          </w:p>
        </w:tc>
        <w:tc>
          <w:tcPr>
            <w:tcW w:w="14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3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0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89"/>
              </w:rPr>
              <w:t>Person With</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6340" w:type="dxa"/>
            <w:vAlign w:val="bottom"/>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69850</wp:posOffset>
            </wp:positionV>
            <wp:extent cx="42195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03" w:lineRule="exact"/>
        <w:rPr>
          <w:sz w:val="20"/>
          <w:szCs w:val="20"/>
          <w:color w:val="auto"/>
        </w:rPr>
      </w:pPr>
    </w:p>
    <w:p>
      <w:pPr>
        <w:ind w:left="1960" w:right="6439" w:hanging="493"/>
        <w:spacing w:after="0" w:line="508"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Dispositive Power 2,340,131</w:t>
      </w:r>
    </w:p>
    <w:p>
      <w:pPr>
        <w:spacing w:after="0" w:line="1" w:lineRule="exact"/>
        <w:rPr>
          <w:rFonts w:ascii="Arial" w:cs="Arial" w:eastAsia="Arial" w:hAnsi="Arial"/>
          <w:sz w:val="18"/>
          <w:szCs w:val="18"/>
          <w:color w:val="auto"/>
        </w:rPr>
      </w:pPr>
    </w:p>
    <w:p>
      <w:pPr>
        <w:ind w:left="500" w:right="5039" w:hanging="492"/>
        <w:spacing w:after="0" w:line="508"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2,340,131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5145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tabs>
          <w:tab w:leader="none" w:pos="480" w:val="left"/>
          <w:tab w:leader="none" w:pos="74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4"/>
          <w:szCs w:val="14"/>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5145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0" w:right="6019" w:hanging="492"/>
        <w:spacing w:after="0" w:line="508"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5.53%</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-476885</wp:posOffset>
            </wp:positionV>
            <wp:extent cx="51454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5145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CUSIP No. 85857R105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51454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500" w:right="5659"/>
        <w:spacing w:after="0" w:line="505"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Millennium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51454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2.</w:t>
            </w:r>
          </w:p>
        </w:tc>
        <w:tc>
          <w:tcPr>
            <w:tcW w:w="6120" w:type="dxa"/>
            <w:vAlign w:val="bottom"/>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60" w:type="dxa"/>
            <w:vAlign w:val="bottom"/>
          </w:tcPr>
          <w:p>
            <w:pPr>
              <w:ind w:left="1020"/>
              <w:spacing w:after="0"/>
              <w:rPr>
                <w:sz w:val="20"/>
                <w:szCs w:val="20"/>
                <w:color w:val="auto"/>
              </w:rPr>
            </w:pPr>
            <w:r>
              <w:rPr>
                <w:rFonts w:ascii="Arial" w:cs="Arial" w:eastAsia="Arial" w:hAnsi="Arial"/>
                <w:sz w:val="18"/>
                <w:szCs w:val="18"/>
                <w:color w:val="auto"/>
                <w:w w:val="86"/>
              </w:rPr>
              <w:t>(a) |X|</w:t>
            </w:r>
          </w:p>
        </w:tc>
      </w:tr>
      <w:tr>
        <w:trPr>
          <w:trHeight w:val="222"/>
        </w:trPr>
        <w:tc>
          <w:tcPr>
            <w:tcW w:w="3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460" w:type="dxa"/>
            <w:vAlign w:val="bottom"/>
          </w:tcPr>
          <w:p>
            <w:pPr>
              <w:ind w:left="1020"/>
              <w:spacing w:after="0"/>
              <w:rPr>
                <w:sz w:val="20"/>
                <w:szCs w:val="20"/>
                <w:color w:val="auto"/>
              </w:rPr>
            </w:pPr>
            <w:r>
              <w:rPr>
                <w:rFonts w:ascii="Arial" w:cs="Arial" w:eastAsia="Arial" w:hAnsi="Arial"/>
                <w:sz w:val="18"/>
                <w:szCs w:val="18"/>
                <w:color w:val="auto"/>
                <w:w w:val="90"/>
              </w:rPr>
              <w:t>(b) |_|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1454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00" w:right="7159" w:hanging="492"/>
        <w:spacing w:after="0" w:line="508"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51454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22"/>
        </w:trPr>
        <w:tc>
          <w:tcPr>
            <w:tcW w:w="10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63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90"/>
              </w:rPr>
              <w:t>Number of</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020" w:type="dxa"/>
            <w:vAlign w:val="bottom"/>
            <w:vMerge w:val="restart"/>
          </w:tcPr>
          <w:p>
            <w:pPr>
              <w:jc w:val="center"/>
              <w:ind w:right="52"/>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ind w:right="72"/>
              <w:spacing w:after="0"/>
              <w:rPr>
                <w:sz w:val="20"/>
                <w:szCs w:val="20"/>
                <w:color w:val="auto"/>
              </w:rPr>
            </w:pPr>
            <w:r>
              <w:rPr>
                <w:rFonts w:ascii="Arial" w:cs="Arial" w:eastAsia="Arial" w:hAnsi="Arial"/>
                <w:sz w:val="18"/>
                <w:szCs w:val="18"/>
                <w:color w:val="auto"/>
                <w:w w:val="94"/>
              </w:rPr>
              <w:t>Beneficially</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63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91"/>
              </w:rPr>
              <w:t>Owned By</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87"/>
              </w:rPr>
              <w:t>Each</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2,340,131</w:t>
            </w:r>
          </w:p>
        </w:tc>
        <w:tc>
          <w:tcPr>
            <w:tcW w:w="0" w:type="dxa"/>
            <w:vAlign w:val="bottom"/>
          </w:tcPr>
          <w:p>
            <w:pPr>
              <w:spacing w:after="0"/>
              <w:rPr>
                <w:sz w:val="1"/>
                <w:szCs w:val="1"/>
                <w:color w:val="auto"/>
              </w:rPr>
            </w:pPr>
          </w:p>
        </w:tc>
      </w:tr>
      <w:tr>
        <w:trPr>
          <w:trHeight w:val="110"/>
        </w:trPr>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3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43" w:orient="portrait"/>
          <w:cols w:equalWidth="0" w:num="1">
            <w:col w:w="10219"/>
          </w:cols>
          <w:pgMar w:left="240" w:top="604" w:right="1440" w:bottom="0" w:gutter="0" w:footer="0" w:header="0"/>
        </w:sectPr>
      </w:pPr>
    </w:p>
    <w:bookmarkStart w:id="3" w:name="page4"/>
    <w:bookmarkEnd w:id="3"/>
    <w:p>
      <w:pPr>
        <w:ind w:left="380"/>
        <w:spacing w:after="0"/>
        <w:tabs>
          <w:tab w:leader="none" w:pos="1440" w:val="left"/>
          <w:tab w:leader="none" w:pos="1940" w:val="left"/>
        </w:tabs>
        <w:rPr>
          <w:sz w:val="20"/>
          <w:szCs w:val="20"/>
          <w:color w:val="auto"/>
        </w:rPr>
      </w:pPr>
      <w:r>
        <w:rPr>
          <w:rFonts w:ascii="Arial" w:cs="Arial" w:eastAsia="Arial" w:hAnsi="Arial"/>
          <w:sz w:val="35"/>
          <w:szCs w:val="35"/>
          <w:color w:val="auto"/>
          <w:vertAlign w:val="superscript"/>
        </w:rPr>
        <w:t>Reporting</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w:t>
      </w:r>
    </w:p>
    <w:p>
      <w:pPr>
        <w:spacing w:after="0" w:line="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Person With</w:t>
      </w:r>
    </w:p>
    <w:p>
      <w:pPr>
        <w:spacing w:after="0" w:line="3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80010</wp:posOffset>
            </wp:positionV>
            <wp:extent cx="42195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19" w:lineRule="exact"/>
        <w:rPr>
          <w:sz w:val="20"/>
          <w:szCs w:val="20"/>
          <w:color w:val="auto"/>
        </w:rPr>
      </w:pPr>
    </w:p>
    <w:p>
      <w:pPr>
        <w:ind w:left="1960" w:right="6439" w:hanging="493"/>
        <w:spacing w:after="0" w:line="508" w:lineRule="auto"/>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Dispositive Power 2,340,131</w:t>
      </w:r>
    </w:p>
    <w:p>
      <w:pPr>
        <w:spacing w:after="0" w:line="1" w:lineRule="exact"/>
        <w:rPr>
          <w:rFonts w:ascii="Arial" w:cs="Arial" w:eastAsia="Arial" w:hAnsi="Arial"/>
          <w:sz w:val="18"/>
          <w:szCs w:val="18"/>
          <w:color w:val="auto"/>
        </w:rPr>
      </w:pPr>
    </w:p>
    <w:p>
      <w:pPr>
        <w:ind w:left="500" w:right="5039" w:hanging="492"/>
        <w:spacing w:after="0" w:line="508"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2,340,131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51454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tabs>
          <w:tab w:leader="none" w:pos="480" w:val="left"/>
          <w:tab w:leader="none" w:pos="74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4"/>
          <w:szCs w:val="14"/>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51454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0" w:right="6019" w:hanging="492"/>
        <w:spacing w:after="0" w:line="508"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5.53%</w:t>
      </w:r>
    </w:p>
    <w:p>
      <w:pPr>
        <w:spacing w:after="0" w:line="1" w:lineRule="exact"/>
        <w:rPr>
          <w:rFonts w:ascii="Arial" w:cs="Arial" w:eastAsia="Arial" w:hAnsi="Arial"/>
          <w:sz w:val="18"/>
          <w:szCs w:val="18"/>
          <w:color w:val="auto"/>
        </w:rPr>
      </w:pPr>
    </w:p>
    <w:p>
      <w:pPr>
        <w:ind w:left="500" w:right="6639" w:hanging="492"/>
        <w:spacing w:after="0" w:line="519"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 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-639445</wp:posOffset>
            </wp:positionV>
            <wp:extent cx="51454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51454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CUSIP No. 85857R105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51454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500" w:right="5659"/>
        <w:spacing w:after="0" w:line="505"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51454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2.</w:t>
            </w:r>
          </w:p>
        </w:tc>
        <w:tc>
          <w:tcPr>
            <w:tcW w:w="6120" w:type="dxa"/>
            <w:vAlign w:val="bottom"/>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60" w:type="dxa"/>
            <w:vAlign w:val="bottom"/>
          </w:tcPr>
          <w:p>
            <w:pPr>
              <w:ind w:left="1020"/>
              <w:spacing w:after="0"/>
              <w:rPr>
                <w:sz w:val="20"/>
                <w:szCs w:val="20"/>
                <w:color w:val="auto"/>
              </w:rPr>
            </w:pPr>
            <w:r>
              <w:rPr>
                <w:rFonts w:ascii="Arial" w:cs="Arial" w:eastAsia="Arial" w:hAnsi="Arial"/>
                <w:sz w:val="18"/>
                <w:szCs w:val="18"/>
                <w:color w:val="auto"/>
                <w:w w:val="86"/>
              </w:rPr>
              <w:t>(a) |X|</w:t>
            </w:r>
          </w:p>
        </w:tc>
      </w:tr>
      <w:tr>
        <w:trPr>
          <w:trHeight w:val="222"/>
        </w:trPr>
        <w:tc>
          <w:tcPr>
            <w:tcW w:w="3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460" w:type="dxa"/>
            <w:vAlign w:val="bottom"/>
          </w:tcPr>
          <w:p>
            <w:pPr>
              <w:ind w:left="1020"/>
              <w:spacing w:after="0"/>
              <w:rPr>
                <w:sz w:val="20"/>
                <w:szCs w:val="20"/>
                <w:color w:val="auto"/>
              </w:rPr>
            </w:pPr>
            <w:r>
              <w:rPr>
                <w:rFonts w:ascii="Arial" w:cs="Arial" w:eastAsia="Arial" w:hAnsi="Arial"/>
                <w:sz w:val="18"/>
                <w:szCs w:val="18"/>
                <w:color w:val="auto"/>
                <w:w w:val="90"/>
              </w:rPr>
              <w:t>(b) |_|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1454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00" w:right="7159" w:hanging="492"/>
        <w:spacing w:after="0" w:line="508"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51454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22"/>
        </w:trPr>
        <w:tc>
          <w:tcPr>
            <w:tcW w:w="10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63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90"/>
              </w:rPr>
              <w:t>Number of</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020" w:type="dxa"/>
            <w:vAlign w:val="bottom"/>
            <w:vMerge w:val="restart"/>
          </w:tcPr>
          <w:p>
            <w:pPr>
              <w:jc w:val="center"/>
              <w:ind w:right="52"/>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ind w:right="72"/>
              <w:spacing w:after="0"/>
              <w:rPr>
                <w:sz w:val="20"/>
                <w:szCs w:val="20"/>
                <w:color w:val="auto"/>
              </w:rPr>
            </w:pPr>
            <w:r>
              <w:rPr>
                <w:rFonts w:ascii="Arial" w:cs="Arial" w:eastAsia="Arial" w:hAnsi="Arial"/>
                <w:sz w:val="18"/>
                <w:szCs w:val="18"/>
                <w:color w:val="auto"/>
                <w:w w:val="94"/>
              </w:rPr>
              <w:t>Beneficially</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63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91"/>
              </w:rPr>
              <w:t>Owned By</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87"/>
              </w:rPr>
              <w:t>Each</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2,340,131</w:t>
            </w:r>
          </w:p>
        </w:tc>
        <w:tc>
          <w:tcPr>
            <w:tcW w:w="0" w:type="dxa"/>
            <w:vAlign w:val="bottom"/>
          </w:tcPr>
          <w:p>
            <w:pPr>
              <w:spacing w:after="0"/>
              <w:rPr>
                <w:sz w:val="1"/>
                <w:szCs w:val="1"/>
                <w:color w:val="auto"/>
              </w:rPr>
            </w:pPr>
          </w:p>
        </w:tc>
      </w:tr>
      <w:tr>
        <w:trPr>
          <w:trHeight w:val="130"/>
        </w:trPr>
        <w:tc>
          <w:tcPr>
            <w:tcW w:w="1020" w:type="dxa"/>
            <w:vAlign w:val="bottom"/>
            <w:vMerge w:val="restart"/>
          </w:tcPr>
          <w:p>
            <w:pPr>
              <w:jc w:val="center"/>
              <w:ind w:right="72"/>
              <w:spacing w:after="0"/>
              <w:rPr>
                <w:sz w:val="20"/>
                <w:szCs w:val="20"/>
                <w:color w:val="auto"/>
              </w:rPr>
            </w:pPr>
            <w:r>
              <w:rPr>
                <w:rFonts w:ascii="Arial" w:cs="Arial" w:eastAsia="Arial" w:hAnsi="Arial"/>
                <w:sz w:val="18"/>
                <w:szCs w:val="18"/>
                <w:color w:val="auto"/>
                <w:w w:val="89"/>
              </w:rPr>
              <w:t>Reporting</w:t>
            </w:r>
          </w:p>
        </w:tc>
        <w:tc>
          <w:tcPr>
            <w:tcW w:w="14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3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0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89"/>
              </w:rPr>
              <w:t>Person With</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6340" w:type="dxa"/>
            <w:vAlign w:val="bottom"/>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69850</wp:posOffset>
            </wp:positionV>
            <wp:extent cx="42195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03" w:lineRule="exact"/>
        <w:rPr>
          <w:sz w:val="20"/>
          <w:szCs w:val="20"/>
          <w:color w:val="auto"/>
        </w:rPr>
      </w:pPr>
    </w:p>
    <w:p>
      <w:pPr>
        <w:ind w:left="1960" w:right="6439" w:hanging="493"/>
        <w:spacing w:after="0" w:line="508"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Dispositive Power 2,340,131</w:t>
      </w:r>
    </w:p>
    <w:p>
      <w:pPr>
        <w:spacing w:after="0" w:line="1" w:lineRule="exact"/>
        <w:rPr>
          <w:rFonts w:ascii="Arial" w:cs="Arial" w:eastAsia="Arial" w:hAnsi="Arial"/>
          <w:sz w:val="18"/>
          <w:szCs w:val="18"/>
          <w:color w:val="auto"/>
        </w:rPr>
      </w:pPr>
    </w:p>
    <w:p>
      <w:pPr>
        <w:ind w:left="500" w:right="5039" w:hanging="492"/>
        <w:spacing w:after="0" w:line="508"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2,340,131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51454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tabs>
          <w:tab w:leader="none" w:pos="480" w:val="left"/>
          <w:tab w:leader="none" w:pos="74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4"/>
          <w:szCs w:val="14"/>
          <w:color w:val="auto"/>
        </w:rPr>
        <w:t>|_|</w:t>
      </w:r>
    </w:p>
    <w:p>
      <w:pPr>
        <w:sectPr>
          <w:pgSz w:w="11900" w:h="16838" w:orient="portrait"/>
          <w:cols w:equalWidth="0" w:num="1">
            <w:col w:w="10219"/>
          </w:cols>
          <w:pgMar w:left="240" w:top="0" w:right="1440" w:bottom="0" w:gutter="0" w:footer="0" w:header="0"/>
        </w:sectPr>
      </w:pPr>
    </w:p>
    <w:bookmarkStart w:id="4" w:name="page5"/>
    <w:bookmarkEnd w:id="4"/>
    <w:p>
      <w:pPr>
        <w:ind w:left="500" w:right="6019" w:hanging="492"/>
        <w:spacing w:after="0" w:line="508"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51454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5405" cy="8890"/>
                    </a:xfrm>
                    <a:prstGeom prst="rect">
                      <a:avLst/>
                    </a:prstGeom>
                    <a:noFill/>
                  </pic:spPr>
                </pic:pic>
              </a:graphicData>
            </a:graphic>
          </wp:anchor>
        </w:drawing>
        <w:t>Percent of Class Represented by Amount in Row (9) 5.53%</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-476885</wp:posOffset>
            </wp:positionV>
            <wp:extent cx="51454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51454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355" w:lineRule="exact"/>
        <w:rPr>
          <w:sz w:val="20"/>
          <w:szCs w:val="20"/>
          <w:color w:val="auto"/>
        </w:rPr>
      </w:pP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5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StemCells, Inc., a Delaware corporation (the “Company”).</w:t>
      </w:r>
    </w:p>
    <w:p>
      <w:pPr>
        <w:spacing w:after="0" w:line="279"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Address of Issuer’s Principal Executive Offices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3155 Porter Drive, Palo Alto, California, 94304</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342" w:lineRule="exact"/>
        <w:rPr>
          <w:sz w:val="20"/>
          <w:szCs w:val="20"/>
          <w:color w:val="auto"/>
        </w:rPr>
      </w:pPr>
    </w:p>
    <w:p>
      <w:pPr>
        <w:ind w:left="820" w:hanging="407"/>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5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5"/>
          <w:szCs w:val="15"/>
          <w:color w:val="auto"/>
        </w:rPr>
        <w:t>_____________________________________________________________________________</w:t>
      </w:r>
    </w:p>
    <w:p>
      <w:pPr>
        <w:spacing w:after="0" w:line="313" w:lineRule="exact"/>
        <w:rPr>
          <w:rFonts w:ascii="Arial" w:cs="Arial" w:eastAsia="Arial" w:hAnsi="Arial"/>
          <w:sz w:val="18"/>
          <w:szCs w:val="18"/>
          <w:color w:val="auto"/>
        </w:rPr>
      </w:pPr>
    </w:p>
    <w:p>
      <w:pPr>
        <w:ind w:left="820" w:hanging="407"/>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5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5"/>
          <w:szCs w:val="15"/>
          <w:color w:val="auto"/>
        </w:rPr>
        <w:t>_____________________________________________________________________________</w:t>
      </w:r>
    </w:p>
    <w:p>
      <w:pPr>
        <w:spacing w:after="0" w:line="313" w:lineRule="exact"/>
        <w:rPr>
          <w:rFonts w:ascii="Arial" w:cs="Arial" w:eastAsia="Arial" w:hAnsi="Arial"/>
          <w:sz w:val="18"/>
          <w:szCs w:val="18"/>
          <w:color w:val="auto"/>
        </w:rPr>
      </w:pPr>
    </w:p>
    <w:p>
      <w:pPr>
        <w:ind w:left="820" w:hanging="407"/>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5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The Riverview Group, LLC</w:t>
      </w:r>
    </w:p>
    <w:p>
      <w:pPr>
        <w:spacing w:after="0" w:line="15" w:lineRule="exact"/>
        <w:rPr>
          <w:rFonts w:ascii="Arial" w:cs="Arial" w:eastAsia="Arial" w:hAnsi="Arial"/>
          <w:sz w:val="18"/>
          <w:szCs w:val="18"/>
          <w:color w:val="auto"/>
        </w:rPr>
      </w:pPr>
    </w:p>
    <w:p>
      <w:pPr>
        <w:ind w:left="820" w:right="6939"/>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666 Fifth Avenue</w:t>
      </w:r>
    </w:p>
    <w:p>
      <w:pPr>
        <w:ind w:left="820" w:right="7399"/>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820" w:right="6939"/>
        <w:spacing w:after="0" w:line="284" w:lineRule="auto"/>
        <w:rPr>
          <w:rFonts w:ascii="Arial" w:cs="Arial" w:eastAsia="Arial" w:hAnsi="Arial"/>
          <w:sz w:val="18"/>
          <w:szCs w:val="18"/>
          <w:color w:val="auto"/>
        </w:rPr>
      </w:pPr>
      <w:r>
        <w:rPr>
          <w:rFonts w:ascii="Arial" w:cs="Arial" w:eastAsia="Arial" w:hAnsi="Arial"/>
          <w:sz w:val="16"/>
          <w:szCs w:val="16"/>
          <w:color w:val="auto"/>
        </w:rPr>
        <w:t>Millennium Holding Group, L.P. c/o Millennium Management, LLC 666 Fifth Avenue</w:t>
      </w:r>
    </w:p>
    <w:p>
      <w:pPr>
        <w:spacing w:after="0" w:line="1" w:lineRule="exact"/>
        <w:rPr>
          <w:rFonts w:ascii="Arial" w:cs="Arial" w:eastAsia="Arial" w:hAnsi="Arial"/>
          <w:sz w:val="18"/>
          <w:szCs w:val="18"/>
          <w:color w:val="auto"/>
        </w:rPr>
      </w:pPr>
    </w:p>
    <w:p>
      <w:pPr>
        <w:ind w:left="820" w:right="7399"/>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820" w:right="7199"/>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666 Fifth Avenue</w:t>
      </w:r>
    </w:p>
    <w:p>
      <w:pPr>
        <w:ind w:left="820" w:right="7399"/>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820" w:right="6939"/>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666 Fifth Avenue</w:t>
      </w:r>
    </w:p>
    <w:p>
      <w:pPr>
        <w:ind w:left="820" w:right="7399"/>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United States</w:t>
      </w:r>
    </w:p>
    <w:p>
      <w:pPr>
        <w:spacing w:after="0" w:line="173" w:lineRule="exact"/>
        <w:rPr>
          <w:rFonts w:ascii="Arial" w:cs="Arial" w:eastAsia="Arial" w:hAnsi="Arial"/>
          <w:sz w:val="18"/>
          <w:szCs w:val="18"/>
          <w:color w:val="auto"/>
        </w:rPr>
      </w:pPr>
    </w:p>
    <w:p>
      <w:pPr>
        <w:ind w:left="820" w:hanging="407"/>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5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Common Stock, par value $0.01 per share</w:t>
      </w:r>
    </w:p>
    <w:p>
      <w:pPr>
        <w:spacing w:after="0" w:line="279" w:lineRule="exact"/>
        <w:rPr>
          <w:rFonts w:ascii="Arial" w:cs="Arial" w:eastAsia="Arial" w:hAnsi="Arial"/>
          <w:sz w:val="18"/>
          <w:szCs w:val="18"/>
          <w:color w:val="auto"/>
        </w:rPr>
      </w:pPr>
    </w:p>
    <w:p>
      <w:pPr>
        <w:ind w:left="820" w:hanging="407"/>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CUSIP Number 85857R105</w:t>
      </w:r>
    </w:p>
    <w:p>
      <w:pPr>
        <w:sectPr>
          <w:pgSz w:w="11900" w:h="16838" w:orient="portrait"/>
          <w:cols w:equalWidth="0" w:num="1">
            <w:col w:w="10219"/>
          </w:cols>
          <w:pgMar w:left="240" w:top="577" w:right="1440" w:bottom="0" w:gutter="0" w:footer="0" w:header="0"/>
        </w:sectPr>
      </w:pPr>
    </w:p>
    <w:bookmarkStart w:id="5" w:name="page6"/>
    <w:bookmarkEnd w:id="5"/>
    <w:p>
      <w:pPr>
        <w:ind w:left="820"/>
        <w:spacing w:after="0"/>
        <w:rPr>
          <w:sz w:val="20"/>
          <w:szCs w:val="20"/>
          <w:color w:val="auto"/>
        </w:rPr>
      </w:pPr>
      <w:r>
        <w:rPr>
          <w:rFonts w:ascii="Arial" w:cs="Arial" w:eastAsia="Arial" w:hAnsi="Arial"/>
          <w:sz w:val="16"/>
          <w:szCs w:val="16"/>
          <w:color w:val="auto"/>
        </w:rPr>
        <w:t>_____________________________________________________________________________</w:t>
      </w:r>
    </w:p>
    <w:p>
      <w:pPr>
        <w:spacing w:after="0" w:line="296" w:lineRule="exact"/>
        <w:rPr>
          <w:sz w:val="20"/>
          <w:szCs w:val="20"/>
          <w:color w:val="auto"/>
        </w:rPr>
      </w:pPr>
    </w:p>
    <w:p>
      <w:pPr>
        <w:ind w:left="660" w:right="2619" w:hanging="657"/>
        <w:spacing w:after="0" w:line="275" w:lineRule="auto"/>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1" w:lineRule="exact"/>
        <w:rPr>
          <w:sz w:val="20"/>
          <w:szCs w:val="20"/>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   Broker or dealer registered under section 15 of the Act (15 U.S.C. 78o).</w:t>
      </w:r>
    </w:p>
    <w:p>
      <w:pPr>
        <w:spacing w:after="0" w:line="252"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   Bank as defined in section 3(a)(6) of the Act (15 U.S.C. 78c).</w:t>
      </w:r>
    </w:p>
    <w:p>
      <w:pPr>
        <w:spacing w:after="0" w:line="252"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   Insurance company as defined in section 3(a)(19) of the Act (15 U.S.C. 78c).</w:t>
      </w:r>
    </w:p>
    <w:p>
      <w:pPr>
        <w:spacing w:after="0" w:line="252" w:lineRule="exact"/>
        <w:rPr>
          <w:rFonts w:ascii="Arial" w:cs="Arial" w:eastAsia="Arial" w:hAnsi="Arial"/>
          <w:sz w:val="18"/>
          <w:szCs w:val="18"/>
          <w:color w:val="auto"/>
        </w:rPr>
      </w:pPr>
    </w:p>
    <w:p>
      <w:pPr>
        <w:ind w:left="1220" w:right="2819" w:hanging="807"/>
        <w:spacing w:after="0" w:line="268" w:lineRule="auto"/>
        <w:tabs>
          <w:tab w:leader="none" w:pos="8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|_| Investment company registered under section 8 of the Investment Company Act of 1940 (15 U.S.C 80a-8).</w:t>
      </w:r>
    </w:p>
    <w:p>
      <w:pPr>
        <w:spacing w:after="0" w:line="212"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   An investment adviser in accordance with §240.13d-1(b)(1)(ii)(E);</w:t>
      </w:r>
    </w:p>
    <w:p>
      <w:pPr>
        <w:spacing w:after="0" w:line="252"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|_|   An employee benefit plan or endowment fund in accordance with §240.13d-1(b)(1)(ii)(F);</w:t>
      </w:r>
    </w:p>
    <w:p>
      <w:pPr>
        <w:spacing w:after="0" w:line="275" w:lineRule="exact"/>
        <w:rPr>
          <w:rFonts w:ascii="Arial" w:cs="Arial" w:eastAsia="Arial" w:hAnsi="Arial"/>
          <w:sz w:val="16"/>
          <w:szCs w:val="16"/>
          <w:color w:val="auto"/>
        </w:rPr>
      </w:pPr>
    </w:p>
    <w:p>
      <w:pPr>
        <w:ind w:left="820" w:hanging="407"/>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|_|   A parent holding company or control person in accordance with § 240.13d-1(b)(1)(ii)(G);</w:t>
      </w:r>
    </w:p>
    <w:p>
      <w:pPr>
        <w:spacing w:after="0" w:line="275" w:lineRule="exact"/>
        <w:rPr>
          <w:rFonts w:ascii="Arial" w:cs="Arial" w:eastAsia="Arial" w:hAnsi="Arial"/>
          <w:sz w:val="16"/>
          <w:szCs w:val="16"/>
          <w:color w:val="auto"/>
        </w:rPr>
      </w:pPr>
    </w:p>
    <w:p>
      <w:pPr>
        <w:ind w:left="1220" w:right="2959" w:hanging="807"/>
        <w:spacing w:after="0" w:line="268" w:lineRule="auto"/>
        <w:tabs>
          <w:tab w:leader="none" w:pos="8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|_| A savings associations as defined in Section 3(b) of the Federal Deposit Insurance Act (12 U.S.C. 1813);</w:t>
      </w:r>
    </w:p>
    <w:p>
      <w:pPr>
        <w:spacing w:after="0" w:line="212" w:lineRule="exact"/>
        <w:rPr>
          <w:rFonts w:ascii="Arial" w:cs="Arial" w:eastAsia="Arial" w:hAnsi="Arial"/>
          <w:sz w:val="18"/>
          <w:szCs w:val="18"/>
          <w:color w:val="auto"/>
        </w:rPr>
      </w:pPr>
    </w:p>
    <w:p>
      <w:pPr>
        <w:ind w:left="1220" w:right="3179" w:hanging="807"/>
        <w:spacing w:after="0" w:line="332" w:lineRule="auto"/>
        <w:tabs>
          <w:tab w:leader="none" w:pos="825" w:val="left"/>
        </w:tabs>
        <w:numPr>
          <w:ilvl w:val="0"/>
          <w:numId w:val="25"/>
        </w:numPr>
        <w:rPr>
          <w:rFonts w:ascii="Arial" w:cs="Arial" w:eastAsia="Arial" w:hAnsi="Arial"/>
          <w:sz w:val="16"/>
          <w:szCs w:val="16"/>
          <w:color w:val="auto"/>
        </w:rPr>
      </w:pPr>
      <w:r>
        <w:rPr>
          <w:rFonts w:ascii="Arial" w:cs="Arial" w:eastAsia="Arial" w:hAnsi="Arial"/>
          <w:sz w:val="16"/>
          <w:szCs w:val="16"/>
          <w:color w:val="auto"/>
        </w:rPr>
        <w:t>|_| A church plan that is excluded from the definition of an investment company under section 3(c)(14) of the Investment Company Act of 1940 (15 U.S.C. 80a-3);</w:t>
      </w:r>
    </w:p>
    <w:p>
      <w:pPr>
        <w:spacing w:after="0" w:line="166" w:lineRule="exact"/>
        <w:rPr>
          <w:rFonts w:ascii="Arial" w:cs="Arial" w:eastAsia="Arial" w:hAnsi="Arial"/>
          <w:sz w:val="16"/>
          <w:szCs w:val="16"/>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12" w:lineRule="exact"/>
        <w:rPr>
          <w:sz w:val="20"/>
          <w:szCs w:val="20"/>
          <w:color w:val="auto"/>
        </w:rPr>
      </w:pPr>
    </w:p>
    <w:p>
      <w:pPr>
        <w:ind w:right="2259" w:firstLine="439"/>
        <w:spacing w:after="0" w:line="268"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13" w:lineRule="exact"/>
        <w:rPr>
          <w:sz w:val="20"/>
          <w:szCs w:val="20"/>
          <w:color w:val="auto"/>
        </w:rPr>
      </w:pPr>
    </w:p>
    <w:p>
      <w:pPr>
        <w:ind w:left="820" w:hanging="407"/>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820" w:right="2159" w:firstLine="429"/>
        <w:spacing w:after="0" w:line="256" w:lineRule="auto"/>
        <w:rPr>
          <w:sz w:val="20"/>
          <w:szCs w:val="20"/>
          <w:color w:val="auto"/>
        </w:rPr>
      </w:pPr>
      <w:r>
        <w:rPr>
          <w:rFonts w:ascii="Arial" w:cs="Arial" w:eastAsia="Arial" w:hAnsi="Arial"/>
          <w:sz w:val="18"/>
          <w:szCs w:val="18"/>
          <w:color w:val="auto"/>
        </w:rPr>
        <w:t>As of the date of this filing, each Reporting Person may be deemed the beneficial owner of (i) 1,017,415 shares of Common Stock owned outright by The Riverview Group LLC, a Delaware limited liability company (“Riverview”) and (ii) 1,322,716 shares of Common Stock currently issuable to Riverview upon the exercise of certain warrants.</w:t>
      </w:r>
    </w:p>
    <w:p>
      <w:pPr>
        <w:spacing w:after="0" w:line="197" w:lineRule="exact"/>
        <w:rPr>
          <w:sz w:val="20"/>
          <w:szCs w:val="20"/>
          <w:color w:val="auto"/>
        </w:rPr>
      </w:pPr>
    </w:p>
    <w:p>
      <w:pPr>
        <w:ind w:left="820" w:right="2139" w:firstLine="483"/>
        <w:spacing w:after="0" w:line="291" w:lineRule="auto"/>
        <w:rPr>
          <w:sz w:val="20"/>
          <w:szCs w:val="20"/>
          <w:color w:val="auto"/>
        </w:rPr>
      </w:pPr>
      <w:r>
        <w:rPr>
          <w:rFonts w:ascii="Arial" w:cs="Arial" w:eastAsia="Arial" w:hAnsi="Arial"/>
          <w:sz w:val="16"/>
          <w:szCs w:val="16"/>
          <w:color w:val="auto"/>
        </w:rPr>
        <w:t>Note: The sole member of Riverview is Millennium Holding Group, L.P., a Delaware limited partnership (“Holding”). Millenium Management, LLC, a Delaware limited liability company (“Millennium Management”), is the general partner of Holding. Israel A. Englander (“Mr. Englander”) is sole managing member of Millennium Management. The foregoing should not be construed in and of itself as an admission by any of Holding, Millennium Management or Mr. Englander as to beneficial ownership of the shares owned by Riverview.</w:t>
      </w:r>
    </w:p>
    <w:p>
      <w:pPr>
        <w:spacing w:after="0" w:line="174" w:lineRule="exact"/>
        <w:rPr>
          <w:sz w:val="20"/>
          <w:szCs w:val="20"/>
          <w:color w:val="auto"/>
        </w:rPr>
      </w:pPr>
    </w:p>
    <w:p>
      <w:pPr>
        <w:jc w:val="both"/>
        <w:ind w:left="820" w:right="2519" w:firstLine="483"/>
        <w:spacing w:after="0" w:line="259" w:lineRule="auto"/>
        <w:rPr>
          <w:sz w:val="20"/>
          <w:szCs w:val="20"/>
          <w:color w:val="auto"/>
        </w:rPr>
      </w:pPr>
      <w:r>
        <w:rPr>
          <w:rFonts w:ascii="Arial" w:cs="Arial" w:eastAsia="Arial" w:hAnsi="Arial"/>
          <w:sz w:val="18"/>
          <w:szCs w:val="18"/>
          <w:color w:val="auto"/>
        </w:rPr>
        <w:t>Note: Millennium Partnership, L.P., a Cayman Islands limited partnership (“Partners”), is a limited partner of Holding. As a limited partner, Partners has no investment or voting control over Holding or it securities positions.</w:t>
      </w:r>
    </w:p>
    <w:p>
      <w:pPr>
        <w:spacing w:after="0" w:line="221" w:lineRule="exact"/>
        <w:rPr>
          <w:sz w:val="20"/>
          <w:szCs w:val="20"/>
          <w:color w:val="auto"/>
        </w:rPr>
      </w:pPr>
    </w:p>
    <w:p>
      <w:pPr>
        <w:ind w:left="820" w:hanging="407"/>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820" w:right="2319" w:firstLine="429"/>
        <w:spacing w:after="0" w:line="294" w:lineRule="auto"/>
        <w:rPr>
          <w:sz w:val="20"/>
          <w:szCs w:val="20"/>
          <w:color w:val="auto"/>
        </w:rPr>
      </w:pPr>
      <w:r>
        <w:rPr>
          <w:rFonts w:ascii="Arial" w:cs="Arial" w:eastAsia="Arial" w:hAnsi="Arial"/>
          <w:sz w:val="16"/>
          <w:szCs w:val="16"/>
          <w:color w:val="auto"/>
        </w:rPr>
        <w:t>Approximately 5.53% as of the date of this filing. (Based on the Company’s 424B2 Prospectus (the “Prospectus”) filed on December 10, 2003, (i) there were 35,969,400 shares of Common Stock issued and outstanding as of December 3, 2003 and (ii) 5,000,000 shares of Common Stock were issued pursuant to the Prospectus. In addition, Riverview owns the warrants to purchase 1,322,716 shares of Common Stock referred to in the first paragraph of Item 4(a) above.)</w:t>
      </w:r>
    </w:p>
    <w:p>
      <w:pPr>
        <w:spacing w:after="0" w:line="197" w:lineRule="exact"/>
        <w:rPr>
          <w:sz w:val="20"/>
          <w:szCs w:val="20"/>
          <w:color w:val="auto"/>
        </w:rPr>
      </w:pPr>
    </w:p>
    <w:p>
      <w:pPr>
        <w:ind w:left="820" w:hanging="407"/>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1220" w:right="6259" w:hanging="402"/>
        <w:spacing w:after="0" w:line="268" w:lineRule="auto"/>
        <w:tabs>
          <w:tab w:leader="none" w:pos="12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ectPr>
          <w:pgSz w:w="11900" w:h="16838" w:orient="portrait"/>
          <w:cols w:equalWidth="0" w:num="1">
            <w:col w:w="10219"/>
          </w:cols>
          <w:pgMar w:left="240" w:top="131" w:right="1440" w:bottom="0" w:gutter="0" w:footer="0" w:header="0"/>
        </w:sectPr>
      </w:pPr>
    </w:p>
    <w:bookmarkStart w:id="6" w:name="page7"/>
    <w:bookmarkEnd w:id="6"/>
    <w:p>
      <w:pPr>
        <w:ind w:left="1220" w:right="6079" w:hanging="402"/>
        <w:spacing w:after="0" w:line="332" w:lineRule="auto"/>
        <w:tabs>
          <w:tab w:leader="none" w:pos="1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Shared power to vote or to direct the vote 2,340,131 shares of Common Stock</w:t>
      </w:r>
    </w:p>
    <w:p>
      <w:pPr>
        <w:spacing w:after="0" w:line="166" w:lineRule="exact"/>
        <w:rPr>
          <w:rFonts w:ascii="Arial" w:cs="Arial" w:eastAsia="Arial" w:hAnsi="Arial"/>
          <w:sz w:val="16"/>
          <w:szCs w:val="16"/>
          <w:color w:val="auto"/>
        </w:rPr>
      </w:pPr>
    </w:p>
    <w:p>
      <w:pPr>
        <w:ind w:left="1220" w:right="5379" w:hanging="402"/>
        <w:spacing w:after="0" w:line="268"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12" w:lineRule="exact"/>
        <w:rPr>
          <w:rFonts w:ascii="Arial" w:cs="Arial" w:eastAsia="Arial" w:hAnsi="Arial"/>
          <w:sz w:val="18"/>
          <w:szCs w:val="18"/>
          <w:color w:val="auto"/>
        </w:rPr>
      </w:pPr>
    </w:p>
    <w:p>
      <w:pPr>
        <w:ind w:left="1220" w:right="5199" w:hanging="402"/>
        <w:spacing w:after="0" w:line="332" w:lineRule="auto"/>
        <w:tabs>
          <w:tab w:leader="none" w:pos="1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2,340,131 shares of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99" w:lineRule="exact"/>
        <w:rPr>
          <w:sz w:val="20"/>
          <w:szCs w:val="20"/>
          <w:color w:val="auto"/>
        </w:rPr>
      </w:pPr>
    </w:p>
    <w:p>
      <w:pPr>
        <w:ind w:right="2259" w:firstLine="439"/>
        <w:spacing w:after="0" w:line="332" w:lineRule="auto"/>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 beneficial owner of more than five percent of the class of securities check the following |_|.</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00" w:lineRule="exact"/>
        <w:rPr>
          <w:sz w:val="20"/>
          <w:szCs w:val="20"/>
          <w:color w:val="auto"/>
        </w:rPr>
      </w:pPr>
    </w:p>
    <w:p>
      <w:pPr>
        <w:spacing w:after="0" w:line="34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73" w:lineRule="exact"/>
        <w:rPr>
          <w:sz w:val="20"/>
          <w:szCs w:val="20"/>
          <w:color w:val="auto"/>
        </w:rPr>
      </w:pPr>
    </w:p>
    <w:p>
      <w:pPr>
        <w:ind w:left="660" w:right="2379" w:hanging="657"/>
        <w:spacing w:after="0" w:line="275"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9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342" w:lineRule="exact"/>
        <w:rPr>
          <w:sz w:val="20"/>
          <w:szCs w:val="20"/>
          <w:color w:val="auto"/>
        </w:rPr>
      </w:pPr>
    </w:p>
    <w:p>
      <w:pPr>
        <w:ind w:left="1220" w:hanging="402"/>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Riverview;</w:t>
      </w:r>
    </w:p>
    <w:p>
      <w:pPr>
        <w:spacing w:after="0" w:line="252" w:lineRule="exact"/>
        <w:rPr>
          <w:rFonts w:ascii="Arial" w:cs="Arial" w:eastAsia="Arial" w:hAnsi="Arial"/>
          <w:sz w:val="18"/>
          <w:szCs w:val="18"/>
          <w:color w:val="auto"/>
        </w:rPr>
      </w:pPr>
    </w:p>
    <w:p>
      <w:pPr>
        <w:ind w:left="1220" w:hanging="402"/>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Holding, as the sole member of Riverview;</w:t>
      </w:r>
    </w:p>
    <w:p>
      <w:pPr>
        <w:spacing w:after="0" w:line="252" w:lineRule="exact"/>
        <w:rPr>
          <w:rFonts w:ascii="Arial" w:cs="Arial" w:eastAsia="Arial" w:hAnsi="Arial"/>
          <w:sz w:val="18"/>
          <w:szCs w:val="18"/>
          <w:color w:val="auto"/>
        </w:rPr>
      </w:pPr>
    </w:p>
    <w:p>
      <w:pPr>
        <w:ind w:left="1220" w:hanging="402"/>
        <w:spacing w:after="0"/>
        <w:tabs>
          <w:tab w:leader="none" w:pos="1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Millennium Management, as the general partner and investment advisor of Holding; and</w:t>
      </w:r>
    </w:p>
    <w:p>
      <w:pPr>
        <w:spacing w:after="0" w:line="275" w:lineRule="exact"/>
        <w:rPr>
          <w:rFonts w:ascii="Arial" w:cs="Arial" w:eastAsia="Arial" w:hAnsi="Arial"/>
          <w:sz w:val="16"/>
          <w:szCs w:val="16"/>
          <w:color w:val="auto"/>
        </w:rPr>
      </w:pPr>
    </w:p>
    <w:p>
      <w:pPr>
        <w:ind w:left="1220" w:hanging="402"/>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Englander, as the sole managing member of Millenium Management.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0" w:lineRule="exact"/>
        <w:rPr>
          <w:sz w:val="20"/>
          <w:szCs w:val="20"/>
          <w:color w:val="auto"/>
        </w:rPr>
      </w:pPr>
    </w:p>
    <w:p>
      <w:pPr>
        <w:spacing w:after="0" w:line="34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00" w:lineRule="exact"/>
        <w:rPr>
          <w:sz w:val="20"/>
          <w:szCs w:val="20"/>
          <w:color w:val="auto"/>
        </w:rPr>
      </w:pPr>
    </w:p>
    <w:p>
      <w:pPr>
        <w:spacing w:after="0" w:line="342" w:lineRule="exact"/>
        <w:rPr>
          <w:sz w:val="20"/>
          <w:szCs w:val="20"/>
          <w:color w:val="auto"/>
        </w:rPr>
      </w:pPr>
    </w:p>
    <w:p>
      <w:pPr>
        <w:ind w:left="820" w:hanging="407"/>
        <w:spacing w:after="0"/>
        <w:tabs>
          <w:tab w:leader="none" w:pos="8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following certification shall be included if the statement is filed pursuant to §240.13d-1(b):</w:t>
      </w:r>
    </w:p>
    <w:p>
      <w:pPr>
        <w:spacing w:after="0" w:line="275" w:lineRule="exact"/>
        <w:rPr>
          <w:rFonts w:ascii="Arial" w:cs="Arial" w:eastAsia="Arial" w:hAnsi="Arial"/>
          <w:sz w:val="16"/>
          <w:szCs w:val="16"/>
          <w:color w:val="auto"/>
        </w:rPr>
      </w:pPr>
    </w:p>
    <w:p>
      <w:pPr>
        <w:ind w:left="820" w:right="2139"/>
        <w:spacing w:after="0" w:line="255" w:lineRule="auto"/>
        <w:rPr>
          <w:rFonts w:ascii="Arial" w:cs="Arial" w:eastAsia="Arial" w:hAnsi="Arial"/>
          <w:sz w:val="16"/>
          <w:szCs w:val="16"/>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23" w:lineRule="exact"/>
        <w:rPr>
          <w:rFonts w:ascii="Arial" w:cs="Arial" w:eastAsia="Arial" w:hAnsi="Arial"/>
          <w:sz w:val="16"/>
          <w:szCs w:val="16"/>
          <w:color w:val="auto"/>
        </w:rPr>
      </w:pPr>
    </w:p>
    <w:p>
      <w:pPr>
        <w:ind w:left="820" w:hanging="407"/>
        <w:spacing w:after="0"/>
        <w:tabs>
          <w:tab w:leader="none" w:pos="8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following certification shall be included if the statement is filed pursuant to §240.13d-1(c):</w:t>
      </w:r>
    </w:p>
    <w:p>
      <w:pPr>
        <w:spacing w:after="0" w:line="275" w:lineRule="exact"/>
        <w:rPr>
          <w:rFonts w:ascii="Arial" w:cs="Arial" w:eastAsia="Arial" w:hAnsi="Arial"/>
          <w:sz w:val="16"/>
          <w:szCs w:val="16"/>
          <w:color w:val="auto"/>
        </w:rPr>
      </w:pPr>
    </w:p>
    <w:p>
      <w:pPr>
        <w:ind w:left="820" w:right="2179"/>
        <w:spacing w:after="0" w:line="298" w:lineRule="auto"/>
        <w:rPr>
          <w:rFonts w:ascii="Arial" w:cs="Arial" w:eastAsia="Arial" w:hAnsi="Arial"/>
          <w:sz w:val="16"/>
          <w:szCs w:val="16"/>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ectPr>
          <w:pgSz w:w="11900" w:h="16838" w:orient="portrait"/>
          <w:cols w:equalWidth="0" w:num="1">
            <w:col w:w="10219"/>
          </w:cols>
          <w:pgMar w:left="240" w:top="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SIGNATURE</w:t>
      </w:r>
    </w:p>
    <w:p>
      <w:pPr>
        <w:sectPr>
          <w:pgSz w:w="11900" w:h="16838" w:orient="portrait"/>
          <w:cols w:equalWidth="0" w:num="1">
            <w:col w:w="10219"/>
          </w:cols>
          <w:pgMar w:left="240" w:top="131" w:right="1440" w:bottom="0" w:gutter="0" w:footer="0" w:header="0"/>
          <w:type w:val="continuous"/>
        </w:sectPr>
      </w:pPr>
    </w:p>
    <w:bookmarkStart w:id="7" w:name="page8"/>
    <w:bookmarkEnd w:id="7"/>
    <w:p>
      <w:pPr>
        <w:ind w:right="2179" w:firstLine="341"/>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2004</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THE RIVERVIEW GROUP, LLC</w:t>
            </w:r>
          </w:p>
        </w:tc>
        <w:tc>
          <w:tcPr>
            <w:tcW w:w="3760" w:type="dxa"/>
            <w:vAlign w:val="bottom"/>
            <w:gridSpan w:val="2"/>
          </w:tcPr>
          <w:p>
            <w:pPr>
              <w:ind w:left="800"/>
              <w:spacing w:after="0"/>
              <w:rPr>
                <w:sz w:val="20"/>
                <w:szCs w:val="20"/>
                <w:color w:val="auto"/>
              </w:rPr>
            </w:pPr>
            <w:r>
              <w:rPr>
                <w:rFonts w:ascii="Arial" w:cs="Arial" w:eastAsia="Arial" w:hAnsi="Arial"/>
                <w:sz w:val="18"/>
                <w:szCs w:val="18"/>
                <w:color w:val="auto"/>
                <w:w w:val="94"/>
              </w:rPr>
              <w:t>MILLENNIUM HOLDING GROUP, L.P.</w:t>
            </w:r>
          </w:p>
        </w:tc>
      </w:tr>
      <w:tr>
        <w:trPr>
          <w:trHeight w:val="426"/>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Pr>
          <w:p>
            <w:pPr>
              <w:ind w:left="80"/>
              <w:spacing w:after="0"/>
              <w:rPr>
                <w:sz w:val="20"/>
                <w:szCs w:val="20"/>
                <w:color w:val="auto"/>
              </w:rPr>
            </w:pPr>
            <w:r>
              <w:rPr>
                <w:rFonts w:ascii="Arial" w:cs="Arial" w:eastAsia="Arial" w:hAnsi="Arial"/>
                <w:sz w:val="18"/>
                <w:szCs w:val="18"/>
                <w:color w:val="auto"/>
              </w:rPr>
              <w:t>Millennium Holding Group, L.P.,</w:t>
            </w:r>
          </w:p>
        </w:tc>
        <w:tc>
          <w:tcPr>
            <w:tcW w:w="1140" w:type="dxa"/>
            <w:vAlign w:val="bottom"/>
          </w:tcPr>
          <w:p>
            <w:pPr>
              <w:ind w:left="800"/>
              <w:spacing w:after="0"/>
              <w:rPr>
                <w:sz w:val="20"/>
                <w:szCs w:val="20"/>
                <w:color w:val="auto"/>
              </w:rPr>
            </w:pPr>
            <w:r>
              <w:rPr>
                <w:rFonts w:ascii="Arial" w:cs="Arial" w:eastAsia="Arial" w:hAnsi="Arial"/>
                <w:sz w:val="18"/>
                <w:szCs w:val="18"/>
                <w:color w:val="auto"/>
              </w:rPr>
              <w:t>By:</w:t>
            </w:r>
          </w:p>
        </w:tc>
        <w:tc>
          <w:tcPr>
            <w:tcW w:w="2620" w:type="dxa"/>
            <w:vAlign w:val="bottom"/>
          </w:tcPr>
          <w:p>
            <w:pPr>
              <w:ind w:left="80"/>
              <w:spacing w:after="0"/>
              <w:rPr>
                <w:sz w:val="20"/>
                <w:szCs w:val="20"/>
                <w:color w:val="auto"/>
              </w:rPr>
            </w:pPr>
            <w:r>
              <w:rPr>
                <w:rFonts w:ascii="Arial" w:cs="Arial" w:eastAsia="Arial" w:hAnsi="Arial"/>
                <w:sz w:val="18"/>
                <w:szCs w:val="18"/>
                <w:color w:val="auto"/>
              </w:rPr>
              <w:t>Millennium Management, LLC</w:t>
            </w:r>
          </w:p>
        </w:tc>
      </w:tr>
      <w:tr>
        <w:trPr>
          <w:trHeight w:val="222"/>
        </w:trPr>
        <w:tc>
          <w:tcPr>
            <w:tcW w:w="340" w:type="dxa"/>
            <w:vAlign w:val="bottom"/>
          </w:tcPr>
          <w:p>
            <w:pPr>
              <w:spacing w:after="0"/>
              <w:rPr>
                <w:sz w:val="19"/>
                <w:szCs w:val="19"/>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its sole member</w:t>
            </w:r>
          </w:p>
        </w:tc>
        <w:tc>
          <w:tcPr>
            <w:tcW w:w="1140" w:type="dxa"/>
            <w:vAlign w:val="bottom"/>
          </w:tcPr>
          <w:p>
            <w:pPr>
              <w:spacing w:after="0"/>
              <w:rPr>
                <w:sz w:val="19"/>
                <w:szCs w:val="19"/>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its general partner</w:t>
            </w:r>
          </w:p>
        </w:tc>
      </w:tr>
      <w:tr>
        <w:trPr>
          <w:trHeight w:val="64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Pr>
          <w:p>
            <w:pPr>
              <w:ind w:left="80"/>
              <w:spacing w:after="0"/>
              <w:rPr>
                <w:sz w:val="20"/>
                <w:szCs w:val="20"/>
                <w:color w:val="auto"/>
              </w:rPr>
            </w:pPr>
            <w:r>
              <w:rPr>
                <w:rFonts w:ascii="Arial" w:cs="Arial" w:eastAsia="Arial" w:hAnsi="Arial"/>
                <w:sz w:val="18"/>
                <w:szCs w:val="18"/>
                <w:color w:val="auto"/>
              </w:rPr>
              <w:t>Millennium Management, LLC</w:t>
            </w:r>
          </w:p>
        </w:tc>
        <w:tc>
          <w:tcPr>
            <w:tcW w:w="1140" w:type="dxa"/>
            <w:vAlign w:val="bottom"/>
          </w:tcPr>
          <w:p>
            <w:pPr>
              <w:ind w:left="800"/>
              <w:spacing w:after="0"/>
              <w:rPr>
                <w:sz w:val="20"/>
                <w:szCs w:val="20"/>
                <w:color w:val="auto"/>
              </w:rPr>
            </w:pPr>
            <w:r>
              <w:rPr>
                <w:rFonts w:ascii="Arial" w:cs="Arial" w:eastAsia="Arial" w:hAnsi="Arial"/>
                <w:sz w:val="18"/>
                <w:szCs w:val="18"/>
                <w:color w:val="auto"/>
              </w:rPr>
              <w:t>By:</w:t>
            </w:r>
          </w:p>
        </w:tc>
        <w:tc>
          <w:tcPr>
            <w:tcW w:w="2620" w:type="dxa"/>
            <w:vAlign w:val="bottom"/>
          </w:tcPr>
          <w:p>
            <w:pPr>
              <w:ind w:left="80"/>
              <w:spacing w:after="0"/>
              <w:rPr>
                <w:sz w:val="20"/>
                <w:szCs w:val="20"/>
                <w:color w:val="auto"/>
              </w:rPr>
            </w:pPr>
            <w:r>
              <w:rPr>
                <w:rFonts w:ascii="Arial" w:cs="Arial" w:eastAsia="Arial" w:hAnsi="Arial"/>
                <w:sz w:val="18"/>
                <w:szCs w:val="18"/>
                <w:color w:val="auto"/>
              </w:rPr>
              <w:t>/s/ Israel A. Englander</w:t>
            </w:r>
          </w:p>
        </w:tc>
      </w:tr>
      <w:tr>
        <w:trPr>
          <w:trHeight w:val="216"/>
        </w:trPr>
        <w:tc>
          <w:tcPr>
            <w:tcW w:w="3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its general partner</w:t>
            </w:r>
          </w:p>
        </w:tc>
        <w:tc>
          <w:tcPr>
            <w:tcW w:w="114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Name: Israel A. Englander</w:t>
            </w:r>
          </w:p>
        </w:tc>
      </w:tr>
      <w:tr>
        <w:trPr>
          <w:trHeight w:val="222"/>
        </w:trPr>
        <w:tc>
          <w:tcPr>
            <w:tcW w:w="3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Title: Managing Member</w:t>
            </w:r>
          </w:p>
        </w:tc>
      </w:tr>
      <w:tr>
        <w:trPr>
          <w:trHeight w:val="45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Pr>
          <w:p>
            <w:pPr>
              <w:ind w:left="80"/>
              <w:spacing w:after="0"/>
              <w:rPr>
                <w:sz w:val="20"/>
                <w:szCs w:val="20"/>
                <w:color w:val="auto"/>
              </w:rPr>
            </w:pPr>
            <w:r>
              <w:rPr>
                <w:rFonts w:ascii="Arial" w:cs="Arial" w:eastAsia="Arial" w:hAnsi="Arial"/>
                <w:sz w:val="18"/>
                <w:szCs w:val="18"/>
                <w:color w:val="auto"/>
              </w:rPr>
              <w:t>/s/ Terry Feeney</w:t>
            </w:r>
          </w:p>
        </w:tc>
        <w:tc>
          <w:tcPr>
            <w:tcW w:w="11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Name: Terry Feeney</w:t>
            </w:r>
          </w:p>
        </w:tc>
        <w:tc>
          <w:tcPr>
            <w:tcW w:w="114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22"/>
        </w:trPr>
        <w:tc>
          <w:tcPr>
            <w:tcW w:w="340" w:type="dxa"/>
            <w:vAlign w:val="bottom"/>
          </w:tcPr>
          <w:p>
            <w:pPr>
              <w:spacing w:after="0"/>
              <w:rPr>
                <w:sz w:val="19"/>
                <w:szCs w:val="19"/>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Title: Chief Operating Officer</w:t>
            </w:r>
          </w:p>
        </w:tc>
        <w:tc>
          <w:tcPr>
            <w:tcW w:w="114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648"/>
        </w:trPr>
        <w:tc>
          <w:tcPr>
            <w:tcW w:w="3660" w:type="dxa"/>
            <w:vAlign w:val="bottom"/>
            <w:gridSpan w:val="2"/>
          </w:tcPr>
          <w:p>
            <w:pPr>
              <w:spacing w:after="0"/>
              <w:rPr>
                <w:sz w:val="20"/>
                <w:szCs w:val="20"/>
                <w:color w:val="auto"/>
              </w:rPr>
            </w:pPr>
            <w:r>
              <w:rPr>
                <w:rFonts w:ascii="Arial" w:cs="Arial" w:eastAsia="Arial" w:hAnsi="Arial"/>
                <w:sz w:val="18"/>
                <w:szCs w:val="18"/>
                <w:color w:val="auto"/>
              </w:rPr>
              <w:t>MILLENNIUM MANAGEMENT, LLC</w:t>
            </w:r>
          </w:p>
        </w:tc>
        <w:tc>
          <w:tcPr>
            <w:tcW w:w="11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26"/>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Pr>
          <w:p>
            <w:pPr>
              <w:ind w:left="80"/>
              <w:spacing w:after="0"/>
              <w:rPr>
                <w:sz w:val="20"/>
                <w:szCs w:val="20"/>
                <w:color w:val="auto"/>
              </w:rPr>
            </w:pPr>
            <w:r>
              <w:rPr>
                <w:rFonts w:ascii="Arial" w:cs="Arial" w:eastAsia="Arial" w:hAnsi="Arial"/>
                <w:sz w:val="18"/>
                <w:szCs w:val="18"/>
                <w:color w:val="auto"/>
              </w:rPr>
              <w:t>/s/ Israel A. Englander</w:t>
            </w:r>
          </w:p>
        </w:tc>
        <w:tc>
          <w:tcPr>
            <w:tcW w:w="1140" w:type="dxa"/>
            <w:vAlign w:val="bottom"/>
          </w:tcPr>
          <w:p>
            <w:pPr>
              <w:spacing w:after="0"/>
              <w:rPr>
                <w:sz w:val="24"/>
                <w:szCs w:val="24"/>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/s/ Israel A. Englander</w:t>
            </w:r>
          </w:p>
        </w:tc>
      </w:tr>
      <w:tr>
        <w:trPr>
          <w:trHeight w:val="216"/>
        </w:trPr>
        <w:tc>
          <w:tcPr>
            <w:tcW w:w="3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Name: Israel A. Englander</w:t>
            </w:r>
          </w:p>
        </w:tc>
        <w:tc>
          <w:tcPr>
            <w:tcW w:w="114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Israel A. Englander</w:t>
            </w:r>
          </w:p>
        </w:tc>
      </w:tr>
      <w:tr>
        <w:trPr>
          <w:trHeight w:val="222"/>
        </w:trPr>
        <w:tc>
          <w:tcPr>
            <w:tcW w:w="340" w:type="dxa"/>
            <w:vAlign w:val="bottom"/>
          </w:tcPr>
          <w:p>
            <w:pPr>
              <w:spacing w:after="0"/>
              <w:rPr>
                <w:sz w:val="19"/>
                <w:szCs w:val="19"/>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Title: Managing Member</w:t>
            </w:r>
          </w:p>
        </w:tc>
        <w:tc>
          <w:tcPr>
            <w:tcW w:w="114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119"/>
        <w:spacing w:after="0" w:line="291" w:lineRule="auto"/>
        <w:rPr>
          <w:sz w:val="20"/>
          <w:szCs w:val="20"/>
          <w:color w:val="auto"/>
        </w:rPr>
      </w:pPr>
      <w:r>
        <w:rPr>
          <w:rFonts w:ascii="Arial" w:cs="Arial" w:eastAsia="Arial" w:hAnsi="Arial"/>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74" w:lineRule="exact"/>
        <w:rPr>
          <w:sz w:val="20"/>
          <w:szCs w:val="20"/>
          <w:color w:val="auto"/>
        </w:rPr>
      </w:pPr>
    </w:p>
    <w:p>
      <w:pPr>
        <w:ind w:right="2139"/>
        <w:spacing w:after="0" w:line="268"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exhibits. </w:t>
      </w:r>
      <w:r>
        <w:rPr>
          <w:rFonts w:ascii="Arial" w:cs="Arial" w:eastAsia="Arial" w:hAnsi="Arial"/>
          <w:sz w:val="18"/>
          <w:szCs w:val="18"/>
          <w:i w:val="1"/>
          <w:iCs w:val="1"/>
          <w:color w:val="auto"/>
        </w:rPr>
        <w:t>See</w:t>
      </w:r>
      <w:r>
        <w:rPr>
          <w:rFonts w:ascii="Arial" w:cs="Arial" w:eastAsia="Arial" w:hAnsi="Arial"/>
          <w:sz w:val="18"/>
          <w:szCs w:val="18"/>
          <w:color w:val="auto"/>
        </w:rPr>
        <w:t xml:space="preserve"> §240.13d-7 for other parties for whom copies are to be sent.</w:t>
      </w:r>
    </w:p>
    <w:p>
      <w:pPr>
        <w:spacing w:after="0" w:line="207" w:lineRule="exact"/>
        <w:rPr>
          <w:sz w:val="20"/>
          <w:szCs w:val="20"/>
          <w:color w:val="auto"/>
        </w:rPr>
      </w:pPr>
    </w:p>
    <w:p>
      <w:pPr>
        <w:ind w:left="820" w:right="3139" w:hanging="809"/>
        <w:spacing w:after="0" w:line="275" w:lineRule="auto"/>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Page 8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3"/>
    </w:lvl>
  </w:abstractNum>
  <w:abstractNum w:abstractNumId="3">
    <w:nsid w:val="519B500D"/>
    <w:multiLevelType w:val="hybridMultilevel"/>
    <w:lvl w:ilvl="0">
      <w:lvlJc w:val="left"/>
      <w:lvlText w:val="%1"/>
      <w:numFmt w:val="decimal"/>
      <w:start w:val="1"/>
    </w:lvl>
    <w:lvl w:ilvl="1">
      <w:lvlJc w:val="left"/>
      <w:lvlText w:val="%2."/>
      <w:numFmt w:val="decimal"/>
      <w:start w:val="8"/>
    </w:lvl>
  </w:abstractNum>
  <w:abstractNum w:abstractNumId="4">
    <w:nsid w:val="431BD7B7"/>
    <w:multiLevelType w:val="hybridMultilevel"/>
    <w:lvl w:ilvl="0">
      <w:lvlJc w:val="left"/>
      <w:lvlText w:val="%1."/>
      <w:numFmt w:val="decimal"/>
      <w:start w:val="9"/>
    </w:lvl>
    <w:lvl w:ilvl="1">
      <w:lvlJc w:val="left"/>
      <w:lvlText w:val="%2"/>
      <w:numFmt w:val="decimal"/>
      <w:start w:val="1"/>
    </w:lvl>
  </w:abstractNum>
  <w:abstractNum w:abstractNumId="5">
    <w:nsid w:val="3F2DBA31"/>
    <w:multiLevelType w:val="hybridMultilevel"/>
    <w:lvl w:ilvl="0">
      <w:lvlJc w:val="left"/>
      <w:lvlText w:val="%1."/>
      <w:numFmt w:val="decimal"/>
      <w:start w:val="1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3"/>
    </w:lvl>
  </w:abstractNum>
  <w:abstractNum w:abstractNumId="8">
    <w:nsid w:val="62BBD95A"/>
    <w:multiLevelType w:val="hybridMultilevel"/>
    <w:lvl w:ilvl="0">
      <w:lvlJc w:val="left"/>
      <w:lvlText w:val="%1."/>
      <w:numFmt w:val="decimal"/>
      <w:start w:val="4"/>
    </w:lvl>
  </w:abstractNum>
  <w:abstractNum w:abstractNumId="9">
    <w:nsid w:val="436C6125"/>
    <w:multiLevelType w:val="hybridMultilevel"/>
    <w:lvl w:ilvl="0">
      <w:lvlJc w:val="left"/>
      <w:lvlText w:val="%1"/>
      <w:numFmt w:val="decimal"/>
      <w:start w:val="1"/>
    </w:lvl>
    <w:lvl w:ilvl="1">
      <w:lvlJc w:val="left"/>
      <w:lvlText w:val="%2."/>
      <w:numFmt w:val="decimal"/>
      <w:start w:val="8"/>
    </w:lvl>
  </w:abstractNum>
  <w:abstractNum w:abstractNumId="10">
    <w:nsid w:val="628C895D"/>
    <w:multiLevelType w:val="hybridMultilevel"/>
    <w:lvl w:ilvl="0">
      <w:lvlJc w:val="left"/>
      <w:lvlText w:val="%1."/>
      <w:numFmt w:val="decimal"/>
      <w:start w:val="9"/>
    </w:lvl>
    <w:lvl w:ilvl="1">
      <w:lvlJc w:val="left"/>
      <w:lvlText w:val="%2"/>
      <w:numFmt w:val="decimal"/>
      <w:start w:val="1"/>
    </w:lvl>
  </w:abstractNum>
  <w:abstractNum w:abstractNumId="11">
    <w:nsid w:val="333AB105"/>
    <w:multiLevelType w:val="hybridMultilevel"/>
    <w:lvl w:ilvl="0">
      <w:lvlJc w:val="left"/>
      <w:lvlText w:val="%1."/>
      <w:numFmt w:val="decimal"/>
      <w:start w:val="1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3"/>
    </w:lvl>
  </w:abstractNum>
  <w:abstractNum w:abstractNumId="14">
    <w:nsid w:val="2D1D5AE9"/>
    <w:multiLevelType w:val="hybridMultilevel"/>
    <w:lvl w:ilvl="0">
      <w:lvlJc w:val="left"/>
      <w:lvlText w:val="%1"/>
      <w:numFmt w:val="decimal"/>
      <w:start w:val="1"/>
    </w:lvl>
    <w:lvl w:ilvl="1">
      <w:lvlJc w:val="left"/>
      <w:lvlText w:val="%2."/>
      <w:numFmt w:val="decimal"/>
      <w:start w:val="8"/>
    </w:lvl>
  </w:abstractNum>
  <w:abstractNum w:abstractNumId="15">
    <w:nsid w:val="6763845E"/>
    <w:multiLevelType w:val="hybridMultilevel"/>
    <w:lvl w:ilvl="0">
      <w:lvlJc w:val="left"/>
      <w:lvlText w:val="%1."/>
      <w:numFmt w:val="decimal"/>
      <w:start w:val="9"/>
    </w:lvl>
    <w:lvl w:ilvl="1">
      <w:lvlJc w:val="left"/>
      <w:lvlText w:val="%2"/>
      <w:numFmt w:val="decimal"/>
      <w:start w:val="1"/>
    </w:lvl>
  </w:abstractNum>
  <w:abstractNum w:abstractNumId="16">
    <w:nsid w:val="75A2A8D4"/>
    <w:multiLevelType w:val="hybridMultilevel"/>
    <w:lvl w:ilvl="0">
      <w:lvlJc w:val="left"/>
      <w:lvlText w:val="%1."/>
      <w:numFmt w:val="decimal"/>
      <w:start w:val="1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3"/>
    </w:lvl>
  </w:abstractNum>
  <w:abstractNum w:abstractNumId="19">
    <w:nsid w:val="4353D0CD"/>
    <w:multiLevelType w:val="hybridMultilevel"/>
    <w:lvl w:ilvl="0">
      <w:lvlJc w:val="left"/>
      <w:lvlText w:val="%1"/>
      <w:numFmt w:val="decimal"/>
      <w:start w:val="1"/>
    </w:lvl>
    <w:lvl w:ilvl="1">
      <w:lvlJc w:val="left"/>
      <w:lvlText w:val="%2."/>
      <w:numFmt w:val="decimal"/>
      <w:start w:val="8"/>
    </w:lvl>
  </w:abstractNum>
  <w:abstractNum w:abstractNumId="20">
    <w:nsid w:val="B03E0C6"/>
    <w:multiLevelType w:val="hybridMultilevel"/>
    <w:lvl w:ilvl="0">
      <w:lvlJc w:val="left"/>
      <w:lvlText w:val="%1."/>
      <w:numFmt w:val="decimal"/>
      <w:start w:val="9"/>
    </w:lvl>
    <w:lvl w:ilvl="1">
      <w:lvlJc w:val="left"/>
      <w:lvlText w:val="%2"/>
      <w:numFmt w:val="decimal"/>
      <w:start w:val="1"/>
    </w:lvl>
  </w:abstractNum>
  <w:abstractNum w:abstractNumId="21">
    <w:nsid w:val="189A769B"/>
    <w:multiLevelType w:val="hybridMultilevel"/>
    <w:lvl w:ilvl="0">
      <w:lvlJc w:val="left"/>
      <w:lvlText w:val="%1."/>
      <w:numFmt w:val="decimal"/>
      <w:start w:val="1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2"/>
    </w:lvl>
  </w:abstractNum>
  <w:abstractNum w:abstractNumId="27">
    <w:nsid w:val="3A95F874"/>
    <w:multiLevelType w:val="hybridMultilevel"/>
    <w:lvl w:ilvl="0">
      <w:lvlJc w:val="left"/>
      <w:lvlText w:val="(%1)"/>
      <w:numFmt w:val="lowerLetter"/>
      <w:start w:val="3"/>
    </w:lvl>
    <w:lvl w:ilvl="1">
      <w:lvlJc w:val="left"/>
      <w:lvlText w:val="(%2)"/>
      <w:numFmt w:val="lowerRoman"/>
      <w:start w:val="1"/>
    </w:lvl>
  </w:abstractNum>
  <w:abstractNum w:abstractNumId="28">
    <w:nsid w:val="8138641"/>
    <w:multiLevelType w:val="hybridMultilevel"/>
    <w:lvl w:ilvl="0">
      <w:lvlJc w:val="left"/>
      <w:lvlText w:val="(%1)"/>
      <w:numFmt w:val="lowerRoman"/>
      <w:start w:val="2"/>
    </w:lvl>
  </w:abstractNum>
  <w:abstractNum w:abstractNumId="29">
    <w:nsid w:val="1E7FF521"/>
    <w:multiLevelType w:val="hybridMultilevel"/>
    <w:lvl w:ilvl="0">
      <w:lvlJc w:val="left"/>
      <w:lvlText w:val="(%1)"/>
      <w:numFmt w:val="lowerRoman"/>
      <w:start w:val="1"/>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2019-12-13T21:00:12Z</dcterms:created>
  <dcterms:modified xsi:type="dcterms:W3CDTF">2019-12-13T21:00:12Z</dcterms:modified>
</cp:coreProperties>
</file>