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14, 2023</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333-273207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ind w:left="4780"/>
        <w:spacing w:after="0"/>
        <w:rPr>
          <w:sz w:val="20"/>
          <w:szCs w:val="20"/>
          <w:color w:val="auto"/>
        </w:rPr>
      </w:pPr>
      <w:r>
        <w:rPr>
          <w:rFonts w:ascii="Arial" w:cs="Arial" w:eastAsia="Arial" w:hAnsi="Arial"/>
          <w:sz w:val="22"/>
          <w:szCs w:val="22"/>
          <w:b w:val="1"/>
          <w:bCs w:val="1"/>
          <w:color w:val="auto"/>
        </w:rPr>
        <w:t>Amendment No. 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32"/>
          <w:szCs w:val="32"/>
          <w:b w:val="1"/>
          <w:bCs w:val="1"/>
          <w:color w:val="auto"/>
        </w:rPr>
        <w:t>FORM S-1</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8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9"/>
              </w:rPr>
              <w:t>2836</w:t>
            </w:r>
          </w:p>
        </w:tc>
        <w:tc>
          <w:tcPr>
            <w:tcW w:w="38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1"/>
              </w:rPr>
              <w:t>94-3078125</w:t>
            </w:r>
          </w:p>
        </w:tc>
      </w:tr>
      <w:tr>
        <w:trPr>
          <w:trHeight w:val="202"/>
        </w:trPr>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(Primary Standard Industrial</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60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Classification Code Number)</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288 Grove Street, Suite 388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Braintree, MA 02184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(908) 967-6677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Harel Gadot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President and Chairman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288 Grove Street, Suite 388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Braintree, MA 02184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(908) 967-6677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Stephen E. Fox,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Ruskin Moscou Faltischek, PC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1425 RXR Plaza</w:t>
      </w:r>
    </w:p>
    <w:p>
      <w:pPr>
        <w:jc w:val="center"/>
        <w:spacing w:after="0" w:line="192" w:lineRule="auto"/>
        <w:rPr>
          <w:sz w:val="20"/>
          <w:szCs w:val="20"/>
          <w:color w:val="auto"/>
        </w:rPr>
      </w:pPr>
      <w:r>
        <w:rPr>
          <w:rFonts w:ascii="Arial" w:cs="Arial" w:eastAsia="Arial" w:hAnsi="Arial"/>
          <w:sz w:val="18"/>
          <w:szCs w:val="18"/>
          <w:color w:val="auto"/>
        </w:rPr>
        <w:t>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East Tower</w:t>
      </w:r>
    </w:p>
    <w:p>
      <w:pPr>
        <w:jc w:val="center"/>
        <w:spacing w:after="0"/>
        <w:rPr>
          <w:sz w:val="20"/>
          <w:szCs w:val="20"/>
          <w:color w:val="auto"/>
        </w:rPr>
      </w:pPr>
      <w:r>
        <w:rPr>
          <w:rFonts w:ascii="Arial" w:cs="Arial" w:eastAsia="Arial" w:hAnsi="Arial"/>
          <w:sz w:val="18"/>
          <w:szCs w:val="18"/>
          <w:color w:val="auto"/>
        </w:rPr>
        <w:t>Uniondale, NY 11556</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(516) 663-6600</w:t>
      </w:r>
    </w:p>
    <w:p>
      <w:pPr>
        <w:spacing w:after="0" w:line="207" w:lineRule="exact"/>
        <w:rPr>
          <w:sz w:val="24"/>
          <w:szCs w:val="24"/>
          <w:color w:val="auto"/>
        </w:rPr>
      </w:pPr>
    </w:p>
    <w:p>
      <w:pPr>
        <w:ind w:left="340"/>
        <w:spacing w:after="0"/>
        <w:rPr>
          <w:sz w:val="20"/>
          <w:szCs w:val="20"/>
          <w:color w:val="auto"/>
        </w:rPr>
      </w:pPr>
      <w:r>
        <w:rPr>
          <w:rFonts w:ascii="Arial" w:cs="Arial" w:eastAsia="Arial" w:hAnsi="Arial"/>
          <w:sz w:val="17"/>
          <w:szCs w:val="17"/>
          <w:b w:val="1"/>
          <w:bCs w:val="1"/>
          <w:color w:val="auto"/>
        </w:rPr>
        <w:t>Approximate date of commencement of proposed sale to the public</w:t>
      </w:r>
      <w:r>
        <w:rPr>
          <w:rFonts w:ascii="Arial" w:cs="Arial" w:eastAsia="Arial" w:hAnsi="Arial"/>
          <w:sz w:val="17"/>
          <w:szCs w:val="17"/>
          <w:color w:val="auto"/>
        </w:rPr>
        <w:t>: From time to time after the effective date of this registration statement.</w:t>
      </w:r>
    </w:p>
    <w:p>
      <w:pPr>
        <w:spacing w:after="0" w:line="241" w:lineRule="exact"/>
        <w:rPr>
          <w:sz w:val="24"/>
          <w:szCs w:val="24"/>
          <w:color w:val="auto"/>
        </w:rPr>
      </w:pPr>
    </w:p>
    <w:p>
      <w:pPr>
        <w:jc w:val="both"/>
        <w:ind w:firstLine="330"/>
        <w:spacing w:after="0" w:line="238"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jc w:val="both"/>
        <w:ind w:firstLine="330"/>
        <w:spacing w:after="0" w:line="238"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4" w:lineRule="exact"/>
        <w:rPr>
          <w:sz w:val="24"/>
          <w:szCs w:val="24"/>
          <w:color w:val="auto"/>
        </w:rPr>
      </w:pPr>
    </w:p>
    <w:p>
      <w:pPr>
        <w:jc w:val="both"/>
        <w:ind w:firstLine="330"/>
        <w:spacing w:after="0" w:line="238"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4" w:lineRule="exact"/>
        <w:rPr>
          <w:sz w:val="24"/>
          <w:szCs w:val="24"/>
          <w:color w:val="auto"/>
        </w:rPr>
      </w:pPr>
    </w:p>
    <w:p>
      <w:pPr>
        <w:jc w:val="both"/>
        <w:ind w:firstLine="330"/>
        <w:spacing w:after="0" w:line="238"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4"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5" w:right="339" w:bottom="851" w:gutter="0" w:footer="0" w:header="0"/>
        </w:sectPr>
      </w:pPr>
    </w:p>
    <w:p>
      <w:pPr>
        <w:spacing w:after="0" w:line="13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9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00" w:space="720"/>
            <w:col w:w="5620"/>
          </w:cols>
          <w:pgMar w:left="320" w:top="445" w:right="339" w:bottom="851" w:gutter="0" w:footer="0" w:header="0"/>
          <w:type w:val="continuous"/>
        </w:sectPr>
      </w:pPr>
    </w:p>
    <w:p>
      <w:pPr>
        <w:spacing w:after="0" w:line="32"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851"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all costs and expenses paid or payable by us in connection with the sale of the common stock being registered. None of these costs or expenses will be borne by the selling stockholders. All amounts shown are estimates except for the Securities and Exchange Commission, or “SEC,” registration fee.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Amount Paid</w:t>
            </w:r>
          </w:p>
        </w:tc>
      </w:tr>
      <w:tr>
        <w:trPr>
          <w:trHeight w:val="241"/>
        </w:trPr>
        <w:tc>
          <w:tcPr>
            <w:tcW w:w="9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or to be Paid</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692.71</w:t>
            </w: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Printing expenses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1,000.00*</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10,000.00*</w:t>
            </w:r>
          </w:p>
        </w:tc>
      </w:tr>
      <w:tr>
        <w:trPr>
          <w:trHeight w:val="25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2,307.29*</w:t>
            </w:r>
          </w:p>
        </w:tc>
      </w:tr>
      <w:tr>
        <w:trPr>
          <w:trHeight w:val="217"/>
        </w:trPr>
        <w:tc>
          <w:tcPr>
            <w:tcW w:w="90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24,000.00</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4"/>
              </w:rPr>
              <w:t>*</w:t>
            </w:r>
          </w:p>
        </w:tc>
      </w:tr>
      <w:tr>
        <w:trPr>
          <w:trHeight w:val="20"/>
        </w:trPr>
        <w:tc>
          <w:tcPr>
            <w:tcW w:w="9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as permitted under Item 511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Section 145 of the Delaware General Corporation Law (“DGCL”) permits, in general, a Delaware corporation, to indemnify any person who was or is a party to any proceeding (other than an action by, or in the right of, the corporation) by reason of the fact that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any underwriting agreement we enter into in connection with the sale of common stock being registered hereby, the underwriter will agree to indemnify, under certain conditions, us, our directors, our officers and persons who control us within the meaning of the Securities Act of 1933, as amended, against certain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18, 2020, 14,685 outstanding warrants of the Company at an exercise price per share of $8.125, were exercised on a “net exercise” or “cashless” basis into 4,873 shares of common stock. The issuances of the 4,873 shares of common stock were exempt from registration under Section 4(a)(2) under the Securities Act of 1933, as amended and the rules promulgated thereunder (the “Securities Act”) as a transaction not involving a public offering to a single investor, and/or 3(a)(9) under the Securities Act.</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25, 2022, the Company sold in a private placement and issued to an investor (i) Series A preferred investment options to purchase up to 1,022,495 shares of Common Stock (the “Series A Warrants”) at an exercise price of $4.64 per share and (ii) Series B preferred investment options to purchase up to 1,022,495 shares of Common Stock (the “Series B Warrants” and, together with the Series A Warrants, the “Common Warrants”) at an exercise price of $4.64 per share. The Common Warrants and the shares of Common Stock issuable upon the exercise of the Common Warrants were offered pursuant to the exemption provided in Section 4(a)(2) under the Securities Act, and Rule 506(b) promulgated thereunder. In connection with such private placement, the Company issued to the placement agent or its designees warrants to purchase 51,125 shares of Common Stock at an exercise price of $6.1125 per share. Such placement agent warrants and the shares of Common Stock issuable upon the exercise of the placement agent warrants were offered pursuant to the exemption provided in Section 4(a)(2) under the Securities Act.</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May 23, 2023, in connection with a public offering of its securities, the Company issued to the placement agent or its designees warrants to purchase 32,778 shares of Common Stock at an exercise price of $2.75 per share. Such placement agent warrants and the shares of Common Stock issuable upon the exercise of the Common Warrants were offered pursuant to the exemption provided in Section 4(a)(2) under the Securities Act.</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May 24, 2023, in connection with a public offering of its securities, the Company issued to the placement agent or its designees warrants to purchase 60,476 shares of Common Stock at an exercise price of $2.75 per share. Such placement agent warrants and the shares of Common Stock issuable upon the exercise of the Common Warrants were offered pursuant to the exemption provided in Section 4(a)(2) under the Securities Act.</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6, 2023, the Company sold in a private placement and issued to an investor Series C preferred investment options to purchase up to 350,878 shares of Common Stock at an exercise price of $2.075 per share. Such Series C preferred investment options and the shares of Common Stock issuable upon the exercise of the Series C preferred investment options were offered pursuant to the exemption provided in Section 4(a)(2) under the Securities Act, and Rule 506(b) promulgated thereunder. In connection with such private placement, the Company issued to the placement agent or its designees warrants to purchase 35,088 shares of Common Stock at an exercise price of $2.6719 per share. Such placement agent warrants and the shares of Common Stock issuable upon the exercise of the placement agent warrants were offered pursuant to the exemption provided in Section 4(a)(2) under the Securities Act.</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16, 2023, the Company issued 385,246 to the holder of the Company’s Series B preferred investment options pursuant to the cashless exercise provision therein. Such shares of Common Stock issuable upon the exercise of the Series B preferred investment options were offered pursuant to the exemption provided in Section 4(a)(2) under the Securities Act.</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28, 2023, the Company sold in a private placement and issued to an investor Series D preferred investment options to purchase up to 312,309 shares of Common Stock at an exercise price of $3.19 per share. Such Series D preferred investment options and the shares of Common Stock issuable upon the exercise of the Series D preferred investment options were offered pursuant to the exemption provided in Section 4(a)(2) under the Securities Act, and Rule 506(b) promulgated thereunder. In connection with such private placement, the Company issued to the placement agent or its designees warrants to purchase 31,231 shares of Common Stock at an exercise price of $4.0625 per share. Such placement agent warrants and the shares of Common Stock issuable upon the exercise of the placement agent warrants were offered pursuant to the exemption provided in Section 4(a)(2) under the Securities Act.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documents set forth below are filed herewith or incorporated by reference to the location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1"/>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480" w:type="dxa"/>
            <w:vAlign w:val="bottom"/>
            <w:tcBorders>
              <w:bottom w:val="single" w:sz="8" w:color="auto"/>
            </w:tcBorders>
            <w:gridSpan w:val="10"/>
          </w:tcPr>
          <w:p>
            <w:pPr>
              <w:ind w:left="460"/>
              <w:spacing w:after="0"/>
              <w:rPr>
                <w:sz w:val="20"/>
                <w:szCs w:val="20"/>
                <w:color w:val="auto"/>
              </w:rPr>
            </w:pPr>
            <w:r>
              <w:rPr>
                <w:rFonts w:ascii="Arial" w:cs="Arial" w:eastAsia="Arial" w:hAnsi="Arial"/>
                <w:sz w:val="18"/>
                <w:szCs w:val="18"/>
                <w:b w:val="1"/>
                <w:bCs w:val="1"/>
                <w:color w:val="auto"/>
              </w:rPr>
              <w:t>Description of Document</w:t>
            </w:r>
          </w:p>
        </w:tc>
      </w:tr>
      <w:tr>
        <w:trPr>
          <w:trHeight w:val="175"/>
        </w:trPr>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87"/>
              </w:rPr>
              <w:t>2.1</w:t>
            </w:r>
          </w:p>
        </w:tc>
        <w:tc>
          <w:tcPr>
            <w:tcW w:w="140" w:type="dxa"/>
            <w:vAlign w:val="bottom"/>
          </w:tcPr>
          <w:p>
            <w:pPr>
              <w:spacing w:after="0"/>
              <w:rPr>
                <w:sz w:val="15"/>
                <w:szCs w:val="15"/>
                <w:color w:val="auto"/>
              </w:rPr>
            </w:pPr>
          </w:p>
        </w:tc>
        <w:tc>
          <w:tcPr>
            <w:tcW w:w="10120" w:type="dxa"/>
            <w:vAlign w:val="bottom"/>
            <w:tcBorders>
              <w:bottom w:val="single" w:sz="8" w:color="0000EE"/>
            </w:tcBorders>
            <w:gridSpan w:val="17"/>
          </w:tcPr>
          <w:p>
            <w:pPr>
              <w:spacing w:after="0" w:line="176" w:lineRule="exact"/>
              <w:rPr>
                <w:rFonts w:ascii="Arial" w:cs="Arial" w:eastAsia="Arial" w:hAnsi="Arial"/>
                <w:sz w:val="18"/>
                <w:szCs w:val="18"/>
                <w:color w:val="0000EE"/>
                <w:w w:val="94"/>
              </w:rPr>
            </w:pPr>
            <w:hyperlink r:id="rId17">
              <w:r>
                <w:rPr>
                  <w:rFonts w:ascii="Arial" w:cs="Arial" w:eastAsia="Arial" w:hAnsi="Arial"/>
                  <w:sz w:val="18"/>
                  <w:szCs w:val="18"/>
                  <w:color w:val="0000EE"/>
                  <w:w w:val="94"/>
                </w:rPr>
                <w:t>Agreement and Plan of Merger and Reorganization, dated as of August 15, 2016, by and among StemCells, Inc., C&amp;RD Israel Ltd. and</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17"/>
          </w:tcPr>
          <w:p>
            <w:pPr>
              <w:spacing w:after="0" w:line="196" w:lineRule="exact"/>
              <w:rPr>
                <w:rFonts w:ascii="Arial" w:cs="Arial" w:eastAsia="Arial" w:hAnsi="Arial"/>
                <w:sz w:val="18"/>
                <w:szCs w:val="18"/>
                <w:color w:val="0000EE"/>
              </w:rPr>
            </w:pPr>
            <w:hyperlink r:id="rId17">
              <w:r>
                <w:rPr>
                  <w:rFonts w:ascii="Arial" w:cs="Arial" w:eastAsia="Arial" w:hAnsi="Arial"/>
                  <w:sz w:val="18"/>
                  <w:szCs w:val="18"/>
                  <w:color w:val="0000EE"/>
                </w:rPr>
                <w:t>Microbot Medical Ltd. (incorporated by reference to the Company’s Current Report on Form 8-K filed on August 15, 2016).</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r:id="rId18">
              <w:r>
                <w:rPr>
                  <w:rFonts w:ascii="Arial" w:cs="Arial" w:eastAsia="Arial" w:hAnsi="Arial"/>
                  <w:sz w:val="18"/>
                  <w:szCs w:val="18"/>
                  <w:color w:val="0000EE"/>
                  <w:w w:val="94"/>
                </w:rPr>
                <w:t>Restated Certificate of Incorporation of the Company (incorporated by reference to the Company’s Annual Report on Form 10-K for the</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17"/>
          </w:tcPr>
          <w:p>
            <w:pPr>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fiscal year ended December 31, 2006 and filed on March 15, 2007).</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17"/>
                <w:szCs w:val="17"/>
                <w:color w:val="auto"/>
              </w:rPr>
            </w:pPr>
          </w:p>
        </w:tc>
        <w:tc>
          <w:tcPr>
            <w:tcW w:w="101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9">
              <w:r>
                <w:rPr>
                  <w:rFonts w:ascii="Arial" w:cs="Arial" w:eastAsia="Arial" w:hAnsi="Arial"/>
                  <w:sz w:val="18"/>
                  <w:szCs w:val="18"/>
                  <w:color w:val="0000EE"/>
                  <w:w w:val="91"/>
                </w:rPr>
                <w:t>Certificate of Amendment to the Restated Certificate of Incorporation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17"/>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Report on Form 8-K filed on November 29, 2016).</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3.3</w:t>
            </w:r>
          </w:p>
        </w:tc>
        <w:tc>
          <w:tcPr>
            <w:tcW w:w="140" w:type="dxa"/>
            <w:vAlign w:val="bottom"/>
          </w:tcPr>
          <w:p>
            <w:pPr>
              <w:spacing w:after="0"/>
              <w:rPr>
                <w:sz w:val="17"/>
                <w:szCs w:val="17"/>
                <w:color w:val="auto"/>
              </w:rPr>
            </w:pPr>
          </w:p>
        </w:tc>
        <w:tc>
          <w:tcPr>
            <w:tcW w:w="101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0">
              <w:r>
                <w:rPr>
                  <w:rFonts w:ascii="Arial" w:cs="Arial" w:eastAsia="Arial" w:hAnsi="Arial"/>
                  <w:sz w:val="18"/>
                  <w:szCs w:val="18"/>
                  <w:color w:val="0000EE"/>
                  <w:w w:val="91"/>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20">
              <w:r>
                <w:rPr>
                  <w:rFonts w:ascii="Arial" w:cs="Arial" w:eastAsia="Arial" w:hAnsi="Arial"/>
                  <w:sz w:val="18"/>
                  <w:szCs w:val="18"/>
                  <w:color w:val="0000EE"/>
                  <w:w w:val="90"/>
                </w:rPr>
                <w:t>8-K filed on September 4, 2018).</w:t>
              </w:r>
            </w:hyperlink>
          </w:p>
        </w:tc>
        <w:tc>
          <w:tcPr>
            <w:tcW w:w="7740" w:type="dxa"/>
            <w:vAlign w:val="bottom"/>
            <w:gridSpan w:val="14"/>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3.4</w:t>
            </w:r>
          </w:p>
        </w:tc>
        <w:tc>
          <w:tcPr>
            <w:tcW w:w="140" w:type="dxa"/>
            <w:vAlign w:val="bottom"/>
          </w:tcPr>
          <w:p>
            <w:pPr>
              <w:spacing w:after="0"/>
              <w:rPr>
                <w:sz w:val="17"/>
                <w:szCs w:val="17"/>
                <w:color w:val="auto"/>
              </w:rPr>
            </w:pPr>
          </w:p>
        </w:tc>
        <w:tc>
          <w:tcPr>
            <w:tcW w:w="101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1">
              <w:r>
                <w:rPr>
                  <w:rFonts w:ascii="Arial" w:cs="Arial" w:eastAsia="Arial" w:hAnsi="Arial"/>
                  <w:sz w:val="18"/>
                  <w:szCs w:val="18"/>
                  <w:color w:val="0000EE"/>
                  <w:w w:val="91"/>
                </w:rPr>
                <w:t>Amended and Restated By-Laws of the Company (incorporated by reference to the Company’s Current Report on Form 8-K filed on May 3,</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21">
              <w:r>
                <w:rPr>
                  <w:rFonts w:ascii="Arial" w:cs="Arial" w:eastAsia="Arial" w:hAnsi="Arial"/>
                  <w:sz w:val="18"/>
                  <w:szCs w:val="18"/>
                  <w:color w:val="0000EE"/>
                  <w:w w:val="86"/>
                </w:rPr>
                <w:t>2016).</w:t>
              </w:r>
            </w:hyperlink>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3.5</w:t>
            </w:r>
          </w:p>
        </w:tc>
        <w:tc>
          <w:tcPr>
            <w:tcW w:w="140" w:type="dxa"/>
            <w:vAlign w:val="bottom"/>
          </w:tcPr>
          <w:p>
            <w:pPr>
              <w:spacing w:after="0"/>
              <w:rPr>
                <w:sz w:val="17"/>
                <w:szCs w:val="17"/>
                <w:color w:val="auto"/>
              </w:rPr>
            </w:pPr>
          </w:p>
        </w:tc>
        <w:tc>
          <w:tcPr>
            <w:tcW w:w="10120" w:type="dxa"/>
            <w:vAlign w:val="bottom"/>
            <w:gridSpan w:val="17"/>
          </w:tcPr>
          <w:p>
            <w:pPr>
              <w:spacing w:after="0" w:line="196" w:lineRule="exact"/>
              <w:rPr>
                <w:rFonts w:ascii="Arial" w:cs="Arial" w:eastAsia="Arial" w:hAnsi="Arial"/>
                <w:sz w:val="18"/>
                <w:szCs w:val="18"/>
                <w:color w:val="0000EE"/>
                <w:w w:val="98"/>
              </w:rPr>
            </w:pPr>
            <w:hyperlink r:id="rId22">
              <w:r>
                <w:rPr>
                  <w:rFonts w:ascii="Arial" w:cs="Arial" w:eastAsia="Arial" w:hAnsi="Arial"/>
                  <w:sz w:val="18"/>
                  <w:szCs w:val="18"/>
                  <w:color w:val="0000EE"/>
                  <w:w w:val="98"/>
                </w:rPr>
                <w:t>Certificate of Elimination (incorporated by reference to the Company’s Current Report on Form 8-K filed on December 12, 2018).</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7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3.6</w:t>
            </w:r>
          </w:p>
        </w:tc>
        <w:tc>
          <w:tcPr>
            <w:tcW w:w="140" w:type="dxa"/>
            <w:vAlign w:val="bottom"/>
          </w:tcPr>
          <w:p>
            <w:pPr>
              <w:spacing w:after="0"/>
              <w:rPr>
                <w:sz w:val="17"/>
                <w:szCs w:val="17"/>
                <w:color w:val="auto"/>
              </w:rPr>
            </w:pPr>
          </w:p>
        </w:tc>
        <w:tc>
          <w:tcPr>
            <w:tcW w:w="101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3">
              <w:r>
                <w:rPr>
                  <w:rFonts w:ascii="Arial" w:cs="Arial" w:eastAsia="Arial" w:hAnsi="Arial"/>
                  <w:sz w:val="18"/>
                  <w:szCs w:val="18"/>
                  <w:color w:val="0000EE"/>
                  <w:w w:val="91"/>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23">
              <w:r>
                <w:rPr>
                  <w:rFonts w:ascii="Arial" w:cs="Arial" w:eastAsia="Arial" w:hAnsi="Arial"/>
                  <w:sz w:val="18"/>
                  <w:szCs w:val="18"/>
                  <w:color w:val="0000EE"/>
                  <w:w w:val="90"/>
                </w:rPr>
                <w:t>8-K filed on September 11, 2019).</w:t>
              </w:r>
            </w:hyperlink>
          </w:p>
        </w:tc>
        <w:tc>
          <w:tcPr>
            <w:tcW w:w="7660" w:type="dxa"/>
            <w:vAlign w:val="bottom"/>
            <w:gridSpan w:val="13"/>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3.7</w:t>
            </w:r>
          </w:p>
        </w:tc>
        <w:tc>
          <w:tcPr>
            <w:tcW w:w="140" w:type="dxa"/>
            <w:vAlign w:val="bottom"/>
          </w:tcPr>
          <w:p>
            <w:pPr>
              <w:spacing w:after="0"/>
              <w:rPr>
                <w:sz w:val="17"/>
                <w:szCs w:val="17"/>
                <w:color w:val="auto"/>
              </w:rPr>
            </w:pPr>
          </w:p>
        </w:tc>
        <w:tc>
          <w:tcPr>
            <w:tcW w:w="1012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r:id="rId24">
              <w:r>
                <w:rPr>
                  <w:rFonts w:ascii="Arial" w:cs="Arial" w:eastAsia="Arial" w:hAnsi="Arial"/>
                  <w:sz w:val="18"/>
                  <w:szCs w:val="18"/>
                  <w:color w:val="0000EE"/>
                  <w:w w:val="94"/>
                </w:rPr>
                <w:t>Amendment to Section 5 of the Amended and Restated By-Laws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17"/>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Report on Form 8-K filed on May 3, 2021).</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r:id="rId25">
              <w:r>
                <w:rPr>
                  <w:rFonts w:ascii="Arial" w:cs="Arial" w:eastAsia="Arial" w:hAnsi="Arial"/>
                  <w:sz w:val="18"/>
                  <w:szCs w:val="18"/>
                  <w:color w:val="0000EE"/>
                  <w:w w:val="95"/>
                </w:rPr>
                <w:t>Description of the Company’s Securities (incorporated by reference to the Registrant’s Annual Report on Form 10-K for the fiscal year</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17"/>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ended December 31, 2019).</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17"/>
                <w:szCs w:val="17"/>
                <w:color w:val="auto"/>
              </w:rPr>
            </w:pPr>
          </w:p>
        </w:tc>
        <w:tc>
          <w:tcPr>
            <w:tcW w:w="92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6">
              <w:r>
                <w:rPr>
                  <w:rFonts w:ascii="Arial" w:cs="Arial" w:eastAsia="Arial" w:hAnsi="Arial"/>
                  <w:sz w:val="18"/>
                  <w:szCs w:val="18"/>
                  <w:color w:val="0000EE"/>
                  <w:w w:val="90"/>
                </w:rPr>
                <w:t>Form of Series A Warrant (incorporated by reference to the Registrant’s Current Report on Form 8-K filed on October 25, 2022)</w:t>
              </w:r>
            </w:hyperlink>
          </w:p>
        </w:tc>
        <w:tc>
          <w:tcPr>
            <w:tcW w:w="900" w:type="dxa"/>
            <w:vAlign w:val="bottom"/>
            <w:gridSpan w:val="4"/>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4.3</w:t>
            </w:r>
          </w:p>
        </w:tc>
        <w:tc>
          <w:tcPr>
            <w:tcW w:w="140" w:type="dxa"/>
            <w:vAlign w:val="bottom"/>
          </w:tcPr>
          <w:p>
            <w:pPr>
              <w:spacing w:after="0"/>
              <w:rPr>
                <w:sz w:val="17"/>
                <w:szCs w:val="17"/>
                <w:color w:val="auto"/>
              </w:rPr>
            </w:pPr>
          </w:p>
        </w:tc>
        <w:tc>
          <w:tcPr>
            <w:tcW w:w="94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27">
              <w:r>
                <w:rPr>
                  <w:rFonts w:ascii="Arial" w:cs="Arial" w:eastAsia="Arial" w:hAnsi="Arial"/>
                  <w:sz w:val="18"/>
                  <w:szCs w:val="18"/>
                  <w:color w:val="0000EE"/>
                  <w:w w:val="91"/>
                </w:rPr>
                <w:t>Form of Wainwright Warrant (incorporated by reference to the Registrant’s Current Report on Form 8-K filed on October 25, 2022)</w:t>
              </w:r>
            </w:hyperlink>
          </w:p>
        </w:tc>
        <w:tc>
          <w:tcPr>
            <w:tcW w:w="660" w:type="dxa"/>
            <w:vAlign w:val="bottom"/>
            <w:gridSpan w:val="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4.4</w:t>
            </w:r>
          </w:p>
        </w:tc>
        <w:tc>
          <w:tcPr>
            <w:tcW w:w="140" w:type="dxa"/>
            <w:vAlign w:val="bottom"/>
          </w:tcPr>
          <w:p>
            <w:pPr>
              <w:spacing w:after="0"/>
              <w:rPr>
                <w:sz w:val="17"/>
                <w:szCs w:val="17"/>
                <w:color w:val="auto"/>
              </w:rPr>
            </w:pPr>
          </w:p>
        </w:tc>
        <w:tc>
          <w:tcPr>
            <w:tcW w:w="10120" w:type="dxa"/>
            <w:vAlign w:val="bottom"/>
            <w:gridSpan w:val="17"/>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Form of Wainwright Warrant (incorporated by reference to the Registrant’s Current Report on Form 8-K filed on May 23, 2023)</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040" w:type="dxa"/>
            <w:vAlign w:val="bottom"/>
            <w:gridSpan w:val="5"/>
            <w:shd w:val="clear" w:color="auto" w:fill="0000EE"/>
          </w:tcPr>
          <w:p>
            <w:pPr>
              <w:spacing w:after="0" w:line="20" w:lineRule="exact"/>
              <w:rPr>
                <w:sz w:val="1"/>
                <w:szCs w:val="1"/>
                <w:color w:val="auto"/>
              </w:rPr>
            </w:pPr>
          </w:p>
        </w:tc>
        <w:tc>
          <w:tcPr>
            <w:tcW w:w="58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4.5</w:t>
            </w:r>
          </w:p>
        </w:tc>
        <w:tc>
          <w:tcPr>
            <w:tcW w:w="140" w:type="dxa"/>
            <w:vAlign w:val="bottom"/>
          </w:tcPr>
          <w:p>
            <w:pPr>
              <w:spacing w:after="0"/>
              <w:rPr>
                <w:sz w:val="17"/>
                <w:szCs w:val="17"/>
                <w:color w:val="auto"/>
              </w:rPr>
            </w:pPr>
          </w:p>
        </w:tc>
        <w:tc>
          <w:tcPr>
            <w:tcW w:w="10120" w:type="dxa"/>
            <w:vAlign w:val="bottom"/>
            <w:gridSpan w:val="17"/>
          </w:tcPr>
          <w:p>
            <w:pPr>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Form of Wainwright Warrant (incorporated by reference to the Registrant’s Current Report on Form 8-K filed on May 24, 2023)</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040" w:type="dxa"/>
            <w:vAlign w:val="bottom"/>
            <w:gridSpan w:val="5"/>
            <w:shd w:val="clear" w:color="auto" w:fill="0000EE"/>
          </w:tcPr>
          <w:p>
            <w:pPr>
              <w:spacing w:after="0" w:line="20" w:lineRule="exact"/>
              <w:rPr>
                <w:sz w:val="1"/>
                <w:szCs w:val="1"/>
                <w:color w:val="auto"/>
              </w:rPr>
            </w:pPr>
          </w:p>
        </w:tc>
        <w:tc>
          <w:tcPr>
            <w:tcW w:w="58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4.6</w:t>
            </w:r>
          </w:p>
        </w:tc>
        <w:tc>
          <w:tcPr>
            <w:tcW w:w="140" w:type="dxa"/>
            <w:vAlign w:val="bottom"/>
          </w:tcPr>
          <w:p>
            <w:pPr>
              <w:spacing w:after="0"/>
              <w:rPr>
                <w:sz w:val="17"/>
                <w:szCs w:val="17"/>
                <w:color w:val="auto"/>
              </w:rPr>
            </w:pPr>
          </w:p>
        </w:tc>
        <w:tc>
          <w:tcPr>
            <w:tcW w:w="10120" w:type="dxa"/>
            <w:vAlign w:val="bottom"/>
            <w:gridSpan w:val="17"/>
          </w:tcPr>
          <w:p>
            <w:pPr>
              <w:spacing w:after="0" w:line="196" w:lineRule="exact"/>
              <w:rPr>
                <w:rFonts w:ascii="Arial" w:cs="Arial" w:eastAsia="Arial" w:hAnsi="Arial"/>
                <w:sz w:val="18"/>
                <w:szCs w:val="18"/>
                <w:color w:val="0000EE"/>
                <w:w w:val="91"/>
              </w:rPr>
            </w:pPr>
            <w:hyperlink r:id="rId30">
              <w:r>
                <w:rPr>
                  <w:rFonts w:ascii="Arial" w:cs="Arial" w:eastAsia="Arial" w:hAnsi="Arial"/>
                  <w:sz w:val="18"/>
                  <w:szCs w:val="18"/>
                  <w:color w:val="0000EE"/>
                  <w:w w:val="91"/>
                </w:rPr>
                <w:t>Form of Warrant Amendment Agreement (incorporated by reference to the Registrant’s Current Report on Form 8-K filed on May 24, 2023)</w:t>
              </w:r>
            </w:hyperlink>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4.7</w:t>
            </w:r>
          </w:p>
        </w:tc>
        <w:tc>
          <w:tcPr>
            <w:tcW w:w="140" w:type="dxa"/>
            <w:vAlign w:val="bottom"/>
          </w:tcPr>
          <w:p>
            <w:pPr>
              <w:spacing w:after="0"/>
              <w:rPr>
                <w:sz w:val="17"/>
                <w:szCs w:val="17"/>
                <w:color w:val="auto"/>
              </w:rPr>
            </w:pPr>
          </w:p>
        </w:tc>
        <w:tc>
          <w:tcPr>
            <w:tcW w:w="100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Form of Series C Warrant (incorporated by reference to the Registrant’s Current Report on Form 8-K filed on June 6, 2023)</w:t>
              </w:r>
            </w:hyperlink>
          </w:p>
        </w:tc>
        <w:tc>
          <w:tcPr>
            <w:tcW w:w="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040" w:type="dxa"/>
            <w:vAlign w:val="bottom"/>
            <w:gridSpan w:val="5"/>
            <w:shd w:val="clear" w:color="auto" w:fill="0000EE"/>
          </w:tcPr>
          <w:p>
            <w:pPr>
              <w:spacing w:after="0" w:line="20" w:lineRule="exact"/>
              <w:rPr>
                <w:sz w:val="1"/>
                <w:szCs w:val="1"/>
                <w:color w:val="auto"/>
              </w:rPr>
            </w:pPr>
          </w:p>
        </w:tc>
        <w:tc>
          <w:tcPr>
            <w:tcW w:w="584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4.8</w:t>
            </w:r>
          </w:p>
        </w:tc>
        <w:tc>
          <w:tcPr>
            <w:tcW w:w="140" w:type="dxa"/>
            <w:vAlign w:val="bottom"/>
          </w:tcPr>
          <w:p>
            <w:pPr>
              <w:spacing w:after="0"/>
              <w:rPr>
                <w:sz w:val="17"/>
                <w:szCs w:val="17"/>
                <w:color w:val="auto"/>
              </w:rPr>
            </w:pPr>
          </w:p>
        </w:tc>
        <w:tc>
          <w:tcPr>
            <w:tcW w:w="91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32">
              <w:r>
                <w:rPr>
                  <w:rFonts w:ascii="Arial" w:cs="Arial" w:eastAsia="Arial" w:hAnsi="Arial"/>
                  <w:sz w:val="18"/>
                  <w:szCs w:val="18"/>
                  <w:color w:val="0000EE"/>
                  <w:w w:val="91"/>
                </w:rPr>
                <w:t>Form of Wainwright Warrant (incorporated by reference to the Registrant’s Current Report on Form 8-K filed on June 6, 2023)</w:t>
              </w:r>
            </w:hyperlink>
          </w:p>
        </w:tc>
        <w:tc>
          <w:tcPr>
            <w:tcW w:w="1000" w:type="dxa"/>
            <w:vAlign w:val="bottom"/>
            <w:gridSpan w:val="6"/>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4.9</w:t>
            </w:r>
          </w:p>
        </w:tc>
        <w:tc>
          <w:tcPr>
            <w:tcW w:w="140" w:type="dxa"/>
            <w:vAlign w:val="bottom"/>
          </w:tcPr>
          <w:p>
            <w:pPr>
              <w:spacing w:after="0"/>
              <w:rPr>
                <w:sz w:val="17"/>
                <w:szCs w:val="17"/>
                <w:color w:val="auto"/>
              </w:rPr>
            </w:pPr>
          </w:p>
        </w:tc>
        <w:tc>
          <w:tcPr>
            <w:tcW w:w="10120" w:type="dxa"/>
            <w:vAlign w:val="bottom"/>
            <w:gridSpan w:val="17"/>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Form of Series D Warrant (incorporated by reference to the Registrant’s Current Report on Form 8-K filed on June 28, 2023)</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040" w:type="dxa"/>
            <w:vAlign w:val="bottom"/>
            <w:gridSpan w:val="5"/>
            <w:shd w:val="clear" w:color="auto" w:fill="0000EE"/>
          </w:tcPr>
          <w:p>
            <w:pPr>
              <w:spacing w:after="0" w:line="20" w:lineRule="exact"/>
              <w:rPr>
                <w:sz w:val="1"/>
                <w:szCs w:val="1"/>
                <w:color w:val="auto"/>
              </w:rPr>
            </w:pPr>
          </w:p>
        </w:tc>
        <w:tc>
          <w:tcPr>
            <w:tcW w:w="5940" w:type="dxa"/>
            <w:vAlign w:val="bottom"/>
            <w:gridSpan w:val="5"/>
            <w:shd w:val="clear" w:color="auto" w:fill="0000EE"/>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4.10</w:t>
            </w:r>
          </w:p>
        </w:tc>
        <w:tc>
          <w:tcPr>
            <w:tcW w:w="140" w:type="dxa"/>
            <w:vAlign w:val="bottom"/>
          </w:tcPr>
          <w:p>
            <w:pPr>
              <w:spacing w:after="0"/>
              <w:rPr>
                <w:sz w:val="17"/>
                <w:szCs w:val="17"/>
                <w:color w:val="auto"/>
              </w:rPr>
            </w:pPr>
          </w:p>
        </w:tc>
        <w:tc>
          <w:tcPr>
            <w:tcW w:w="10120" w:type="dxa"/>
            <w:vAlign w:val="bottom"/>
            <w:gridSpan w:val="17"/>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Form of Wainwright Warrant (incorporated by reference to the Registrant’s Current Report on Form 8-K filed on June 28, 2023)</w:t>
              </w:r>
            </w:hyperlink>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5.1</w:t>
            </w:r>
          </w:p>
        </w:tc>
        <w:tc>
          <w:tcPr>
            <w:tcW w:w="140" w:type="dxa"/>
            <w:vAlign w:val="bottom"/>
          </w:tcPr>
          <w:p>
            <w:pPr>
              <w:spacing w:after="0"/>
              <w:rPr>
                <w:sz w:val="17"/>
                <w:szCs w:val="17"/>
                <w:color w:val="auto"/>
              </w:rPr>
            </w:pPr>
          </w:p>
        </w:tc>
        <w:tc>
          <w:tcPr>
            <w:tcW w:w="920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8"/>
                <w:szCs w:val="18"/>
                <w:color w:val="0000EE"/>
              </w:rPr>
              <w:t>Opinion of Ruskin Moscou Faltischek, PC</w:t>
            </w:r>
          </w:p>
        </w:tc>
        <w:tc>
          <w:tcPr>
            <w:tcW w:w="920" w:type="dxa"/>
            <w:vAlign w:val="bottom"/>
            <w:gridSpan w:val="5"/>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both"/>
        <w:ind w:left="900" w:hanging="772"/>
        <w:spacing w:after="0" w:line="258"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36">
        <w:r>
          <w:rPr>
            <w:rFonts w:ascii="Arial" w:cs="Arial" w:eastAsia="Arial" w:hAnsi="Arial"/>
            <w:sz w:val="18"/>
            <w:szCs w:val="18"/>
            <w:u w:val="single" w:color="auto"/>
            <w:color w:val="0000EE"/>
          </w:rPr>
          <w:t>Form of Indemnification Agreement, between the Company and each of its Directors and Officers (incorporated by reference to the</w:t>
        </w:r>
      </w:hyperlink>
      <w:r>
        <w:rPr>
          <w:rFonts w:ascii="Arial" w:cs="Arial" w:eastAsia="Arial" w:hAnsi="Arial"/>
          <w:sz w:val="18"/>
          <w:szCs w:val="18"/>
          <w:u w:val="single" w:color="auto"/>
          <w:color w:val="0000EE"/>
        </w:rPr>
        <w:t xml:space="preserve"> </w:t>
      </w:r>
      <w:hyperlink r:id="rId36">
        <w:r>
          <w:rPr>
            <w:rFonts w:ascii="Arial" w:cs="Arial" w:eastAsia="Arial" w:hAnsi="Arial"/>
            <w:sz w:val="18"/>
            <w:szCs w:val="18"/>
            <w:u w:val="single" w:color="auto"/>
            <w:color w:val="0000EE"/>
          </w:rPr>
          <w:t>Company’s Current Report on Form 8-K filed on November 29, 2016).</w:t>
        </w:r>
      </w:hyperlink>
    </w:p>
    <w:p>
      <w:pPr>
        <w:spacing w:after="0" w:line="1" w:lineRule="exact"/>
        <w:rPr>
          <w:sz w:val="20"/>
          <w:szCs w:val="20"/>
          <w:color w:val="auto"/>
        </w:rPr>
      </w:pPr>
    </w:p>
    <w:p>
      <w:pPr>
        <w:ind w:left="1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37">
        <w:r>
          <w:rPr>
            <w:rFonts w:ascii="Arial" w:cs="Arial" w:eastAsia="Arial" w:hAnsi="Arial"/>
            <w:sz w:val="16"/>
            <w:szCs w:val="16"/>
            <w:u w:val="single" w:color="auto"/>
            <w:color w:val="0000EE"/>
          </w:rPr>
          <w:t>Employment Agreement with Harel Gadot (incorporated by reference to the Company’s Current Report on Form 8-K filed on November 29,</w:t>
        </w:r>
      </w:hyperlink>
    </w:p>
    <w:p>
      <w:pPr>
        <w:spacing w:after="0" w:line="9" w:lineRule="exact"/>
        <w:rPr>
          <w:sz w:val="20"/>
          <w:szCs w:val="20"/>
          <w:color w:val="auto"/>
        </w:rPr>
      </w:pPr>
    </w:p>
    <w:p>
      <w:pPr>
        <w:ind w:left="900"/>
        <w:spacing w:after="0"/>
        <w:rPr>
          <w:rFonts w:ascii="Arial" w:cs="Arial" w:eastAsia="Arial" w:hAnsi="Arial"/>
          <w:sz w:val="18"/>
          <w:szCs w:val="18"/>
          <w:u w:val="single" w:color="auto"/>
          <w:color w:val="0000EE"/>
        </w:rPr>
      </w:pPr>
      <w:hyperlink r:id="rId37">
        <w:r>
          <w:rPr>
            <w:rFonts w:ascii="Arial" w:cs="Arial" w:eastAsia="Arial" w:hAnsi="Arial"/>
            <w:sz w:val="18"/>
            <w:szCs w:val="18"/>
            <w:u w:val="single" w:color="auto"/>
            <w:color w:val="0000EE"/>
          </w:rPr>
          <w:t>2016).</w:t>
        </w:r>
      </w:hyperlink>
    </w:p>
    <w:p>
      <w:pPr>
        <w:spacing w:after="0" w:line="9" w:lineRule="exact"/>
        <w:rPr>
          <w:sz w:val="20"/>
          <w:szCs w:val="20"/>
          <w:color w:val="auto"/>
        </w:rPr>
      </w:pPr>
    </w:p>
    <w:p>
      <w:pPr>
        <w:jc w:val="both"/>
        <w:ind w:left="900" w:hanging="772"/>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38">
        <w:r>
          <w:rPr>
            <w:rFonts w:ascii="Arial" w:cs="Arial" w:eastAsia="Arial" w:hAnsi="Arial"/>
            <w:sz w:val="18"/>
            <w:szCs w:val="18"/>
            <w:u w:val="single" w:color="auto"/>
            <w:color w:val="0000EE"/>
          </w:rPr>
          <w:t>License Agreement, dated June 20, 2012, by and between Technion Research and Development Foundation, and Microbot Medical Ltd.</w:t>
        </w:r>
      </w:hyperlink>
      <w:r>
        <w:rPr>
          <w:rFonts w:ascii="Arial" w:cs="Arial" w:eastAsia="Arial" w:hAnsi="Arial"/>
          <w:sz w:val="18"/>
          <w:szCs w:val="18"/>
          <w:u w:val="single" w:color="auto"/>
          <w:color w:val="0000EE"/>
        </w:rPr>
        <w:t xml:space="preserve"> </w:t>
      </w:r>
      <w:hyperlink r:id="rId38">
        <w:r>
          <w:rPr>
            <w:rFonts w:ascii="Arial" w:cs="Arial" w:eastAsia="Arial" w:hAnsi="Arial"/>
            <w:sz w:val="18"/>
            <w:szCs w:val="18"/>
            <w:u w:val="single" w:color="auto"/>
            <w:color w:val="0000EE"/>
          </w:rPr>
          <w:t>(incorporated by reference to the Company’s Annual Report on Form 10-K for the fiscal year ended December 31, 2016 and filed on March</w:t>
        </w:r>
      </w:hyperlink>
      <w:r>
        <w:rPr>
          <w:rFonts w:ascii="Arial" w:cs="Arial" w:eastAsia="Arial" w:hAnsi="Arial"/>
          <w:sz w:val="18"/>
          <w:szCs w:val="18"/>
          <w:u w:val="single" w:color="auto"/>
          <w:color w:val="0000EE"/>
        </w:rPr>
        <w:t xml:space="preserve"> </w:t>
      </w:r>
      <w:hyperlink r:id="rId38">
        <w:r>
          <w:rPr>
            <w:rFonts w:ascii="Arial" w:cs="Arial" w:eastAsia="Arial" w:hAnsi="Arial"/>
            <w:sz w:val="18"/>
            <w:szCs w:val="18"/>
            <w:u w:val="single" w:color="auto"/>
            <w:color w:val="0000EE"/>
          </w:rPr>
          <w:t>21, 2017).</w:t>
        </w:r>
      </w:hyperlink>
    </w:p>
    <w:p>
      <w:pPr>
        <w:spacing w:after="0" w:line="1" w:lineRule="exact"/>
        <w:rPr>
          <w:rFonts w:ascii="Arial" w:cs="Arial" w:eastAsia="Arial" w:hAnsi="Arial"/>
          <w:sz w:val="18"/>
          <w:szCs w:val="18"/>
          <w:u w:val="single" w:color="auto"/>
          <w:color w:val="0000EE"/>
        </w:rPr>
      </w:pPr>
    </w:p>
    <w:p>
      <w:pPr>
        <w:jc w:val="both"/>
        <w:ind w:left="900" w:hanging="817"/>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39">
        <w:r>
          <w:rPr>
            <w:rFonts w:ascii="Arial" w:cs="Arial" w:eastAsia="Arial" w:hAnsi="Arial"/>
            <w:sz w:val="18"/>
            <w:szCs w:val="18"/>
            <w:u w:val="single" w:color="auto"/>
            <w:color w:val="0000EE"/>
          </w:rPr>
          <w:t>Form of Stock Option Agreement under the Microbot Medical Inc. 2017 Equity Incentive Plan (incorporated by reference to the Company’s</w:t>
        </w:r>
      </w:hyperlink>
      <w:r>
        <w:rPr>
          <w:rFonts w:ascii="Arial" w:cs="Arial" w:eastAsia="Arial" w:hAnsi="Arial"/>
          <w:sz w:val="18"/>
          <w:szCs w:val="18"/>
          <w:u w:val="single" w:color="auto"/>
          <w:color w:val="0000EE"/>
        </w:rPr>
        <w:t xml:space="preserve"> </w:t>
      </w:r>
      <w:hyperlink r:id="rId39">
        <w:r>
          <w:rPr>
            <w:rFonts w:ascii="Arial" w:cs="Arial" w:eastAsia="Arial" w:hAnsi="Arial"/>
            <w:sz w:val="18"/>
            <w:szCs w:val="18"/>
            <w:u w:val="single" w:color="auto"/>
            <w:color w:val="0000EE"/>
          </w:rPr>
          <w:t>Quarterly Report on Form 10-Q for the Quarter ended September 30, 2017, filed on November 14, 2017).</w:t>
        </w:r>
      </w:hyperlink>
    </w:p>
    <w:p>
      <w:pPr>
        <w:spacing w:after="0" w:line="1" w:lineRule="exact"/>
        <w:rPr>
          <w:sz w:val="20"/>
          <w:szCs w:val="20"/>
          <w:color w:val="auto"/>
        </w:rPr>
      </w:pPr>
    </w:p>
    <w:p>
      <w:pPr>
        <w:ind w:left="900" w:hanging="772"/>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40">
        <w:r>
          <w:rPr>
            <w:rFonts w:ascii="Arial" w:cs="Arial" w:eastAsia="Arial" w:hAnsi="Arial"/>
            <w:sz w:val="18"/>
            <w:szCs w:val="18"/>
            <w:u w:val="single" w:color="auto"/>
            <w:color w:val="0000EE"/>
          </w:rPr>
          <w:t>Agreement, dated January 4, 2018, by and between CardioSert Ltd. and Microbot Medical Ltd. (incorporated by reference to the Company’s</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Current Report on Form 8-K filed on January 8, 2018).</w:t>
        </w:r>
      </w:hyperlink>
    </w:p>
    <w:p>
      <w:pPr>
        <w:spacing w:after="0" w:line="1" w:lineRule="exact"/>
        <w:rPr>
          <w:sz w:val="20"/>
          <w:szCs w:val="20"/>
          <w:color w:val="auto"/>
        </w:rPr>
      </w:pPr>
    </w:p>
    <w:p>
      <w:pPr>
        <w:jc w:val="both"/>
        <w:ind w:left="900" w:hanging="817"/>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40">
        <w:r>
          <w:rPr>
            <w:rFonts w:ascii="Arial" w:cs="Arial" w:eastAsia="Arial" w:hAnsi="Arial"/>
            <w:sz w:val="18"/>
            <w:szCs w:val="18"/>
            <w:u w:val="single" w:color="auto"/>
            <w:color w:val="0000EE"/>
          </w:rPr>
          <w:t>Employment Agreement with Dr. Eyal Morag (incorporated by reference to the Registrant’s Annual Report on Form 10-K for the fiscal year</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ended December 31, 2019 filed on April 14, 2020).</w:t>
        </w:r>
      </w:hyperlink>
    </w:p>
    <w:p>
      <w:pPr>
        <w:spacing w:after="0" w:line="1" w:lineRule="exact"/>
        <w:rPr>
          <w:sz w:val="20"/>
          <w:szCs w:val="20"/>
          <w:color w:val="auto"/>
        </w:rPr>
      </w:pPr>
    </w:p>
    <w:p>
      <w:pPr>
        <w:jc w:val="both"/>
        <w:ind w:left="900" w:hanging="817"/>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41">
        <w:r>
          <w:rPr>
            <w:rFonts w:ascii="Arial" w:cs="Arial" w:eastAsia="Arial" w:hAnsi="Arial"/>
            <w:sz w:val="18"/>
            <w:szCs w:val="18"/>
            <w:u w:val="single" w:color="auto"/>
            <w:color w:val="0000EE"/>
          </w:rPr>
          <w:t>Microbot Medical Inc. 2017 Equity Incentive Plan (incorporated by reference to Exhibit A of the Company’s Definitive Proxy Statement on</w:t>
        </w:r>
      </w:hyperlink>
      <w:r>
        <w:rPr>
          <w:rFonts w:ascii="Arial" w:cs="Arial" w:eastAsia="Arial" w:hAnsi="Arial"/>
          <w:sz w:val="18"/>
          <w:szCs w:val="18"/>
          <w:u w:val="single" w:color="auto"/>
          <w:color w:val="0000EE"/>
        </w:rPr>
        <w:t xml:space="preserve"> </w:t>
      </w:r>
      <w:hyperlink r:id="rId41">
        <w:r>
          <w:rPr>
            <w:rFonts w:ascii="Arial" w:cs="Arial" w:eastAsia="Arial" w:hAnsi="Arial"/>
            <w:sz w:val="18"/>
            <w:szCs w:val="18"/>
            <w:u w:val="single" w:color="auto"/>
            <w:color w:val="0000EE"/>
          </w:rPr>
          <w:t>Schedule 14A filed on August 11, 2017).</w:t>
        </w:r>
      </w:hyperlink>
    </w:p>
    <w:p>
      <w:pPr>
        <w:spacing w:after="0" w:line="1" w:lineRule="exact"/>
        <w:rPr>
          <w:sz w:val="20"/>
          <w:szCs w:val="20"/>
          <w:color w:val="auto"/>
        </w:rPr>
      </w:pPr>
    </w:p>
    <w:p>
      <w:pPr>
        <w:jc w:val="both"/>
        <w:ind w:left="900" w:hanging="817"/>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42">
        <w:r>
          <w:rPr>
            <w:rFonts w:ascii="Arial" w:cs="Arial" w:eastAsia="Arial" w:hAnsi="Arial"/>
            <w:sz w:val="18"/>
            <w:szCs w:val="18"/>
            <w:u w:val="single" w:color="auto"/>
            <w:color w:val="0000EE"/>
          </w:rPr>
          <w:t>Microbot Medical Inc. 2020 Omnibus Performance Award Plan (incorporated by reference to Exhibit A of the Company’s definitive Proxy</w:t>
        </w:r>
      </w:hyperlink>
      <w:r>
        <w:rPr>
          <w:rFonts w:ascii="Arial" w:cs="Arial" w:eastAsia="Arial" w:hAnsi="Arial"/>
          <w:sz w:val="18"/>
          <w:szCs w:val="18"/>
          <w:u w:val="single" w:color="auto"/>
          <w:color w:val="0000EE"/>
        </w:rPr>
        <w:t xml:space="preserve"> </w:t>
      </w:r>
      <w:hyperlink r:id="rId42">
        <w:r>
          <w:rPr>
            <w:rFonts w:ascii="Arial" w:cs="Arial" w:eastAsia="Arial" w:hAnsi="Arial"/>
            <w:sz w:val="18"/>
            <w:szCs w:val="18"/>
            <w:u w:val="single" w:color="auto"/>
            <w:color w:val="0000EE"/>
          </w:rPr>
          <w:t>Statement on Schedule 14A filed on July 31, 2020)</w:t>
        </w:r>
      </w:hyperlink>
    </w:p>
    <w:p>
      <w:pPr>
        <w:spacing w:after="0" w:line="1" w:lineRule="exact"/>
        <w:rPr>
          <w:sz w:val="20"/>
          <w:szCs w:val="20"/>
          <w:color w:val="auto"/>
        </w:rPr>
      </w:pPr>
    </w:p>
    <w:p>
      <w:pPr>
        <w:jc w:val="both"/>
        <w:ind w:left="900" w:hanging="817"/>
        <w:spacing w:after="0" w:line="265" w:lineRule="auto"/>
        <w:tabs>
          <w:tab w:leader="none" w:pos="880" w:val="left"/>
        </w:tabs>
        <w:rPr>
          <w:rFonts w:ascii="Arial" w:cs="Arial" w:eastAsia="Arial" w:hAnsi="Arial"/>
          <w:sz w:val="17"/>
          <w:szCs w:val="17"/>
          <w:u w:val="single" w:color="auto"/>
          <w:color w:val="0000EE"/>
        </w:rPr>
      </w:pPr>
      <w:r>
        <w:rPr>
          <w:rFonts w:ascii="Arial" w:cs="Arial" w:eastAsia="Arial" w:hAnsi="Arial"/>
          <w:sz w:val="18"/>
          <w:szCs w:val="18"/>
          <w:color w:val="auto"/>
        </w:rPr>
        <w:t>10.9*</w:t>
      </w:r>
      <w:r>
        <w:rPr>
          <w:sz w:val="20"/>
          <w:szCs w:val="20"/>
          <w:color w:val="auto"/>
        </w:rPr>
        <w:tab/>
      </w:r>
      <w:hyperlink r:id="rId43">
        <w:r>
          <w:rPr>
            <w:rFonts w:ascii="Arial" w:cs="Arial" w:eastAsia="Arial" w:hAnsi="Arial"/>
            <w:sz w:val="17"/>
            <w:szCs w:val="17"/>
            <w:u w:val="single" w:color="auto"/>
            <w:color w:val="0000EE"/>
          </w:rPr>
          <w:t>Form of Restricted Stock Unit Award Agreement under the Microbot Medical Inc. 2020 Omnibus Performance Award Plan (incorporated by</w:t>
        </w:r>
      </w:hyperlink>
      <w:r>
        <w:rPr>
          <w:rFonts w:ascii="Arial" w:cs="Arial" w:eastAsia="Arial" w:hAnsi="Arial"/>
          <w:sz w:val="17"/>
          <w:szCs w:val="17"/>
          <w:u w:val="single" w:color="auto"/>
          <w:color w:val="0000EE"/>
        </w:rPr>
        <w:t xml:space="preserve"> </w:t>
      </w:r>
      <w:hyperlink r:id="rId43">
        <w:r>
          <w:rPr>
            <w:rFonts w:ascii="Arial" w:cs="Arial" w:eastAsia="Arial" w:hAnsi="Arial"/>
            <w:sz w:val="17"/>
            <w:szCs w:val="17"/>
            <w:u w:val="single" w:color="auto"/>
            <w:color w:val="0000EE"/>
          </w:rPr>
          <w:t>reference to Exhibit 4.2 of the registration Statement on Form S-8 of the Company filed on November 25, 2020)</w:t>
        </w:r>
      </w:hyperlink>
    </w:p>
    <w:p>
      <w:pPr>
        <w:ind w:left="900" w:hanging="862"/>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44">
        <w:r>
          <w:rPr>
            <w:rFonts w:ascii="Arial" w:cs="Arial" w:eastAsia="Arial" w:hAnsi="Arial"/>
            <w:sz w:val="18"/>
            <w:szCs w:val="18"/>
            <w:u w:val="single" w:color="auto"/>
            <w:color w:val="0000EE"/>
          </w:rPr>
          <w:t>Form of NQO Award Agreement under the Microbot Medical Ltd. 2020 Omnibus Performance Award Plan (incorporated by reference to</w:t>
        </w:r>
      </w:hyperlink>
      <w:r>
        <w:rPr>
          <w:rFonts w:ascii="Arial" w:cs="Arial" w:eastAsia="Arial" w:hAnsi="Arial"/>
          <w:sz w:val="18"/>
          <w:szCs w:val="18"/>
          <w:u w:val="single" w:color="auto"/>
          <w:color w:val="0000EE"/>
        </w:rPr>
        <w:t xml:space="preserve"> </w:t>
      </w:r>
      <w:hyperlink r:id="rId44">
        <w:r>
          <w:rPr>
            <w:rFonts w:ascii="Arial" w:cs="Arial" w:eastAsia="Arial" w:hAnsi="Arial"/>
            <w:sz w:val="18"/>
            <w:szCs w:val="18"/>
            <w:u w:val="single" w:color="auto"/>
            <w:color w:val="0000EE"/>
          </w:rPr>
          <w:t>Exhibit 4.3 of the registration Statement on Form S-8 of the Company filed on November 25, 2020)</w:t>
        </w:r>
      </w:hyperlink>
    </w:p>
    <w:p>
      <w:pPr>
        <w:spacing w:after="0" w:line="1" w:lineRule="exact"/>
        <w:rPr>
          <w:sz w:val="20"/>
          <w:szCs w:val="20"/>
          <w:color w:val="auto"/>
        </w:rPr>
      </w:pPr>
    </w:p>
    <w:p>
      <w:pPr>
        <w:ind w:left="900" w:hanging="859"/>
        <w:spacing w:after="0" w:line="265" w:lineRule="auto"/>
        <w:tabs>
          <w:tab w:leader="none" w:pos="880" w:val="left"/>
        </w:tabs>
        <w:rPr>
          <w:rFonts w:ascii="Arial" w:cs="Arial" w:eastAsia="Arial" w:hAnsi="Arial"/>
          <w:sz w:val="17"/>
          <w:szCs w:val="17"/>
          <w:u w:val="single" w:color="auto"/>
          <w:color w:val="0000EE"/>
        </w:rPr>
      </w:pPr>
      <w:r>
        <w:rPr>
          <w:rFonts w:ascii="Arial" w:cs="Arial" w:eastAsia="Arial" w:hAnsi="Arial"/>
          <w:sz w:val="18"/>
          <w:szCs w:val="18"/>
          <w:color w:val="auto"/>
        </w:rPr>
        <w:t>10.11*</w:t>
      </w:r>
      <w:r>
        <w:rPr>
          <w:sz w:val="20"/>
          <w:szCs w:val="20"/>
          <w:color w:val="auto"/>
        </w:rPr>
        <w:tab/>
      </w:r>
      <w:hyperlink r:id="rId45">
        <w:r>
          <w:rPr>
            <w:rFonts w:ascii="Arial" w:cs="Arial" w:eastAsia="Arial" w:hAnsi="Arial"/>
            <w:sz w:val="17"/>
            <w:szCs w:val="17"/>
            <w:u w:val="single" w:color="auto"/>
            <w:color w:val="0000EE"/>
          </w:rPr>
          <w:t>Form of Restricted Stock Award Agreement under the Microbot Medical Ltd. 2020 Omnibus Performance Award Plan (incorporated by</w:t>
        </w:r>
      </w:hyperlink>
      <w:r>
        <w:rPr>
          <w:rFonts w:ascii="Arial" w:cs="Arial" w:eastAsia="Arial" w:hAnsi="Arial"/>
          <w:sz w:val="17"/>
          <w:szCs w:val="17"/>
          <w:u w:val="single" w:color="auto"/>
          <w:color w:val="0000EE"/>
        </w:rPr>
        <w:t xml:space="preserve"> </w:t>
      </w:r>
      <w:hyperlink r:id="rId45">
        <w:r>
          <w:rPr>
            <w:rFonts w:ascii="Arial" w:cs="Arial" w:eastAsia="Arial" w:hAnsi="Arial"/>
            <w:sz w:val="17"/>
            <w:szCs w:val="17"/>
            <w:u w:val="single" w:color="auto"/>
            <w:color w:val="0000EE"/>
          </w:rPr>
          <w:t>reference to Exhibit 4.4 of the registration Statement on Form S-8 of the Company filed on November 25, 2020)</w:t>
        </w:r>
      </w:hyperlink>
    </w:p>
    <w:p>
      <w:pPr>
        <w:ind w:left="900" w:hanging="862"/>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46">
        <w:r>
          <w:rPr>
            <w:rFonts w:ascii="Arial" w:cs="Arial" w:eastAsia="Arial" w:hAnsi="Arial"/>
            <w:sz w:val="18"/>
            <w:szCs w:val="18"/>
            <w:u w:val="single" w:color="auto"/>
            <w:color w:val="0000EE"/>
          </w:rPr>
          <w:t>Form of SAR Award Agreement under the Microbot Medical Ltd. 2020 Omnibus Performance Award Plan (incorporated by reference to</w:t>
        </w:r>
      </w:hyperlink>
      <w:r>
        <w:rPr>
          <w:rFonts w:ascii="Arial" w:cs="Arial" w:eastAsia="Arial" w:hAnsi="Arial"/>
          <w:sz w:val="18"/>
          <w:szCs w:val="18"/>
          <w:u w:val="single" w:color="auto"/>
          <w:color w:val="0000EE"/>
        </w:rPr>
        <w:t xml:space="preserve"> </w:t>
      </w:r>
      <w:hyperlink r:id="rId46">
        <w:r>
          <w:rPr>
            <w:rFonts w:ascii="Arial" w:cs="Arial" w:eastAsia="Arial" w:hAnsi="Arial"/>
            <w:sz w:val="18"/>
            <w:szCs w:val="18"/>
            <w:u w:val="single" w:color="auto"/>
            <w:color w:val="0000EE"/>
          </w:rPr>
          <w:t>Exhibit 4.5 of the registration Statement on Form S-8 of the Company filed on November 25, 2020)</w:t>
        </w:r>
      </w:hyperlink>
    </w:p>
    <w:p>
      <w:pPr>
        <w:spacing w:after="0" w:line="1" w:lineRule="exact"/>
        <w:rPr>
          <w:sz w:val="20"/>
          <w:szCs w:val="20"/>
          <w:color w:val="auto"/>
        </w:rPr>
      </w:pPr>
    </w:p>
    <w:p>
      <w:pPr>
        <w:ind w:left="900" w:hanging="862"/>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47">
        <w:r>
          <w:rPr>
            <w:rFonts w:ascii="Arial" w:cs="Arial" w:eastAsia="Arial" w:hAnsi="Arial"/>
            <w:sz w:val="18"/>
            <w:szCs w:val="18"/>
            <w:u w:val="single" w:color="auto"/>
            <w:color w:val="0000EE"/>
          </w:rPr>
          <w:t>Form of ISO Award Agreement under the Microbot Medical Ltd. 2020 Omnibus Performance Award Plan (incorporated by reference to</w:t>
        </w:r>
      </w:hyperlink>
      <w:r>
        <w:rPr>
          <w:rFonts w:ascii="Arial" w:cs="Arial" w:eastAsia="Arial" w:hAnsi="Arial"/>
          <w:sz w:val="18"/>
          <w:szCs w:val="18"/>
          <w:u w:val="single" w:color="auto"/>
          <w:color w:val="0000EE"/>
        </w:rPr>
        <w:t xml:space="preserve"> </w:t>
      </w:r>
      <w:hyperlink r:id="rId47">
        <w:r>
          <w:rPr>
            <w:rFonts w:ascii="Arial" w:cs="Arial" w:eastAsia="Arial" w:hAnsi="Arial"/>
            <w:sz w:val="18"/>
            <w:szCs w:val="18"/>
            <w:u w:val="single" w:color="auto"/>
            <w:color w:val="0000EE"/>
          </w:rPr>
          <w:t>Exhibit 4.6 of the registration Statement on Form S-8 of the Company filed on November 25, 2020)</w:t>
        </w:r>
      </w:hyperlink>
    </w:p>
    <w:p>
      <w:pPr>
        <w:spacing w:after="0" w:line="1" w:lineRule="exact"/>
        <w:rPr>
          <w:sz w:val="20"/>
          <w:szCs w:val="20"/>
          <w:color w:val="auto"/>
        </w:rPr>
      </w:pPr>
    </w:p>
    <w:p>
      <w:pPr>
        <w:ind w:left="900" w:hanging="862"/>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48">
        <w:r>
          <w:rPr>
            <w:rFonts w:ascii="Arial" w:cs="Arial" w:eastAsia="Arial" w:hAnsi="Arial"/>
            <w:sz w:val="18"/>
            <w:szCs w:val="18"/>
            <w:u w:val="single" w:color="auto"/>
            <w:color w:val="0000EE"/>
          </w:rPr>
          <w:t>Employment Agreement, as of March 31, 2018, with Simon Sharon (incorporated by reference to Exhibit 10.1 of the Company’s Form 8-K</w:t>
        </w:r>
      </w:hyperlink>
      <w:r>
        <w:rPr>
          <w:rFonts w:ascii="Arial" w:cs="Arial" w:eastAsia="Arial" w:hAnsi="Arial"/>
          <w:sz w:val="18"/>
          <w:szCs w:val="18"/>
          <w:u w:val="single" w:color="auto"/>
          <w:color w:val="0000EE"/>
        </w:rPr>
        <w:t xml:space="preserve"> </w:t>
      </w:r>
      <w:hyperlink r:id="rId48">
        <w:r>
          <w:rPr>
            <w:rFonts w:ascii="Arial" w:cs="Arial" w:eastAsia="Arial" w:hAnsi="Arial"/>
            <w:sz w:val="18"/>
            <w:szCs w:val="18"/>
            <w:u w:val="single" w:color="auto"/>
            <w:color w:val="0000EE"/>
          </w:rPr>
          <w:t>filed on April 7, 2021)</w:t>
        </w:r>
      </w:hyperlink>
    </w:p>
    <w:p>
      <w:pPr>
        <w:spacing w:after="0" w:line="1" w:lineRule="exact"/>
        <w:rPr>
          <w:sz w:val="20"/>
          <w:szCs w:val="20"/>
          <w:color w:val="auto"/>
        </w:rPr>
      </w:pPr>
    </w:p>
    <w:p>
      <w:pPr>
        <w:ind w:left="900" w:hanging="862"/>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49">
        <w:r>
          <w:rPr>
            <w:rFonts w:ascii="Arial" w:cs="Arial" w:eastAsia="Arial" w:hAnsi="Arial"/>
            <w:sz w:val="18"/>
            <w:szCs w:val="18"/>
            <w:u w:val="single" w:color="auto"/>
            <w:color w:val="0000EE"/>
          </w:rPr>
          <w:t>First Amendment to Employment Agreement, dated as of April 19, 2021, with Simon Sharon (incorporated by reference to Exhibit 10.1 of</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the Company’s Form 8-K filed on April 22, 2021)</w:t>
        </w:r>
      </w:hyperlink>
    </w:p>
    <w:p>
      <w:pPr>
        <w:spacing w:after="0" w:line="1" w:lineRule="exact"/>
        <w:rPr>
          <w:sz w:val="20"/>
          <w:szCs w:val="20"/>
          <w:color w:val="auto"/>
        </w:rPr>
      </w:pPr>
    </w:p>
    <w:p>
      <w:pPr>
        <w:jc w:val="both"/>
        <w:ind w:left="900" w:hanging="817"/>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50">
        <w:r>
          <w:rPr>
            <w:rFonts w:ascii="Arial" w:cs="Arial" w:eastAsia="Arial" w:hAnsi="Arial"/>
            <w:sz w:val="18"/>
            <w:szCs w:val="18"/>
            <w:u w:val="single" w:color="auto"/>
            <w:color w:val="0000EE"/>
          </w:rPr>
          <w:t>At the Market Offering Agreement, dated June 10, 2021, by and between Microbot Medical Inc. and H.C. Wainwright &amp; Co., LLC</w:t>
        </w:r>
      </w:hyperlink>
      <w:r>
        <w:rPr>
          <w:rFonts w:ascii="Arial" w:cs="Arial" w:eastAsia="Arial" w:hAnsi="Arial"/>
          <w:sz w:val="18"/>
          <w:szCs w:val="18"/>
          <w:u w:val="single" w:color="auto"/>
          <w:color w:val="0000EE"/>
        </w:rPr>
        <w:t xml:space="preserve"> </w:t>
      </w:r>
      <w:hyperlink r:id="rId50">
        <w:r>
          <w:rPr>
            <w:rFonts w:ascii="Arial" w:cs="Arial" w:eastAsia="Arial" w:hAnsi="Arial"/>
            <w:sz w:val="18"/>
            <w:szCs w:val="18"/>
            <w:u w:val="single" w:color="auto"/>
            <w:color w:val="0000EE"/>
          </w:rPr>
          <w:t>(incorporated by reference to Exhibit 10.1 of the Company’s Form 8-K filed on June 10, 2021)</w:t>
        </w:r>
      </w:hyperlink>
    </w:p>
    <w:p>
      <w:pPr>
        <w:spacing w:after="0" w:line="1" w:lineRule="exact"/>
        <w:rPr>
          <w:sz w:val="20"/>
          <w:szCs w:val="20"/>
          <w:color w:val="auto"/>
        </w:rPr>
      </w:pPr>
    </w:p>
    <w:p>
      <w:pPr>
        <w:ind w:left="900" w:hanging="907"/>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51">
        <w:r>
          <w:rPr>
            <w:rFonts w:ascii="Arial" w:cs="Arial" w:eastAsia="Arial" w:hAnsi="Arial"/>
            <w:sz w:val="18"/>
            <w:szCs w:val="18"/>
            <w:u w:val="single" w:color="auto"/>
            <w:color w:val="0000EE"/>
          </w:rPr>
          <w:t>Strategic Collaboration Agreement for Technology Co-Development with Stryker Corporation, acting through its Neurovascular Division</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(incorporated by reference to Exhibit 10.1 of the Company’s Form 8-K filed on December 27, 2021)</w:t>
        </w:r>
      </w:hyperlink>
    </w:p>
    <w:p>
      <w:pPr>
        <w:spacing w:after="0" w:line="1" w:lineRule="exact"/>
        <w:rPr>
          <w:sz w:val="20"/>
          <w:szCs w:val="20"/>
          <w:color w:val="auto"/>
        </w:rPr>
      </w:pPr>
    </w:p>
    <w:p>
      <w:pPr>
        <w:ind w:left="1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10.18</w:t>
      </w:r>
      <w:r>
        <w:rPr>
          <w:sz w:val="20"/>
          <w:szCs w:val="20"/>
          <w:color w:val="auto"/>
        </w:rPr>
        <w:tab/>
      </w:r>
      <w:hyperlink r:id="rId52">
        <w:r>
          <w:rPr>
            <w:rFonts w:ascii="Arial" w:cs="Arial" w:eastAsia="Arial" w:hAnsi="Arial"/>
            <w:sz w:val="16"/>
            <w:szCs w:val="16"/>
            <w:u w:val="single" w:color="auto"/>
            <w:color w:val="0000EE"/>
          </w:rPr>
          <w:t>Asset Purchase Agreement with Nitiloop, Ltd. dated October 6, 2022 (incorporated by reference to the Registrant’s Current Report on Form</w:t>
        </w:r>
      </w:hyperlink>
    </w:p>
    <w:p>
      <w:pPr>
        <w:spacing w:after="0" w:line="9" w:lineRule="exact"/>
        <w:rPr>
          <w:sz w:val="20"/>
          <w:szCs w:val="20"/>
          <w:color w:val="auto"/>
        </w:rPr>
      </w:pPr>
    </w:p>
    <w:p>
      <w:pPr>
        <w:ind w:left="900"/>
        <w:spacing w:after="0"/>
        <w:rPr>
          <w:rFonts w:ascii="Arial" w:cs="Arial" w:eastAsia="Arial" w:hAnsi="Arial"/>
          <w:sz w:val="18"/>
          <w:szCs w:val="18"/>
          <w:u w:val="single" w:color="auto"/>
          <w:color w:val="0000EE"/>
        </w:rPr>
      </w:pPr>
      <w:hyperlink r:id="rId52">
        <w:r>
          <w:rPr>
            <w:rFonts w:ascii="Arial" w:cs="Arial" w:eastAsia="Arial" w:hAnsi="Arial"/>
            <w:sz w:val="18"/>
            <w:szCs w:val="18"/>
            <w:u w:val="single" w:color="auto"/>
            <w:color w:val="0000EE"/>
          </w:rPr>
          <w:t>8-K filed on October 7, 2022)</w:t>
        </w:r>
      </w:hyperlink>
    </w:p>
    <w:p>
      <w:pPr>
        <w:spacing w:after="0" w:line="9" w:lineRule="exact"/>
        <w:rPr>
          <w:sz w:val="20"/>
          <w:szCs w:val="20"/>
          <w:color w:val="auto"/>
        </w:rPr>
      </w:pPr>
    </w:p>
    <w:p>
      <w:pPr>
        <w:ind w:left="40"/>
        <w:spacing w:after="0"/>
        <w:tabs>
          <w:tab w:leader="none" w:pos="880" w:val="left"/>
        </w:tabs>
        <w:rPr>
          <w:rFonts w:ascii="Arial" w:cs="Arial" w:eastAsia="Arial" w:hAnsi="Arial"/>
          <w:sz w:val="17"/>
          <w:szCs w:val="17"/>
          <w:u w:val="single" w:color="auto"/>
          <w:color w:val="0000EE"/>
        </w:rPr>
      </w:pPr>
      <w:r>
        <w:rPr>
          <w:rFonts w:ascii="Arial" w:cs="Arial" w:eastAsia="Arial" w:hAnsi="Arial"/>
          <w:sz w:val="18"/>
          <w:szCs w:val="18"/>
          <w:color w:val="auto"/>
        </w:rPr>
        <w:t>10.19*</w:t>
      </w:r>
      <w:r>
        <w:rPr>
          <w:sz w:val="20"/>
          <w:szCs w:val="20"/>
          <w:color w:val="auto"/>
        </w:rPr>
        <w:tab/>
      </w:r>
      <w:hyperlink r:id="rId53">
        <w:r>
          <w:rPr>
            <w:rFonts w:ascii="Arial" w:cs="Arial" w:eastAsia="Arial" w:hAnsi="Arial"/>
            <w:sz w:val="17"/>
            <w:szCs w:val="17"/>
            <w:u w:val="single" w:color="auto"/>
            <w:color w:val="0000EE"/>
          </w:rPr>
          <w:t>Employment Agreement with Rachel Vaknin (incorporated by reference to the Company’s Current Report on Form 8-K filed on April 5,</w:t>
        </w:r>
      </w:hyperlink>
    </w:p>
    <w:p>
      <w:pPr>
        <w:spacing w:after="0" w:line="9" w:lineRule="exact"/>
        <w:rPr>
          <w:sz w:val="20"/>
          <w:szCs w:val="20"/>
          <w:color w:val="auto"/>
        </w:rPr>
      </w:pPr>
    </w:p>
    <w:p>
      <w:pPr>
        <w:ind w:left="900"/>
        <w:spacing w:after="0"/>
        <w:rPr>
          <w:rFonts w:ascii="Arial" w:cs="Arial" w:eastAsia="Arial" w:hAnsi="Arial"/>
          <w:sz w:val="18"/>
          <w:szCs w:val="18"/>
          <w:u w:val="single" w:color="auto"/>
          <w:color w:val="0000EE"/>
        </w:rPr>
      </w:pPr>
      <w:hyperlink r:id="rId53">
        <w:r>
          <w:rPr>
            <w:rFonts w:ascii="Arial" w:cs="Arial" w:eastAsia="Arial" w:hAnsi="Arial"/>
            <w:sz w:val="18"/>
            <w:szCs w:val="18"/>
            <w:u w:val="single" w:color="auto"/>
            <w:color w:val="0000EE"/>
          </w:rPr>
          <w:t>2022)</w:t>
        </w:r>
      </w:hyperlink>
    </w:p>
    <w:p>
      <w:pPr>
        <w:spacing w:after="0" w:line="9" w:lineRule="exact"/>
        <w:rPr>
          <w:sz w:val="20"/>
          <w:szCs w:val="20"/>
          <w:color w:val="auto"/>
        </w:rPr>
      </w:pPr>
    </w:p>
    <w:p>
      <w:pPr>
        <w:ind w:left="900" w:hanging="862"/>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54">
        <w:r>
          <w:rPr>
            <w:rFonts w:ascii="Arial" w:cs="Arial" w:eastAsia="Arial" w:hAnsi="Arial"/>
            <w:sz w:val="18"/>
            <w:szCs w:val="18"/>
            <w:u w:val="single" w:color="auto"/>
            <w:color w:val="0000EE"/>
          </w:rPr>
          <w:t>Second Amendment to Employment Agreement with Harel Gadot (incorporated by reference to the Company’s Current Report on Form 8-K</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filed on February 1, 2022)</w:t>
        </w:r>
      </w:hyperlink>
    </w:p>
    <w:p>
      <w:pPr>
        <w:spacing w:after="0" w:line="1" w:lineRule="exact"/>
        <w:rPr>
          <w:sz w:val="20"/>
          <w:szCs w:val="20"/>
          <w:color w:val="auto"/>
        </w:rPr>
      </w:pPr>
    </w:p>
    <w:p>
      <w:pPr>
        <w:jc w:val="both"/>
        <w:ind w:left="900" w:hanging="817"/>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55">
        <w:r>
          <w:rPr>
            <w:rFonts w:ascii="Arial" w:cs="Arial" w:eastAsia="Arial" w:hAnsi="Arial"/>
            <w:sz w:val="18"/>
            <w:szCs w:val="18"/>
            <w:u w:val="single" w:color="auto"/>
            <w:color w:val="0000EE"/>
          </w:rPr>
          <w:t>Letter Agreements dated March 18, 2021 between Microbot Medical Ltd. and Technion Research and Development Foundation Ltd.</w:t>
        </w:r>
      </w:hyperlink>
      <w:r>
        <w:rPr>
          <w:rFonts w:ascii="Arial" w:cs="Arial" w:eastAsia="Arial" w:hAnsi="Arial"/>
          <w:sz w:val="18"/>
          <w:szCs w:val="18"/>
          <w:u w:val="single" w:color="auto"/>
          <w:color w:val="0000EE"/>
        </w:rPr>
        <w:t xml:space="preserve"> </w:t>
      </w:r>
      <w:hyperlink r:id="rId55">
        <w:r>
          <w:rPr>
            <w:rFonts w:ascii="Arial" w:cs="Arial" w:eastAsia="Arial" w:hAnsi="Arial"/>
            <w:sz w:val="18"/>
            <w:szCs w:val="18"/>
            <w:u w:val="single" w:color="auto"/>
            <w:color w:val="0000EE"/>
          </w:rPr>
          <w:t>(incorporated by reference to the Company’s Annual Report on Form 10-K for the Fiscal Year ended December 31, 2022, filed on March 31,</w:t>
        </w:r>
      </w:hyperlink>
      <w:r>
        <w:rPr>
          <w:rFonts w:ascii="Arial" w:cs="Arial" w:eastAsia="Arial" w:hAnsi="Arial"/>
          <w:sz w:val="18"/>
          <w:szCs w:val="18"/>
          <w:u w:val="single" w:color="auto"/>
          <w:color w:val="0000EE"/>
        </w:rPr>
        <w:t xml:space="preserve"> </w:t>
      </w:r>
      <w:hyperlink r:id="rId55">
        <w:r>
          <w:rPr>
            <w:rFonts w:ascii="Arial" w:cs="Arial" w:eastAsia="Arial" w:hAnsi="Arial"/>
            <w:sz w:val="18"/>
            <w:szCs w:val="18"/>
            <w:u w:val="single" w:color="auto"/>
            <w:color w:val="0000EE"/>
          </w:rPr>
          <w:t>2023)</w:t>
        </w:r>
      </w:hyperlink>
    </w:p>
    <w:p>
      <w:pPr>
        <w:spacing w:after="0" w:line="1" w:lineRule="exact"/>
        <w:rPr>
          <w:rFonts w:ascii="Arial" w:cs="Arial" w:eastAsia="Arial" w:hAnsi="Arial"/>
          <w:sz w:val="18"/>
          <w:szCs w:val="18"/>
          <w:u w:val="single" w:color="auto"/>
          <w:color w:val="0000EE"/>
        </w:rPr>
      </w:pPr>
    </w:p>
    <w:p>
      <w:pPr>
        <w:jc w:val="both"/>
        <w:ind w:left="900" w:hanging="817"/>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56">
        <w:r>
          <w:rPr>
            <w:rFonts w:ascii="Arial" w:cs="Arial" w:eastAsia="Arial" w:hAnsi="Arial"/>
            <w:sz w:val="18"/>
            <w:szCs w:val="18"/>
            <w:u w:val="single" w:color="auto"/>
            <w:color w:val="0000EE"/>
          </w:rPr>
          <w:t>Form of Securities Purchase Agreement, dated as of October 21, 2022, by and among Microbot Medical Inc. and the purchaser party thereto</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(incorporated by reference to the Registrant’s Current Report on Form 8-K filed on October 25, 2022)</w:t>
        </w:r>
      </w:hyperlink>
    </w:p>
    <w:p>
      <w:pPr>
        <w:spacing w:after="0" w:line="1" w:lineRule="exact"/>
        <w:rPr>
          <w:sz w:val="20"/>
          <w:szCs w:val="20"/>
          <w:color w:val="auto"/>
        </w:rPr>
      </w:pPr>
    </w:p>
    <w:p>
      <w:pPr>
        <w:ind w:left="900" w:hanging="862"/>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57">
        <w:r>
          <w:rPr>
            <w:rFonts w:ascii="Arial" w:cs="Arial" w:eastAsia="Arial" w:hAnsi="Arial"/>
            <w:sz w:val="18"/>
            <w:szCs w:val="18"/>
            <w:u w:val="single" w:color="auto"/>
            <w:color w:val="0000EE"/>
          </w:rPr>
          <w:t>Addendum to Employment Agreement with Rachel Vaknin (incorporated by reference to the Company’s Current Report on Form 8-K filed</w:t>
        </w:r>
      </w:hyperlink>
      <w:r>
        <w:rPr>
          <w:rFonts w:ascii="Arial" w:cs="Arial" w:eastAsia="Arial" w:hAnsi="Arial"/>
          <w:sz w:val="18"/>
          <w:szCs w:val="18"/>
          <w:u w:val="single" w:color="auto"/>
          <w:color w:val="0000EE"/>
        </w:rPr>
        <w:t xml:space="preserve"> </w:t>
      </w:r>
      <w:hyperlink r:id="rId57">
        <w:r>
          <w:rPr>
            <w:rFonts w:ascii="Arial" w:cs="Arial" w:eastAsia="Arial" w:hAnsi="Arial"/>
            <w:sz w:val="18"/>
            <w:szCs w:val="18"/>
            <w:u w:val="single" w:color="auto"/>
            <w:color w:val="0000EE"/>
          </w:rPr>
          <w:t>on May 22, 2023)</w:t>
        </w:r>
      </w:hyperlink>
    </w:p>
    <w:p>
      <w:pPr>
        <w:spacing w:after="0" w:line="1" w:lineRule="exact"/>
        <w:rPr>
          <w:sz w:val="20"/>
          <w:szCs w:val="20"/>
          <w:color w:val="auto"/>
        </w:rPr>
      </w:pPr>
    </w:p>
    <w:p>
      <w:pPr>
        <w:ind w:left="900" w:hanging="862"/>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58">
        <w:r>
          <w:rPr>
            <w:rFonts w:ascii="Arial" w:cs="Arial" w:eastAsia="Arial" w:hAnsi="Arial"/>
            <w:sz w:val="18"/>
            <w:szCs w:val="18"/>
            <w:u w:val="single" w:color="auto"/>
            <w:color w:val="0000EE"/>
          </w:rPr>
          <w:t>Addendum to Employment Agreement with Simon Sharon (incorporated by reference to the Company’s Current Report on Form 8-K filed</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on May 22, 2023)</w:t>
        </w:r>
      </w:hyperlink>
    </w:p>
    <w:p>
      <w:pPr>
        <w:spacing w:after="0" w:line="1" w:lineRule="exact"/>
        <w:rPr>
          <w:sz w:val="20"/>
          <w:szCs w:val="20"/>
          <w:color w:val="auto"/>
        </w:rPr>
      </w:pPr>
    </w:p>
    <w:p>
      <w:pPr>
        <w:ind w:left="900" w:hanging="862"/>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59">
        <w:r>
          <w:rPr>
            <w:rFonts w:ascii="Arial" w:cs="Arial" w:eastAsia="Arial" w:hAnsi="Arial"/>
            <w:sz w:val="18"/>
            <w:szCs w:val="18"/>
            <w:u w:val="single" w:color="auto"/>
            <w:color w:val="0000EE"/>
          </w:rPr>
          <w:t>Addendum to Employment Agreement with Eyal Morag (incorporated by reference to the Company’s Current Report on Form 8-K filed on</w:t>
        </w:r>
      </w:hyperlink>
      <w:r>
        <w:rPr>
          <w:rFonts w:ascii="Arial" w:cs="Arial" w:eastAsia="Arial" w:hAnsi="Arial"/>
          <w:sz w:val="18"/>
          <w:szCs w:val="18"/>
          <w:u w:val="single" w:color="auto"/>
          <w:color w:val="0000EE"/>
        </w:rPr>
        <w:t xml:space="preserve"> </w:t>
      </w:r>
      <w:hyperlink r:id="rId59">
        <w:r>
          <w:rPr>
            <w:rFonts w:ascii="Arial" w:cs="Arial" w:eastAsia="Arial" w:hAnsi="Arial"/>
            <w:sz w:val="18"/>
            <w:szCs w:val="18"/>
            <w:u w:val="single" w:color="auto"/>
            <w:color w:val="0000EE"/>
          </w:rPr>
          <w:t>May 22, 2023)</w:t>
        </w:r>
      </w:hyperlink>
    </w:p>
    <w:p>
      <w:pPr>
        <w:spacing w:after="0" w:line="1" w:lineRule="exact"/>
        <w:rPr>
          <w:sz w:val="20"/>
          <w:szCs w:val="20"/>
          <w:color w:val="auto"/>
        </w:rPr>
      </w:pPr>
    </w:p>
    <w:p>
      <w:pPr>
        <w:ind w:left="900" w:hanging="862"/>
        <w:spacing w:after="0" w:line="25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60">
        <w:r>
          <w:rPr>
            <w:rFonts w:ascii="Arial" w:cs="Arial" w:eastAsia="Arial" w:hAnsi="Arial"/>
            <w:sz w:val="18"/>
            <w:szCs w:val="18"/>
            <w:u w:val="single" w:color="auto"/>
            <w:color w:val="0000EE"/>
          </w:rPr>
          <w:t>Addendum to Employment Agreement with Eyal Morag. (incorporated by reference to the Company’s Current Report on Form 8-K filed on</w:t>
        </w:r>
      </w:hyperlink>
      <w:r>
        <w:rPr>
          <w:rFonts w:ascii="Arial" w:cs="Arial" w:eastAsia="Arial" w:hAnsi="Arial"/>
          <w:sz w:val="18"/>
          <w:szCs w:val="18"/>
          <w:u w:val="single" w:color="auto"/>
          <w:color w:val="0000EE"/>
        </w:rPr>
        <w:t xml:space="preserve"> </w:t>
      </w:r>
      <w:hyperlink r:id="rId60">
        <w:r>
          <w:rPr>
            <w:rFonts w:ascii="Arial" w:cs="Arial" w:eastAsia="Arial" w:hAnsi="Arial"/>
            <w:sz w:val="18"/>
            <w:szCs w:val="18"/>
            <w:u w:val="single" w:color="auto"/>
            <w:color w:val="0000EE"/>
          </w:rPr>
          <w:t>May 22, 2023)</w:t>
        </w:r>
      </w:hyperlink>
    </w:p>
    <w:p>
      <w:pPr>
        <w:spacing w:after="0" w:line="1" w:lineRule="exact"/>
        <w:rPr>
          <w:sz w:val="20"/>
          <w:szCs w:val="20"/>
          <w:color w:val="auto"/>
        </w:rPr>
      </w:pPr>
    </w:p>
    <w:p>
      <w:pPr>
        <w:ind w:left="900" w:hanging="817"/>
        <w:spacing w:after="0" w:line="260"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61">
        <w:r>
          <w:rPr>
            <w:rFonts w:ascii="Arial" w:cs="Arial" w:eastAsia="Arial" w:hAnsi="Arial"/>
            <w:sz w:val="18"/>
            <w:szCs w:val="18"/>
            <w:u w:val="single" w:color="auto"/>
            <w:color w:val="0000EE"/>
          </w:rPr>
          <w:t>Form of Securities Purchase Agreement, dated as of May 22, 2023, by and among Microbot Medical Inc. and the purchasers party thereto</w:t>
        </w:r>
      </w:hyperlink>
      <w:r>
        <w:rPr>
          <w:rFonts w:ascii="Arial" w:cs="Arial" w:eastAsia="Arial" w:hAnsi="Arial"/>
          <w:sz w:val="18"/>
          <w:szCs w:val="18"/>
          <w:u w:val="single" w:color="auto"/>
          <w:color w:val="0000EE"/>
        </w:rPr>
        <w:t xml:space="preserve"> </w:t>
      </w:r>
      <w:hyperlink r:id="rId61">
        <w:r>
          <w:rPr>
            <w:rFonts w:ascii="Arial" w:cs="Arial" w:eastAsia="Arial" w:hAnsi="Arial"/>
            <w:sz w:val="18"/>
            <w:szCs w:val="18"/>
            <w:u w:val="single" w:color="auto"/>
            <w:color w:val="0000EE"/>
          </w:rPr>
          <w:t>(incorporated by reference to the Registrant’s Current Report on Form 8-K filed on May 23, 2023)</w:t>
        </w:r>
      </w:hyperlink>
    </w:p>
    <w:p>
      <w:pPr>
        <w:spacing w:after="0" w:line="21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520" w:top="692" w:right="339" w:bottom="1440" w:gutter="0" w:footer="0" w:header="0"/>
        </w:sectPr>
      </w:pPr>
    </w:p>
    <w:bookmarkStart w:id="5" w:name="page6"/>
    <w:bookmarkEnd w:id="5"/>
    <w:p>
      <w:pPr>
        <w:ind w:left="1100" w:hanging="817"/>
        <w:spacing w:after="0" w:line="258"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10.28</w:t>
      </w:r>
      <w:r>
        <w:rPr>
          <w:sz w:val="20"/>
          <w:szCs w:val="20"/>
          <w:color w:val="auto"/>
        </w:rPr>
        <w:tab/>
      </w:r>
      <w:hyperlink r:id="rId63">
        <w:r>
          <w:rPr>
            <w:rFonts w:ascii="Arial" w:cs="Arial" w:eastAsia="Arial" w:hAnsi="Arial"/>
            <w:sz w:val="18"/>
            <w:szCs w:val="18"/>
            <w:u w:val="single" w:color="auto"/>
            <w:color w:val="0000EE"/>
          </w:rPr>
          <w:t>Form of Securities Purchase Agreement, dated as of May 23, 2023, by and among Microbot Medical Inc. and the purchaser party thereto</w:t>
        </w:r>
      </w:hyperlink>
      <w:r>
        <w:rPr>
          <w:rFonts w:ascii="Arial" w:cs="Arial" w:eastAsia="Arial" w:hAnsi="Arial"/>
          <w:sz w:val="18"/>
          <w:szCs w:val="18"/>
          <w:u w:val="single" w:color="auto"/>
          <w:color w:val="0000EE"/>
        </w:rPr>
        <w:t xml:space="preserve"> </w:t>
      </w:r>
      <w:hyperlink r:id="rId63">
        <w:r>
          <w:rPr>
            <w:rFonts w:ascii="Arial" w:cs="Arial" w:eastAsia="Arial" w:hAnsi="Arial"/>
            <w:sz w:val="18"/>
            <w:szCs w:val="18"/>
            <w:u w:val="single" w:color="auto"/>
            <w:color w:val="0000EE"/>
          </w:rPr>
          <w:t>(incorporated by reference to the Registrant’s Current Report on Form 8-K filed on May 24, 2023)</w:t>
        </w:r>
      </w:hyperlink>
    </w:p>
    <w:p>
      <w:pPr>
        <w:spacing w:after="0" w:line="1" w:lineRule="exact"/>
        <w:rPr>
          <w:sz w:val="20"/>
          <w:szCs w:val="20"/>
          <w:color w:val="auto"/>
        </w:rPr>
      </w:pPr>
    </w:p>
    <w:p>
      <w:pPr>
        <w:ind w:left="1100" w:hanging="817"/>
        <w:spacing w:after="0" w:line="250"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64">
        <w:r>
          <w:rPr>
            <w:rFonts w:ascii="Arial" w:cs="Arial" w:eastAsia="Arial" w:hAnsi="Arial"/>
            <w:sz w:val="18"/>
            <w:szCs w:val="18"/>
            <w:u w:val="single" w:color="auto"/>
            <w:color w:val="0000EE"/>
          </w:rPr>
          <w:t>Form of Securities Purchase Agreement, dated as of June 2, 2023, by and among Microbot Medical Inc. and the purchasers party thereto</w:t>
        </w:r>
      </w:hyperlink>
      <w:r>
        <w:rPr>
          <w:rFonts w:ascii="Arial" w:cs="Arial" w:eastAsia="Arial" w:hAnsi="Arial"/>
          <w:sz w:val="18"/>
          <w:szCs w:val="18"/>
          <w:u w:val="single" w:color="auto"/>
          <w:color w:val="0000EE"/>
        </w:rPr>
        <w:t xml:space="preserve"> </w:t>
      </w:r>
      <w:hyperlink r:id="rId64">
        <w:r>
          <w:rPr>
            <w:rFonts w:ascii="Arial" w:cs="Arial" w:eastAsia="Arial" w:hAnsi="Arial"/>
            <w:sz w:val="18"/>
            <w:szCs w:val="18"/>
            <w:u w:val="single" w:color="auto"/>
            <w:color w:val="0000EE"/>
          </w:rPr>
          <w:t>(incorporated by reference to the Registrant’s Current Report on Form 8-K filed on June 6, 2023)</w:t>
        </w:r>
      </w:hyperlink>
    </w:p>
    <w:p>
      <w:pPr>
        <w:spacing w:after="0" w:line="1" w:lineRule="exact"/>
        <w:rPr>
          <w:sz w:val="20"/>
          <w:szCs w:val="20"/>
          <w:color w:val="auto"/>
        </w:rPr>
      </w:pPr>
    </w:p>
    <w:p>
      <w:pPr>
        <w:ind w:left="1100" w:hanging="817"/>
        <w:spacing w:after="0" w:line="250" w:lineRule="auto"/>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65">
        <w:r>
          <w:rPr>
            <w:rFonts w:ascii="Arial" w:cs="Arial" w:eastAsia="Arial" w:hAnsi="Arial"/>
            <w:sz w:val="18"/>
            <w:szCs w:val="18"/>
            <w:u w:val="single" w:color="auto"/>
            <w:color w:val="0000EE"/>
          </w:rPr>
          <w:t>Form of Securities Purchase Agreement, dated as of June 26, 2023, by and among Microbot Medical Inc. and the purchasers party thereto</w:t>
        </w:r>
      </w:hyperlink>
      <w:r>
        <w:rPr>
          <w:rFonts w:ascii="Arial" w:cs="Arial" w:eastAsia="Arial" w:hAnsi="Arial"/>
          <w:sz w:val="18"/>
          <w:szCs w:val="18"/>
          <w:u w:val="single" w:color="auto"/>
          <w:color w:val="0000EE"/>
        </w:rPr>
        <w:t xml:space="preserve"> </w:t>
      </w:r>
      <w:hyperlink r:id="rId65">
        <w:r>
          <w:rPr>
            <w:rFonts w:ascii="Arial" w:cs="Arial" w:eastAsia="Arial" w:hAnsi="Arial"/>
            <w:sz w:val="18"/>
            <w:szCs w:val="18"/>
            <w:u w:val="single" w:color="auto"/>
            <w:color w:val="0000EE"/>
          </w:rPr>
          <w:t>(incorporated by reference to the Registrant’s Current Report on Form 8-K filed on June 28, 2023)</w:t>
        </w:r>
      </w:hyperlink>
    </w:p>
    <w:p>
      <w:pPr>
        <w:spacing w:after="0" w:line="1" w:lineRule="exact"/>
        <w:rPr>
          <w:sz w:val="20"/>
          <w:szCs w:val="20"/>
          <w:color w:val="auto"/>
        </w:rPr>
      </w:pPr>
    </w:p>
    <w:p>
      <w:pPr>
        <w:ind w:left="34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r:id="rId66">
        <w:r>
          <w:rPr>
            <w:rFonts w:ascii="Arial" w:cs="Arial" w:eastAsia="Arial" w:hAnsi="Arial"/>
            <w:sz w:val="16"/>
            <w:szCs w:val="16"/>
            <w:u w:val="single" w:color="auto"/>
            <w:color w:val="0000EE"/>
          </w:rPr>
          <w:t>Subsidiaries of the Company (incorporated by reference to the Company’s Annual Report on Form 10-K for the fiscal year ended December</w:t>
        </w:r>
      </w:hyperlink>
    </w:p>
    <w:p>
      <w:pPr>
        <w:spacing w:after="0" w:line="9" w:lineRule="exact"/>
        <w:rPr>
          <w:sz w:val="20"/>
          <w:szCs w:val="20"/>
          <w:color w:val="auto"/>
        </w:rPr>
      </w:pPr>
    </w:p>
    <w:p>
      <w:pPr>
        <w:ind w:left="1100"/>
        <w:spacing w:after="0"/>
        <w:rPr>
          <w:rFonts w:ascii="Arial" w:cs="Arial" w:eastAsia="Arial" w:hAnsi="Arial"/>
          <w:sz w:val="18"/>
          <w:szCs w:val="18"/>
          <w:u w:val="single" w:color="auto"/>
          <w:color w:val="0000EE"/>
        </w:rPr>
      </w:pPr>
      <w:hyperlink r:id="rId66">
        <w:r>
          <w:rPr>
            <w:rFonts w:ascii="Arial" w:cs="Arial" w:eastAsia="Arial" w:hAnsi="Arial"/>
            <w:sz w:val="18"/>
            <w:szCs w:val="18"/>
            <w:u w:val="single" w:color="auto"/>
            <w:color w:val="0000EE"/>
          </w:rPr>
          <w:t>31, 2016 and filed on March 21, 2017).</w:t>
        </w:r>
      </w:hyperlink>
    </w:p>
    <w:p>
      <w:pPr>
        <w:spacing w:after="0" w:line="9" w:lineRule="exact"/>
        <w:rPr>
          <w:sz w:val="20"/>
          <w:szCs w:val="20"/>
          <w:color w:val="auto"/>
        </w:rPr>
      </w:pPr>
    </w:p>
    <w:p>
      <w:pPr>
        <w:ind w:left="28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r:id="rId67">
        <w:r>
          <w:rPr>
            <w:rFonts w:ascii="Arial" w:cs="Arial" w:eastAsia="Arial" w:hAnsi="Arial"/>
            <w:sz w:val="16"/>
            <w:szCs w:val="16"/>
            <w:u w:val="single" w:color="auto"/>
            <w:color w:val="0000EE"/>
          </w:rPr>
          <w:t>Consent of Independent Registered Public Accounting Firm</w:t>
        </w:r>
      </w:hyperlink>
    </w:p>
    <w:p>
      <w:pPr>
        <w:spacing w:after="0" w:line="9"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u w:val="single" w:color="auto"/>
          <w:color w:val="0000EE"/>
        </w:rPr>
        <w:t>Consent of Ruskin Moscou Faltischek PC (included in Exhibit 5.1)</w:t>
      </w:r>
    </w:p>
    <w:p>
      <w:pPr>
        <w:spacing w:after="0" w:line="9" w:lineRule="exact"/>
        <w:rPr>
          <w:sz w:val="20"/>
          <w:szCs w:val="20"/>
          <w:color w:val="auto"/>
        </w:rPr>
      </w:pPr>
    </w:p>
    <w:p>
      <w:pPr>
        <w:ind w:left="280"/>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r:id="rId68">
        <w:r>
          <w:rPr>
            <w:rFonts w:ascii="Arial" w:cs="Arial" w:eastAsia="Arial" w:hAnsi="Arial"/>
            <w:sz w:val="16"/>
            <w:szCs w:val="16"/>
            <w:u w:val="single" w:color="auto"/>
            <w:color w:val="0000EE"/>
          </w:rPr>
          <w:t>Power of Attorney (included on signature page)</w:t>
        </w:r>
      </w:hyperlink>
    </w:p>
    <w:p>
      <w:pPr>
        <w:spacing w:after="0" w:line="9" w:lineRule="exact"/>
        <w:rPr>
          <w:sz w:val="20"/>
          <w:szCs w:val="20"/>
          <w:color w:val="auto"/>
        </w:rPr>
      </w:pPr>
    </w:p>
    <w:p>
      <w:pPr>
        <w:ind w:left="300"/>
        <w:spacing w:after="0"/>
        <w:tabs>
          <w:tab w:leader="none" w:pos="108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69">
        <w:r>
          <w:rPr>
            <w:rFonts w:ascii="Arial" w:cs="Arial" w:eastAsia="Arial" w:hAnsi="Arial"/>
            <w:sz w:val="18"/>
            <w:szCs w:val="18"/>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31"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3" w:lineRule="exact"/>
        <w:rPr>
          <w:sz w:val="20"/>
          <w:szCs w:val="20"/>
          <w:color w:val="auto"/>
        </w:rPr>
      </w:pPr>
    </w:p>
    <w:p>
      <w:pPr>
        <w:ind w:left="340" w:hanging="339"/>
        <w:spacing w:after="0" w:line="250" w:lineRule="auto"/>
        <w:tabs>
          <w:tab w:leader="none" w:pos="320" w:val="left"/>
        </w:tabs>
        <w:rPr>
          <w:sz w:val="20"/>
          <w:szCs w:val="20"/>
          <w:color w:val="auto"/>
        </w:rPr>
      </w:pPr>
      <w:r>
        <w:rPr>
          <w:rFonts w:ascii="Arial" w:cs="Arial" w:eastAsia="Arial" w:hAnsi="Arial"/>
          <w:sz w:val="18"/>
          <w:szCs w:val="18"/>
          <w:color w:val="auto"/>
        </w:rPr>
        <w:t>**</w:t>
        <w:tab/>
        <w:t>Certain identified information has been excluded from this exhibit because it is both (i) not material and (ii) would be competitively harmful if publicly disclosed.</w:t>
      </w:r>
    </w:p>
    <w:p>
      <w:pPr>
        <w:spacing w:after="0" w:line="1"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Financial statement schedule.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(the “Act”);</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-1116330</wp:posOffset>
            </wp:positionV>
            <wp:extent cx="7132320" cy="1097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2">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spacing w:after="0" w:line="15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Provided, however,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548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67" w:lineRule="exact"/>
        <w:rPr>
          <w:sz w:val="20"/>
          <w:szCs w:val="20"/>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-842010</wp:posOffset>
            </wp:positionV>
            <wp:extent cx="7132320" cy="548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4">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50" w:lineRule="exact"/>
        <w:rPr>
          <w:sz w:val="20"/>
          <w:szCs w:val="20"/>
          <w:color w:val="auto"/>
        </w:rPr>
      </w:pPr>
    </w:p>
    <w:p>
      <w:pPr>
        <w:jc w:val="both"/>
        <w:ind w:left="660" w:hanging="328"/>
        <w:spacing w:after="0" w:line="291" w:lineRule="auto"/>
        <w:tabs>
          <w:tab w:leader="none" w:pos="660" w:val="left"/>
        </w:tabs>
        <w:numPr>
          <w:ilvl w:val="1"/>
          <w:numId w:val="6"/>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a part of the registration statement will, as to a purchaser with a time of contract of sale prior to such first use, superseded or modify any statement that was made in the registration statement or prospectus that was part of the registration statement or made in any such document immediately prior to such date of first use.</w:t>
      </w:r>
    </w:p>
    <w:p>
      <w:pPr>
        <w:spacing w:after="0" w:line="166" w:lineRule="exact"/>
        <w:rPr>
          <w:rFonts w:ascii="Arial" w:cs="Arial" w:eastAsia="Arial" w:hAnsi="Arial"/>
          <w:sz w:val="16"/>
          <w:szCs w:val="16"/>
          <w:color w:val="auto"/>
        </w:rPr>
      </w:pPr>
    </w:p>
    <w:p>
      <w:pPr>
        <w:jc w:val="both"/>
        <w:ind w:left="340" w:hanging="332"/>
        <w:spacing w:after="0" w:line="25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-1791335</wp:posOffset>
            </wp:positionV>
            <wp:extent cx="7132320" cy="960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5">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168" w:lineRule="exact"/>
        <w:rPr>
          <w:sz w:val="20"/>
          <w:szCs w:val="20"/>
          <w:color w:val="auto"/>
        </w:rPr>
      </w:pPr>
    </w:p>
    <w:p>
      <w:pPr>
        <w:jc w:val="both"/>
        <w:ind w:left="340" w:hanging="332"/>
        <w:spacing w:after="0" w:line="25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Act may be permitted to directors, officers and controlling persons of the registrant pursuant to the foregoing provisions, or otherwise, the registrant has been advised that in the opinion of the Securities and Exchange Commission, or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on Form S-1 to be signed on its behalf by the undersigned, thereunto duly authorized in the City of Braintree, Commonwealth of Massachusetts, on July 14, 2023.</w:t>
      </w:r>
    </w:p>
    <w:p>
      <w:pPr>
        <w:spacing w:after="0" w:line="14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4840" w:type="dxa"/>
            <w:vAlign w:val="bottom"/>
            <w:gridSpan w:val="3"/>
          </w:tcPr>
          <w:p>
            <w:pPr>
              <w:ind w:left="12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34"/>
        </w:trPr>
        <w:tc>
          <w:tcPr>
            <w:tcW w:w="560" w:type="dxa"/>
            <w:vAlign w:val="bottom"/>
            <w:shd w:val="clear" w:color="auto" w:fill="000000"/>
          </w:tcPr>
          <w:p>
            <w:pPr>
              <w:spacing w:after="0"/>
              <w:rPr>
                <w:sz w:val="2"/>
                <w:szCs w:val="2"/>
                <w:color w:val="auto"/>
              </w:rPr>
            </w:pPr>
          </w:p>
        </w:tc>
        <w:tc>
          <w:tcPr>
            <w:tcW w:w="3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shd w:val="clear" w:color="auto" w:fill="000000"/>
          </w:tcPr>
          <w:p>
            <w:pPr>
              <w:spacing w:after="0"/>
              <w:rPr>
                <w:sz w:val="2"/>
                <w:szCs w:val="2"/>
                <w:color w:val="auto"/>
              </w:rPr>
            </w:pPr>
          </w:p>
        </w:tc>
        <w:tc>
          <w:tcPr>
            <w:tcW w:w="2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shd w:val="clear" w:color="auto" w:fill="000000"/>
          </w:tcPr>
          <w:p>
            <w:pPr>
              <w:spacing w:after="0"/>
              <w:rPr>
                <w:sz w:val="2"/>
                <w:szCs w:val="2"/>
                <w:color w:val="auto"/>
              </w:rPr>
            </w:pPr>
          </w:p>
        </w:tc>
      </w:tr>
      <w:tr>
        <w:trPr>
          <w:trHeight w:val="453"/>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Harel Gadot</w:t>
            </w: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Chairman, President and Chief Executive Officer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July 14, 2023</w:t>
            </w:r>
          </w:p>
        </w:tc>
      </w:tr>
      <w:tr>
        <w:trPr>
          <w:trHeight w:val="234"/>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Harel Gadot</w:t>
            </w:r>
          </w:p>
        </w:tc>
        <w:tc>
          <w:tcPr>
            <w:tcW w:w="48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(Principal Executive Officer)</w:t>
            </w: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4"/>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Rachel Vaknin</w:t>
            </w: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July 14, 2023</w:t>
            </w:r>
          </w:p>
        </w:tc>
      </w:tr>
      <w:tr>
        <w:trPr>
          <w:trHeight w:val="234"/>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Rachel Vaknin</w:t>
            </w:r>
          </w:p>
        </w:tc>
        <w:tc>
          <w:tcPr>
            <w:tcW w:w="484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4"/>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040" w:type="dxa"/>
            <w:vAlign w:val="bottom"/>
            <w:tcBorders>
              <w:bottom w:val="single" w:sz="8" w:color="auto"/>
            </w:tcBorders>
          </w:tcPr>
          <w:p>
            <w:pPr>
              <w:spacing w:after="0"/>
              <w:rPr>
                <w:sz w:val="24"/>
                <w:szCs w:val="24"/>
                <w:color w:val="auto"/>
              </w:rPr>
            </w:pP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July 14, 2023</w:t>
            </w:r>
          </w:p>
        </w:tc>
      </w:tr>
      <w:tr>
        <w:trPr>
          <w:trHeight w:val="234"/>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Yoseph Bornstein</w:t>
            </w: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4"/>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040" w:type="dxa"/>
            <w:vAlign w:val="bottom"/>
            <w:tcBorders>
              <w:bottom w:val="single" w:sz="8" w:color="auto"/>
            </w:tcBorders>
          </w:tcPr>
          <w:p>
            <w:pPr>
              <w:spacing w:after="0"/>
              <w:rPr>
                <w:sz w:val="24"/>
                <w:szCs w:val="24"/>
                <w:color w:val="auto"/>
              </w:rPr>
            </w:pP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July 14, 2023</w:t>
            </w:r>
          </w:p>
        </w:tc>
      </w:tr>
      <w:tr>
        <w:trPr>
          <w:trHeight w:val="234"/>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Prattipati Laxminarain</w:t>
            </w: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4"/>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040" w:type="dxa"/>
            <w:vAlign w:val="bottom"/>
            <w:tcBorders>
              <w:bottom w:val="single" w:sz="8" w:color="auto"/>
            </w:tcBorders>
          </w:tcPr>
          <w:p>
            <w:pPr>
              <w:spacing w:after="0"/>
              <w:rPr>
                <w:sz w:val="24"/>
                <w:szCs w:val="24"/>
                <w:color w:val="auto"/>
              </w:rPr>
            </w:pP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July 14, 2023</w:t>
            </w:r>
          </w:p>
        </w:tc>
      </w:tr>
      <w:tr>
        <w:trPr>
          <w:trHeight w:val="234"/>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Scott Burell</w:t>
            </w: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4"/>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040" w:type="dxa"/>
            <w:vAlign w:val="bottom"/>
            <w:tcBorders>
              <w:bottom w:val="single" w:sz="8" w:color="auto"/>
            </w:tcBorders>
          </w:tcPr>
          <w:p>
            <w:pPr>
              <w:spacing w:after="0"/>
              <w:rPr>
                <w:sz w:val="24"/>
                <w:szCs w:val="24"/>
                <w:color w:val="auto"/>
              </w:rPr>
            </w:pP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July 14, 2023</w:t>
            </w:r>
          </w:p>
        </w:tc>
      </w:tr>
      <w:tr>
        <w:trPr>
          <w:trHeight w:val="234"/>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Martin Madden</w:t>
            </w: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4"/>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040" w:type="dxa"/>
            <w:vAlign w:val="bottom"/>
            <w:tcBorders>
              <w:bottom w:val="single" w:sz="8" w:color="auto"/>
            </w:tcBorders>
          </w:tcPr>
          <w:p>
            <w:pPr>
              <w:spacing w:after="0"/>
              <w:rPr>
                <w:sz w:val="24"/>
                <w:szCs w:val="24"/>
                <w:color w:val="auto"/>
              </w:rPr>
            </w:pP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July 14, 2023</w:t>
            </w:r>
          </w:p>
        </w:tc>
      </w:tr>
      <w:tr>
        <w:trPr>
          <w:trHeight w:val="234"/>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Aileen Stockburger</w:t>
            </w: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4"/>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040" w:type="dxa"/>
            <w:vAlign w:val="bottom"/>
            <w:tcBorders>
              <w:bottom w:val="single" w:sz="8" w:color="auto"/>
            </w:tcBorders>
          </w:tcPr>
          <w:p>
            <w:pPr>
              <w:spacing w:after="0"/>
              <w:rPr>
                <w:sz w:val="24"/>
                <w:szCs w:val="24"/>
                <w:color w:val="auto"/>
              </w:rPr>
            </w:pPr>
          </w:p>
        </w:tc>
        <w:tc>
          <w:tcPr>
            <w:tcW w:w="48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July 14, 2023</w:t>
            </w:r>
          </w:p>
        </w:tc>
      </w:tr>
      <w:tr>
        <w:trPr>
          <w:trHeight w:val="234"/>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Tal Wenderow</w:t>
            </w: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21"/>
        </w:trPr>
        <w:tc>
          <w:tcPr>
            <w:tcW w:w="3600" w:type="dxa"/>
            <w:vAlign w:val="bottom"/>
            <w:gridSpan w:val="2"/>
          </w:tcPr>
          <w:p>
            <w:pPr>
              <w:spacing w:after="0"/>
              <w:rPr>
                <w:sz w:val="20"/>
                <w:szCs w:val="20"/>
                <w:color w:val="auto"/>
              </w:rPr>
            </w:pPr>
            <w:r>
              <w:rPr>
                <w:rFonts w:ascii="Arial" w:cs="Arial" w:eastAsia="Arial" w:hAnsi="Arial"/>
                <w:sz w:val="18"/>
                <w:szCs w:val="18"/>
                <w:color w:val="auto"/>
              </w:rPr>
              <w:t xml:space="preserve">* By:  </w:t>
            </w:r>
            <w:r>
              <w:rPr>
                <w:rFonts w:ascii="Arial" w:cs="Arial" w:eastAsia="Arial" w:hAnsi="Arial"/>
                <w:sz w:val="18"/>
                <w:szCs w:val="18"/>
                <w:i w:val="1"/>
                <w:iCs w:val="1"/>
                <w:color w:val="auto"/>
              </w:rPr>
              <w:t>/s/ Harel Gadot</w:t>
            </w: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30"/>
        </w:trPr>
        <w:tc>
          <w:tcPr>
            <w:tcW w:w="560" w:type="dxa"/>
            <w:vAlign w:val="bottom"/>
          </w:tcPr>
          <w:p>
            <w:pPr>
              <w:spacing w:after="0"/>
              <w:rPr>
                <w:sz w:val="20"/>
                <w:szCs w:val="20"/>
                <w:color w:val="auto"/>
              </w:rPr>
            </w:pPr>
          </w:p>
        </w:tc>
        <w:tc>
          <w:tcPr>
            <w:tcW w:w="3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Harel Gadot, Attorney-in-Fact</w:t>
            </w:r>
          </w:p>
        </w:tc>
        <w:tc>
          <w:tcPr>
            <w:tcW w:w="12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25"/>
        </w:trPr>
        <w:tc>
          <w:tcPr>
            <w:tcW w:w="5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154305</wp:posOffset>
            </wp:positionV>
            <wp:extent cx="2846070" cy="608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8">
                      <a:extLst>
                        <a:ext uri="{28A0092B-C50C-407E-A947-70E740481C1C}"/>
                      </a:extLst>
                    </a:blip>
                    <a:srcRect/>
                    <a:stretch>
                      <a:fillRect/>
                    </a:stretch>
                  </pic:blipFill>
                  <pic:spPr bwMode="auto">
                    <a:xfrm>
                      <a:off x="0" y="0"/>
                      <a:ext cx="284607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July 14, 2023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Microbot Medical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288 Grove Street, Suite 388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Braintree, MA 02184</w:t>
      </w:r>
    </w:p>
    <w:p>
      <w:pPr>
        <w:sectPr>
          <w:pgSz w:w="11900" w:h="16838" w:orient="portrait"/>
          <w:cols w:equalWidth="0" w:num="1">
            <w:col w:w="11240"/>
          </w:cols>
          <w:pgMar w:left="320" w:top="337" w:right="339" w:bottom="1440" w:gutter="0" w:footer="0" w:header="0"/>
        </w:sectPr>
      </w:pP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on Form S-1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Registration No.: 333-273207</w:t>
      </w:r>
    </w:p>
    <w:p>
      <w:pPr>
        <w:spacing w:after="0" w:line="200" w:lineRule="exact"/>
        <w:rPr>
          <w:sz w:val="20"/>
          <w:szCs w:val="20"/>
          <w:color w:val="auto"/>
        </w:rPr>
      </w:pPr>
    </w:p>
    <w:p>
      <w:pPr>
        <w:sectPr>
          <w:pgSz w:w="11900" w:h="16838" w:orient="portrait"/>
          <w:cols w:equalWidth="0" w:num="2">
            <w:col w:w="1560" w:space="400"/>
            <w:col w:w="9280"/>
          </w:cols>
          <w:pgMar w:left="320" w:top="337"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ectPr>
          <w:pgSz w:w="11900" w:h="16838" w:orient="portrait"/>
          <w:cols w:equalWidth="0" w:num="1">
            <w:col w:w="11240"/>
          </w:cols>
          <w:pgMar w:left="320" w:top="337" w:right="339" w:bottom="1440" w:gutter="0" w:footer="0" w:header="0"/>
          <w:type w:val="continuous"/>
        </w:sectPr>
      </w:pPr>
    </w:p>
    <w:p>
      <w:pPr>
        <w:spacing w:after="0" w:line="24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have acted as counsel for Microbot Medical Inc. (the “Company”) in connection with the preparation and filing of that certain Registration Statement on Form S-1, Registration No.: 333-273207 (the “Registration Statement”) filed with the Securities and Exchange Commission (the “SEC”) under the Securities Act of 1933, as amended, with respect to the registration of the resale of an aggregate of 2,281,626 shares (the “Shares”) of the Company’s common stock, $0.01 par value per share (the “Common Stock”), as follows: (a) 385,246 issued and outstanding shares of Common Stock; and (b) 1,896,380 shares of Common Stock issuable upon the exercise in full of outstanding options and warrants of the Company (the “Warrants”).</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Shares are being registered on behalf of certain persons or entities identified in the Registration Statement. The offering of the Shares will be as set forth in the prospectus contained in the Registration Statement, and as supplemented by one or more supplements to the prospectus (the “Prospectus”).</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counsel to the Company, we have examined the originals or copies of such documents, corporate records and other instruments and undertaken such further inquiry as we have deemed necessary or appropriate for purposes of this opinion, including, but not limited to, the Registration Statement, corporate resolutions authorizing the issuance of the Shares and the Certificate of Incorporation and Bylaws of the Company, including amendments thereto. In such examination, we have assumed the following: (a) the authenticity of original documents and the genuineness of all signatures; (b) the legal capacity of all natural persons, the accuracy and completeness of all documents submitted to us; (c) the conformity to the originals of all documents submitted to us as copies; (d) the genuineness of all signatures contained in the records, documents, instruments and certificates we have reviewed; and (e) the truth, accuracy and completeness of the information, representations and warranties contained in the records, documents, instruments and certificates we have reviewed. This opinion letter is given, and all statements herein are made, in the context of the foregoing.</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on and subject to the foregoing, we are of the opinion that the Shares, including when issued upon exercise of the Warrants in accordance with the terms thereof, are or will be duly and validly authorized,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color w:val="auto"/>
        </w:rPr>
        <w:t>July 14,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information set forth herein is as of the date hereof. We assume no obligation to advise you of changes that may hereafter be brought to our attention. We are members of the Bar of the State of New York. We do not express any opinion concerning the laws of any jurisdiction other than (i) the State of New York, (ii) the Federal laws of the United States and (iii) the Delaware General Corporations Law. Our opinion is based on statutory laws and judicial decisions that are in effect on the date hereof, and we do not opine with respect to any law, regulation, rule or governmental policy that may be enacted or adopted after the date hereof, nor do we assume any responsibility to advise you of future changes in our opinion. We do not express an opinion on any matters other than those expressly set forth in this letter.</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opinion is expressed herein with respect to the qualification of the Shares under the securities or blue sky laws of any state or any foreign jurisdiction.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hereby consent to the use and filing of this opinion as an exhibit to the Registration Statement as filed with the Securities and Exchange Commission and to the reference to our firm under the heading “Legal Matters” in the Prospectus and the Registration Statement. In giving this consent, we do not admit that we are within the category of persons whose consent is required under Section 7 of the Act or the rules and regulations of the Securities and Exchange Commission promulgated thereunder.</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Ruskin Moscou Faltischek, P.C.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RUSKIN MOSCOU FALTISCHEK,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1"/>
      <w:numFmt w:val="lowerLetter"/>
      <w:start w:val="1"/>
    </w:lvl>
    <w:lvl w:ilvl="1">
      <w:lvlJc w:val="left"/>
      <w:lvlText w:val="(%2)"/>
      <w:numFmt w:val="decimal"/>
      <w:start w:val="5"/>
    </w:lvl>
  </w:abstractNum>
  <w:abstractNum w:abstractNumId="6">
    <w:nsid w:val="79E2A9E3"/>
    <w:multiLevelType w:val="hybridMultilevel"/>
    <w:lvl w:ilvl="0">
      <w:lvlJc w:val="left"/>
      <w:lvlText w:val="(%1)"/>
      <w:numFmt w:val="lowerLetter"/>
      <w:start w:val="2"/>
    </w:lvl>
    <w:lvl w:ilvl="1">
      <w:lvlJc w:val="left"/>
      <w:lvlText w:val="%2"/>
      <w:numFmt w:val="decimal"/>
      <w:start w:val="1"/>
    </w:lvl>
  </w:abstractNum>
  <w:abstractNum w:abstractNumId="7">
    <w:nsid w:val="7545E146"/>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35" Type="http://schemas.openxmlformats.org/officeDocument/2006/relationships/image" Target="media/image10.png"/><Relationship Id="rId62" Type="http://schemas.openxmlformats.org/officeDocument/2006/relationships/image" Target="media/image11.png"/><Relationship Id="rId70" Type="http://schemas.openxmlformats.org/officeDocument/2006/relationships/image" Target="media/image12.png"/><Relationship Id="rId71" Type="http://schemas.openxmlformats.org/officeDocument/2006/relationships/image" Target="media/image13.png"/><Relationship Id="rId72" Type="http://schemas.openxmlformats.org/officeDocument/2006/relationships/image" Target="media/image14.png"/><Relationship Id="rId73" Type="http://schemas.openxmlformats.org/officeDocument/2006/relationships/image" Target="media/image15.png"/><Relationship Id="rId74" Type="http://schemas.openxmlformats.org/officeDocument/2006/relationships/image" Target="media/image16.png"/><Relationship Id="rId75" Type="http://schemas.openxmlformats.org/officeDocument/2006/relationships/image" Target="media/image17.png"/><Relationship Id="rId76" Type="http://schemas.openxmlformats.org/officeDocument/2006/relationships/image" Target="media/image18.png"/><Relationship Id="rId77" Type="http://schemas.openxmlformats.org/officeDocument/2006/relationships/image" Target="media/image19.png"/><Relationship Id="rId78" Type="http://schemas.openxmlformats.org/officeDocument/2006/relationships/image" Target="media/image20.jpeg"/><Relationship Id="rId79" Type="http://schemas.openxmlformats.org/officeDocument/2006/relationships/image" Target="media/image21.png"/><Relationship Id="rId80" Type="http://schemas.openxmlformats.org/officeDocument/2006/relationships/image" Target="media/image22.png"/><Relationship Id="rId17" Type="http://schemas.openxmlformats.org/officeDocument/2006/relationships/hyperlink" Target="https://www.sec.gov/Archives/edgar/data/883975/000119312516682077/d161430dex21.htm" TargetMode="External"/><Relationship Id="rId18" Type="http://schemas.openxmlformats.org/officeDocument/2006/relationships/hyperlink" Target="https://www.sec.gov/Archives/edgar/data/883975/000095013407005808/f27726exv3w1.htm" TargetMode="External"/><Relationship Id="rId19" Type="http://schemas.openxmlformats.org/officeDocument/2006/relationships/hyperlink" Target="https://www.sec.gov/Archives/edgar/data/883975/000119312516779729/d296933dex31.htm" TargetMode="External"/><Relationship Id="rId20" Type="http://schemas.openxmlformats.org/officeDocument/2006/relationships/hyperlink" Target="https://www.sec.gov/Archives/edgar/data/883975/000149315218012872/ex3-1.htm" TargetMode="External"/><Relationship Id="rId21" Type="http://schemas.openxmlformats.org/officeDocument/2006/relationships/hyperlink" Target="https://www.sec.gov/Archives/edgar/data/883975/000129993316002374/exhibit1.htm" TargetMode="External"/><Relationship Id="rId22" Type="http://schemas.openxmlformats.org/officeDocument/2006/relationships/hyperlink" Target="https://www.sec.gov/Archives/edgar/data/883975/000149315218017395/ex3-1.htm" TargetMode="External"/><Relationship Id="rId23" Type="http://schemas.openxmlformats.org/officeDocument/2006/relationships/hyperlink" Target="https://www.sec.gov/Archives/edgar/data/883975/000149315219013998/ex3-1.htm" TargetMode="External"/><Relationship Id="rId24" Type="http://schemas.openxmlformats.org/officeDocument/2006/relationships/hyperlink" Target="https://www.sec.gov/Archives/edgar/data/883975/000149315221010347/ex3-1.htm" TargetMode="External"/><Relationship Id="rId25" Type="http://schemas.openxmlformats.org/officeDocument/2006/relationships/hyperlink" Target="https://www.sec.gov/Archives/edgar/data/883975/000119312516501361/d68391dex41.htm" TargetMode="External"/><Relationship Id="rId26" Type="http://schemas.openxmlformats.org/officeDocument/2006/relationships/hyperlink" Target="https://www.sec.gov/Archives/edgar/data/883975/000119312516501361/d68391dex42.htm" TargetMode="External"/><Relationship Id="rId27" Type="http://schemas.openxmlformats.org/officeDocument/2006/relationships/hyperlink" Target="https://www.sec.gov/Archives/edgar/data/883975/000149315219000672/ex4-2.htm" TargetMode="External"/><Relationship Id="rId28" Type="http://schemas.openxmlformats.org/officeDocument/2006/relationships/hyperlink" Target="https://www.sec.gov/Archives/edgar/data/883975/000149315219000744/ex4-1.htm" TargetMode="External"/><Relationship Id="rId29" Type="http://schemas.openxmlformats.org/officeDocument/2006/relationships/hyperlink" Target="https://www.sec.gov/Archives/edgar/data/883975/000149315223018932/ex4-2.htm" TargetMode="External"/><Relationship Id="rId30" Type="http://schemas.openxmlformats.org/officeDocument/2006/relationships/hyperlink" Target="https://www.sec.gov/Archives/edgar/data/883975/000149315223018932/ex10-2.htm" TargetMode="External"/><Relationship Id="rId31" Type="http://schemas.openxmlformats.org/officeDocument/2006/relationships/hyperlink" Target="https://www.sec.gov/Archives/edgar/data/883975/000149315223020309/ex4-1.htm" TargetMode="External"/><Relationship Id="rId32" Type="http://schemas.openxmlformats.org/officeDocument/2006/relationships/hyperlink" Target="https://www.sec.gov/Archives/edgar/data/883975/000149315223020309/ex4-2.htm" TargetMode="External"/><Relationship Id="rId33" Type="http://schemas.openxmlformats.org/officeDocument/2006/relationships/hyperlink" Target="https://www.sec.gov/Archives/edgar/data/883975/000149315223022814/ex4-1.htm" TargetMode="External"/><Relationship Id="rId34" Type="http://schemas.openxmlformats.org/officeDocument/2006/relationships/hyperlink" Target="https://www.sec.gov/Archives/edgar/data/883975/000149315223022814/ex4-2.htm" TargetMode="External"/><Relationship Id="rId36" Type="http://schemas.openxmlformats.org/officeDocument/2006/relationships/hyperlink" Target="https://www.sec.gov/Archives/edgar/data/883975/000119312516779597/d296933dex101.htm" TargetMode="External"/><Relationship Id="rId37" Type="http://schemas.openxmlformats.org/officeDocument/2006/relationships/hyperlink" Target="https://www.sec.gov/Archives/edgar/data/883975/000119312516779729/d296933dex105.htm" TargetMode="External"/><Relationship Id="rId38" Type="http://schemas.openxmlformats.org/officeDocument/2006/relationships/hyperlink" Target="https://www.sec.gov/Archives/edgar/data/883975/000149315217002678/ex10-14.htm" TargetMode="External"/><Relationship Id="rId39" Type="http://schemas.openxmlformats.org/officeDocument/2006/relationships/hyperlink" Target="https://www.sec.gov/Archives/edgar/data/883975/000149315217013222/ex10-1.htm" TargetMode="External"/><Relationship Id="rId40" Type="http://schemas.openxmlformats.org/officeDocument/2006/relationships/hyperlink" Target="https://www.sec.gov/Archives/edgar/data/883975/000149315218000286/ex10-1.htm" TargetMode="External"/><Relationship Id="rId41" Type="http://schemas.openxmlformats.org/officeDocument/2006/relationships/hyperlink" Target="https://www.sec.gov/Archives/edgar/data/883975/000149315217008987/def14a.htm" TargetMode="External"/><Relationship Id="rId42" Type="http://schemas.openxmlformats.org/officeDocument/2006/relationships/hyperlink" Target="https://www.sec.gov/Archives/edgar/data/883975/000149315220014354/def14a.htm" TargetMode="External"/><Relationship Id="rId43" Type="http://schemas.openxmlformats.org/officeDocument/2006/relationships/hyperlink" Target="https://www.sec.gov/Archives/edgar/data/883975/000149315220022543/ex4-2.htm" TargetMode="External"/><Relationship Id="rId44" Type="http://schemas.openxmlformats.org/officeDocument/2006/relationships/hyperlink" Target="https://www.sec.gov/Archives/edgar/data/883975/000149315220022543/ex4-3.htm" TargetMode="External"/><Relationship Id="rId45" Type="http://schemas.openxmlformats.org/officeDocument/2006/relationships/hyperlink" Target="https://www.sec.gov/Archives/edgar/data/883975/000149315220022543/ex4-4.htm" TargetMode="External"/><Relationship Id="rId46" Type="http://schemas.openxmlformats.org/officeDocument/2006/relationships/hyperlink" Target="https://www.sec.gov/Archives/edgar/data/883975/000149315220022543/ex4-5.htm" TargetMode="External"/><Relationship Id="rId47" Type="http://schemas.openxmlformats.org/officeDocument/2006/relationships/hyperlink" Target="https://www.sec.gov/Archives/edgar/data/883975/000149315220022543/ex4-6.htm" TargetMode="External"/><Relationship Id="rId48" Type="http://schemas.openxmlformats.org/officeDocument/2006/relationships/hyperlink" Target="https://www.sec.gov/Archives/edgar/data/883975/000149315221008148/ex10-1.htm" TargetMode="External"/><Relationship Id="rId49" Type="http://schemas.openxmlformats.org/officeDocument/2006/relationships/hyperlink" Target="https://www.sec.gov/Archives/edgar/data/883975/000149315221009469/ex10-1.htm" TargetMode="External"/><Relationship Id="rId50" Type="http://schemas.openxmlformats.org/officeDocument/2006/relationships/hyperlink" Target="https://www.sec.gov/Archives/edgar/data/883975/000149315221014052/ex10-1.htm" TargetMode="External"/><Relationship Id="rId51" Type="http://schemas.openxmlformats.org/officeDocument/2006/relationships/hyperlink" Target="https://www.sec.gov/Archives/edgar/data/883975/000149315221032474/ex10-1.htm" TargetMode="External"/><Relationship Id="rId52" Type="http://schemas.openxmlformats.org/officeDocument/2006/relationships/hyperlink" Target="https://www.sec.gov/Archives/edgar/data/883975/000149315222027872/ex10-1.htm" TargetMode="External"/><Relationship Id="rId53" Type="http://schemas.openxmlformats.org/officeDocument/2006/relationships/hyperlink" Target="https://www.sec.gov/Archives/edgar/data/883975/000149315222009272/ex10-1.htm" TargetMode="External"/><Relationship Id="rId54" Type="http://schemas.openxmlformats.org/officeDocument/2006/relationships/hyperlink" Target="https://www.sec.gov/Archives/edgar/data/883975/000149315222002881/ex10-1.htm" TargetMode="External"/><Relationship Id="rId55" Type="http://schemas.openxmlformats.org/officeDocument/2006/relationships/hyperlink" Target="https://www.sec.gov/Archives/edgar/data/883975/000149315223010223/ex10-21.htm" TargetMode="External"/><Relationship Id="rId56" Type="http://schemas.openxmlformats.org/officeDocument/2006/relationships/hyperlink" Target="https://www.sec.gov/Archives/edgar/data/883975/000149315222029541/ex10-1.htm" TargetMode="External"/><Relationship Id="rId57" Type="http://schemas.openxmlformats.org/officeDocument/2006/relationships/hyperlink" Target="https://www.sec.gov/Archives/edgar/data/883975/000149315223018456/ex10-1.htm" TargetMode="External"/><Relationship Id="rId58" Type="http://schemas.openxmlformats.org/officeDocument/2006/relationships/hyperlink" Target="https://www.sec.gov/Archives/edgar/data/883975/000149315223018456/ex10-2.htm" TargetMode="External"/><Relationship Id="rId59" Type="http://schemas.openxmlformats.org/officeDocument/2006/relationships/hyperlink" Target="https://www.sec.gov/Archives/edgar/data/883975/000149315223018456/ex10-3.htm" TargetMode="External"/><Relationship Id="rId60" Type="http://schemas.openxmlformats.org/officeDocument/2006/relationships/hyperlink" Target="https://www.sec.gov/Archives/edgar/data/883975/000149315223018456/ex10-4.htm" TargetMode="External"/><Relationship Id="rId61" Type="http://schemas.openxmlformats.org/officeDocument/2006/relationships/hyperlink" Target="https://www.sec.gov/Archives/edgar/data/883975/000149315223018718/ex10-1.htm" TargetMode="External"/><Relationship Id="rId63" Type="http://schemas.openxmlformats.org/officeDocument/2006/relationships/hyperlink" Target="https://www.sec.gov/Archives/edgar/data/883975/000149315223018932/ex10-1.htm" TargetMode="External"/><Relationship Id="rId64" Type="http://schemas.openxmlformats.org/officeDocument/2006/relationships/hyperlink" Target="https://www.sec.gov/Archives/edgar/data/883975/000149315223020309/ex10-1.htm" TargetMode="External"/><Relationship Id="rId65" Type="http://schemas.openxmlformats.org/officeDocument/2006/relationships/hyperlink" Target="https://www.sec.gov/Archives/edgar/data/883975/000149315223022814/ex10-1.htm" TargetMode="External"/><Relationship Id="rId66" Type="http://schemas.openxmlformats.org/officeDocument/2006/relationships/hyperlink" Target="https://www.sec.gov/Archives/edgar/data/883975/000149315217002678/ex21-1.htm" TargetMode="External"/><Relationship Id="rId67" Type="http://schemas.openxmlformats.org/officeDocument/2006/relationships/hyperlink" Target="https://www.sec.gov/Archives/edgar/data/883975/000149315223024262/ex23-1.htm" TargetMode="External"/><Relationship Id="rId68" Type="http://schemas.openxmlformats.org/officeDocument/2006/relationships/hyperlink" Target="https://www.sec.gov/Archives/edgar/data/883975/000149315223024262/forms-1.htm#poa_001" TargetMode="External"/><Relationship Id="rId69" Type="http://schemas.openxmlformats.org/officeDocument/2006/relationships/hyperlink" Target="https://www.sec.gov/Archives/edgar/data/883975/000149315223024262/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2023-07-14T14:12:40Z</dcterms:created>
  <dcterms:modified xsi:type="dcterms:W3CDTF">2023-07-14T14:12:40Z</dcterms:modified>
</cp:coreProperties>
</file>