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0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2"/>
              </w:rPr>
              <w:t>For the quarter ended: March 31, 2010</w:t>
            </w:r>
          </w:p>
        </w:tc>
        <w:tc>
          <w:tcPr>
            <w:tcW w:w="3480" w:type="dxa"/>
            <w:vAlign w:val="bottom"/>
          </w:tcPr>
          <w:p>
            <w:pPr>
              <w:spacing w:after="0"/>
              <w:rPr>
                <w:sz w:val="20"/>
                <w:szCs w:val="20"/>
                <w:color w:val="auto"/>
              </w:rPr>
            </w:pPr>
          </w:p>
        </w:tc>
      </w:tr>
      <w:tr>
        <w:trPr>
          <w:trHeight w:val="432"/>
        </w:trPr>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0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Commission File Number: 0-19871</w:t>
            </w:r>
          </w:p>
        </w:tc>
        <w:tc>
          <w:tcPr>
            <w:tcW w:w="3480" w:type="dxa"/>
            <w:vAlign w:val="bottom"/>
          </w:tcPr>
          <w:p>
            <w:pPr>
              <w:spacing w:after="0"/>
              <w:rPr>
                <w:sz w:val="24"/>
                <w:szCs w:val="24"/>
                <w:color w:val="auto"/>
              </w:rPr>
            </w:pPr>
          </w:p>
        </w:tc>
      </w:tr>
      <w:tr>
        <w:trPr>
          <w:trHeight w:val="702"/>
        </w:trPr>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00" w:type="dxa"/>
            <w:vAlign w:val="bottom"/>
            <w:gridSpan w:val="6"/>
          </w:tcPr>
          <w:p>
            <w:pPr>
              <w:jc w:val="center"/>
              <w:ind w:right="340"/>
              <w:spacing w:after="0"/>
              <w:rPr>
                <w:sz w:val="20"/>
                <w:szCs w:val="20"/>
                <w:color w:val="auto"/>
              </w:rPr>
            </w:pPr>
            <w:r>
              <w:rPr>
                <w:rFonts w:ascii="Arial" w:cs="Arial" w:eastAsia="Arial" w:hAnsi="Arial"/>
                <w:sz w:val="43"/>
                <w:szCs w:val="43"/>
                <w:b w:val="1"/>
                <w:bCs w:val="1"/>
                <w:color w:val="auto"/>
              </w:rPr>
              <w:t>STEMCELLS, INC.</w:t>
            </w:r>
          </w:p>
        </w:tc>
        <w:tc>
          <w:tcPr>
            <w:tcW w:w="3480" w:type="dxa"/>
            <w:vAlign w:val="bottom"/>
          </w:tcPr>
          <w:p>
            <w:pPr>
              <w:spacing w:after="0"/>
              <w:rPr>
                <w:sz w:val="24"/>
                <w:szCs w:val="24"/>
                <w:color w:val="auto"/>
              </w:rPr>
            </w:pPr>
          </w:p>
        </w:tc>
      </w:tr>
      <w:tr>
        <w:trPr>
          <w:trHeight w:val="224"/>
        </w:trPr>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7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18"/>
        </w:trPr>
        <w:tc>
          <w:tcPr>
            <w:tcW w:w="7940" w:type="dxa"/>
            <w:vAlign w:val="bottom"/>
            <w:gridSpan w:val="9"/>
          </w:tcPr>
          <w:p>
            <w:pPr>
              <w:jc w:val="center"/>
              <w:ind w:right="2520"/>
              <w:spacing w:after="0"/>
              <w:rPr>
                <w:sz w:val="20"/>
                <w:szCs w:val="20"/>
                <w:color w:val="auto"/>
              </w:rPr>
            </w:pPr>
            <w:r>
              <w:rPr>
                <w:rFonts w:ascii="Arial" w:cs="Arial" w:eastAsia="Arial" w:hAnsi="Arial"/>
                <w:sz w:val="18"/>
                <w:szCs w:val="18"/>
                <w:color w:val="auto"/>
                <w:w w:val="96"/>
              </w:rPr>
              <w:t>DELAWARE</w:t>
            </w:r>
          </w:p>
        </w:tc>
        <w:tc>
          <w:tcPr>
            <w:tcW w:w="3480" w:type="dxa"/>
            <w:vAlign w:val="bottom"/>
          </w:tcPr>
          <w:p>
            <w:pPr>
              <w:jc w:val="center"/>
              <w:ind w:right="1850"/>
              <w:spacing w:after="0"/>
              <w:rPr>
                <w:sz w:val="20"/>
                <w:szCs w:val="20"/>
                <w:color w:val="auto"/>
              </w:rPr>
            </w:pPr>
            <w:r>
              <w:rPr>
                <w:rFonts w:ascii="Arial" w:cs="Arial" w:eastAsia="Arial" w:hAnsi="Arial"/>
                <w:sz w:val="18"/>
                <w:szCs w:val="18"/>
                <w:color w:val="auto"/>
                <w:w w:val="89"/>
              </w:rPr>
              <w:t>94-3078125</w:t>
            </w:r>
          </w:p>
        </w:tc>
      </w:tr>
      <w:tr>
        <w:trPr>
          <w:trHeight w:val="209"/>
        </w:trPr>
        <w:tc>
          <w:tcPr>
            <w:tcW w:w="54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5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1850"/>
              <w:spacing w:after="0"/>
              <w:rPr>
                <w:sz w:val="20"/>
                <w:szCs w:val="20"/>
                <w:color w:val="auto"/>
              </w:rPr>
            </w:pPr>
            <w:r>
              <w:rPr>
                <w:rFonts w:ascii="Arial" w:cs="Arial" w:eastAsia="Arial" w:hAnsi="Arial"/>
                <w:sz w:val="18"/>
                <w:szCs w:val="18"/>
                <w:color w:val="auto"/>
                <w:w w:val="92"/>
              </w:rPr>
              <w:t>(I.R.S. Employer</w:t>
            </w:r>
          </w:p>
        </w:tc>
      </w:tr>
      <w:tr>
        <w:trPr>
          <w:trHeight w:val="230"/>
        </w:trPr>
        <w:tc>
          <w:tcPr>
            <w:tcW w:w="7940" w:type="dxa"/>
            <w:vAlign w:val="bottom"/>
            <w:gridSpan w:val="9"/>
          </w:tcPr>
          <w:p>
            <w:pPr>
              <w:jc w:val="center"/>
              <w:ind w:right="2500"/>
              <w:spacing w:after="0"/>
              <w:rPr>
                <w:sz w:val="20"/>
                <w:szCs w:val="20"/>
                <w:color w:val="auto"/>
              </w:rPr>
            </w:pPr>
            <w:r>
              <w:rPr>
                <w:rFonts w:ascii="Arial" w:cs="Arial" w:eastAsia="Arial" w:hAnsi="Arial"/>
                <w:sz w:val="18"/>
                <w:szCs w:val="18"/>
                <w:color w:val="auto"/>
                <w:w w:val="92"/>
              </w:rPr>
              <w:t>incorporation or organization)</w:t>
            </w:r>
          </w:p>
        </w:tc>
        <w:tc>
          <w:tcPr>
            <w:tcW w:w="3480" w:type="dxa"/>
            <w:vAlign w:val="bottom"/>
          </w:tcPr>
          <w:p>
            <w:pPr>
              <w:jc w:val="center"/>
              <w:ind w:right="18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00" w:type="dxa"/>
            <w:vAlign w:val="bottom"/>
            <w:gridSpan w:val="6"/>
          </w:tcPr>
          <w:p>
            <w:pPr>
              <w:jc w:val="center"/>
              <w:ind w:right="340"/>
              <w:spacing w:after="0"/>
              <w:rPr>
                <w:sz w:val="20"/>
                <w:szCs w:val="20"/>
                <w:color w:val="auto"/>
              </w:rPr>
            </w:pPr>
            <w:r>
              <w:rPr>
                <w:rFonts w:ascii="Arial" w:cs="Arial" w:eastAsia="Arial" w:hAnsi="Arial"/>
                <w:sz w:val="18"/>
                <w:szCs w:val="18"/>
                <w:color w:val="auto"/>
                <w:w w:val="93"/>
              </w:rPr>
              <w:t>3155 PORTER DRIVE</w:t>
            </w:r>
          </w:p>
        </w:tc>
        <w:tc>
          <w:tcPr>
            <w:tcW w:w="3480" w:type="dxa"/>
            <w:vAlign w:val="bottom"/>
          </w:tcPr>
          <w:p>
            <w:pPr>
              <w:spacing w:after="0"/>
              <w:rPr>
                <w:sz w:val="24"/>
                <w:szCs w:val="24"/>
                <w:color w:val="auto"/>
              </w:rPr>
            </w:pPr>
          </w:p>
        </w:tc>
      </w:tr>
      <w:tr>
        <w:trPr>
          <w:trHeight w:val="230"/>
        </w:trPr>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00" w:type="dxa"/>
            <w:vAlign w:val="bottom"/>
            <w:gridSpan w:val="6"/>
          </w:tcPr>
          <w:p>
            <w:pPr>
              <w:jc w:val="center"/>
              <w:ind w:right="340"/>
              <w:spacing w:after="0"/>
              <w:rPr>
                <w:sz w:val="20"/>
                <w:szCs w:val="20"/>
                <w:color w:val="auto"/>
              </w:rPr>
            </w:pPr>
            <w:r>
              <w:rPr>
                <w:rFonts w:ascii="Arial" w:cs="Arial" w:eastAsia="Arial" w:hAnsi="Arial"/>
                <w:sz w:val="18"/>
                <w:szCs w:val="18"/>
                <w:color w:val="auto"/>
                <w:w w:val="94"/>
              </w:rPr>
              <w:t>PALO ALTO, CA 94304</w:t>
            </w:r>
          </w:p>
        </w:tc>
        <w:tc>
          <w:tcPr>
            <w:tcW w:w="3480" w:type="dxa"/>
            <w:vAlign w:val="bottom"/>
          </w:tcPr>
          <w:p>
            <w:pPr>
              <w:spacing w:after="0"/>
              <w:rPr>
                <w:sz w:val="20"/>
                <w:szCs w:val="20"/>
                <w:color w:val="auto"/>
              </w:rPr>
            </w:pPr>
          </w:p>
        </w:tc>
      </w:tr>
      <w:tr>
        <w:trPr>
          <w:trHeight w:val="224"/>
        </w:trPr>
        <w:tc>
          <w:tcPr>
            <w:tcW w:w="3600" w:type="dxa"/>
            <w:vAlign w:val="bottom"/>
          </w:tcPr>
          <w:p>
            <w:pPr>
              <w:spacing w:after="0"/>
              <w:rPr>
                <w:sz w:val="19"/>
                <w:szCs w:val="19"/>
                <w:color w:val="auto"/>
              </w:rPr>
            </w:pPr>
          </w:p>
        </w:tc>
        <w:tc>
          <w:tcPr>
            <w:tcW w:w="422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18"/>
        </w:trPr>
        <w:tc>
          <w:tcPr>
            <w:tcW w:w="7600" w:type="dxa"/>
            <w:vAlign w:val="bottom"/>
            <w:gridSpan w:val="6"/>
          </w:tcPr>
          <w:p>
            <w:pPr>
              <w:jc w:val="center"/>
              <w:ind w:left="3750"/>
              <w:spacing w:after="0"/>
              <w:rPr>
                <w:sz w:val="20"/>
                <w:szCs w:val="20"/>
                <w:color w:val="auto"/>
              </w:rPr>
            </w:pPr>
            <w:r>
              <w:rPr>
                <w:rFonts w:ascii="Arial" w:cs="Arial" w:eastAsia="Arial" w:hAnsi="Arial"/>
                <w:sz w:val="18"/>
                <w:szCs w:val="18"/>
                <w:color w:val="auto"/>
                <w:w w:val="90"/>
              </w:rPr>
              <w:t>(650) 475-3100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24"/>
        </w:trPr>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c>
          <w:tcPr>
            <w:tcW w:w="320" w:type="dxa"/>
            <w:vAlign w:val="bottom"/>
            <w:gridSpan w:val="2"/>
          </w:tcPr>
          <w:p>
            <w:pPr>
              <w:spacing w:after="0"/>
              <w:rPr>
                <w:sz w:val="19"/>
                <w:szCs w:val="19"/>
                <w:color w:val="auto"/>
              </w:rPr>
            </w:pPr>
          </w:p>
        </w:tc>
        <w:tc>
          <w:tcPr>
            <w:tcW w:w="3480" w:type="dxa"/>
            <w:vAlign w:val="bottom"/>
          </w:tcPr>
          <w:p>
            <w:pPr>
              <w:spacing w:after="0"/>
              <w:rPr>
                <w:sz w:val="19"/>
                <w:szCs w:val="19"/>
                <w:color w:val="auto"/>
              </w:rPr>
            </w:pPr>
          </w:p>
        </w:tc>
      </w:tr>
    </w:tbl>
    <w:p>
      <w:pPr>
        <w:spacing w:after="0" w:line="79" w:lineRule="exact"/>
        <w:rPr>
          <w:sz w:val="20"/>
          <w:szCs w:val="20"/>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40" w:space="720"/>
            <w:col w:w="1460" w:space="720"/>
            <w:col w:w="3340" w:space="460"/>
            <w:col w:w="2280"/>
          </w:cols>
          <w:pgMar w:left="240" w:top="122" w:right="239" w:bottom="1440" w:gutter="0" w:footer="0" w:header="0"/>
          <w:type w:val="continuous"/>
        </w:sectPr>
      </w:pPr>
    </w:p>
    <w:p>
      <w:pPr>
        <w:ind w:left="240"/>
        <w:spacing w:after="0" w:line="196" w:lineRule="exact"/>
        <w:tabs>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1">
            <w:col w:w="11420"/>
          </w:cols>
          <w:pgMar w:left="240" w:top="122" w:right="239" w:bottom="1440" w:gutter="0" w:footer="0" w:header="0"/>
          <w:type w:val="continuous"/>
        </w:sectPr>
      </w:pP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At April 30, 2010, there were 119,673,325 shares of Common Stock, $.01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color w:val="auto"/>
        </w:rPr>
        <w:t>STEMCELLS,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INDEX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gridSpan w:val="11"/>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580" w:type="dxa"/>
            <w:vAlign w:val="bottom"/>
            <w:gridSpan w:val="10"/>
            <w:vMerge w:val="restart"/>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 Number</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1"/>
            <w:vMerge w:val="continue"/>
          </w:tcPr>
          <w:p>
            <w:pPr>
              <w:spacing w:after="0"/>
              <w:rPr>
                <w:sz w:val="14"/>
                <w:szCs w:val="14"/>
                <w:color w:val="auto"/>
              </w:rPr>
            </w:pPr>
          </w:p>
        </w:tc>
        <w:tc>
          <w:tcPr>
            <w:tcW w:w="7580" w:type="dxa"/>
            <w:vAlign w:val="bottom"/>
            <w:gridSpan w:val="10"/>
            <w:vMerge w:val="continue"/>
          </w:tcPr>
          <w:p>
            <w:pPr>
              <w:spacing w:after="0"/>
              <w:rPr>
                <w:sz w:val="14"/>
                <w:szCs w:val="14"/>
                <w:color w:val="auto"/>
              </w:rPr>
            </w:pPr>
          </w:p>
        </w:tc>
        <w:tc>
          <w:tcPr>
            <w:tcW w:w="840" w:type="dxa"/>
            <w:vAlign w:val="bottom"/>
          </w:tcPr>
          <w:p>
            <w:pPr>
              <w:jc w:val="right"/>
              <w:spacing w:after="0" w:line="17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048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606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March 31, 2010 and December 31, 2009</w:t>
              </w:r>
            </w:hyperlink>
          </w:p>
        </w:tc>
        <w:tc>
          <w:tcPr>
            <w:tcW w:w="420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months ended March 31, 2010 and 2009</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75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months ended March 31, 2010 and 2009</w:t>
              </w:r>
            </w:hyperlink>
          </w:p>
        </w:tc>
        <w:tc>
          <w:tcPr>
            <w:tcW w:w="26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80" w:type="dxa"/>
            <w:vAlign w:val="bottom"/>
            <w:gridSpan w:val="2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49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46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23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4. Controls and Procedures</w:t>
              </w:r>
            </w:hyperlink>
          </w:p>
        </w:tc>
        <w:tc>
          <w:tcPr>
            <w:tcW w:w="8140" w:type="dxa"/>
            <w:vAlign w:val="bottom"/>
            <w:gridSpan w:val="1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1048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PART II. OTHER INFORMATION</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19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2"/>
          </w:tcPr>
          <w:p>
            <w:pPr>
              <w:spacing w:after="0"/>
              <w:rPr>
                <w:sz w:val="24"/>
                <w:szCs w:val="24"/>
                <w:color w:val="auto"/>
              </w:rPr>
            </w:pPr>
          </w:p>
        </w:tc>
        <w:tc>
          <w:tcPr>
            <w:tcW w:w="7900" w:type="dxa"/>
            <w:vAlign w:val="bottom"/>
            <w:gridSpan w:val="1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Item 1A. Risk Factors</w:t>
              </w:r>
            </w:hyperlink>
          </w:p>
        </w:tc>
        <w:tc>
          <w:tcPr>
            <w:tcW w:w="888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49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Item 2. Unregistered Sales of Equity Securities and Use of Proceeds</w:t>
              </w:r>
            </w:hyperlink>
          </w:p>
        </w:tc>
        <w:tc>
          <w:tcPr>
            <w:tcW w:w="5560" w:type="dxa"/>
            <w:vAlign w:val="bottom"/>
            <w:gridSpan w:val="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Item 3.</w:t>
              </w:r>
            </w:hyperlink>
          </w:p>
        </w:tc>
        <w:tc>
          <w:tcPr>
            <w:tcW w:w="9940" w:type="dxa"/>
            <w:vAlign w:val="bottom"/>
            <w:gridSpan w:val="19"/>
          </w:tcPr>
          <w:p>
            <w:pPr>
              <w:ind w:left="20"/>
              <w:spacing w:after="0"/>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14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Item 4.</w:t>
              </w:r>
            </w:hyperlink>
          </w:p>
        </w:tc>
        <w:tc>
          <w:tcPr>
            <w:tcW w:w="9940" w:type="dxa"/>
            <w:vAlign w:val="bottom"/>
            <w:gridSpan w:val="19"/>
          </w:tcPr>
          <w:p>
            <w:pPr>
              <w:ind w:left="20"/>
              <w:spacing w:after="0"/>
              <w:rPr>
                <w:rFonts w:ascii="Arial" w:cs="Arial" w:eastAsia="Arial" w:hAnsi="Arial"/>
                <w:sz w:val="18"/>
                <w:szCs w:val="18"/>
                <w:color w:val="0000EE"/>
              </w:rPr>
            </w:pPr>
            <w:hyperlink w:anchor="page31">
              <w:r>
                <w:rPr>
                  <w:rFonts w:ascii="Arial" w:cs="Arial" w:eastAsia="Arial" w:hAnsi="Arial"/>
                  <w:sz w:val="18"/>
                  <w:szCs w:val="18"/>
                  <w:color w:val="0000EE"/>
                </w:rPr>
                <w:t>Submission of Matters to a Vote of Security-Holders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Item 5.</w:t>
              </w:r>
            </w:hyperlink>
          </w:p>
        </w:tc>
        <w:tc>
          <w:tcPr>
            <w:tcW w:w="134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Other Information</w:t>
              </w:r>
            </w:hyperlink>
          </w:p>
        </w:tc>
        <w:tc>
          <w:tcPr>
            <w:tcW w:w="2460" w:type="dxa"/>
            <w:vAlign w:val="bottom"/>
            <w:tcBorders>
              <w:top w:val="single" w:sz="8" w:color="0000EE"/>
            </w:tcBorders>
            <w:gridSpan w:val="8"/>
          </w:tcPr>
          <w:p>
            <w:pPr>
              <w:spacing w:after="0"/>
              <w:rPr>
                <w:sz w:val="24"/>
                <w:szCs w:val="24"/>
                <w:color w:val="auto"/>
              </w:rPr>
            </w:pPr>
          </w:p>
        </w:tc>
        <w:tc>
          <w:tcPr>
            <w:tcW w:w="614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Item 6.</w:t>
              </w:r>
            </w:hyperlink>
          </w:p>
        </w:tc>
        <w:tc>
          <w:tcPr>
            <w:tcW w:w="9940" w:type="dxa"/>
            <w:vAlign w:val="bottom"/>
            <w:gridSpan w:val="19"/>
          </w:tcPr>
          <w:p>
            <w:pPr>
              <w:ind w:left="20"/>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1160" w:type="dxa"/>
            <w:vAlign w:val="bottom"/>
            <w:tcBorders>
              <w:top w:val="single" w:sz="8" w:color="0000EE"/>
            </w:tcBorders>
            <w:gridSpan w:val="4"/>
          </w:tcPr>
          <w:p>
            <w:pPr>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SIGNATURES</w:t>
              </w:r>
            </w:hyperlink>
          </w:p>
        </w:tc>
        <w:tc>
          <w:tcPr>
            <w:tcW w:w="9320" w:type="dxa"/>
            <w:vAlign w:val="bottom"/>
            <w:gridSpan w:val="1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REFERENCES TO US AND OUR COMMON STOCK</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Throughout this Form 10-Q, the words “we,” “us,” “our,” and “StemCells” refer to StemCells, Inc., including our directly and indirectly wholly-owned subsidiaries. “Common stock” refers to the common stock, $.01 par value, of StemCells, Inc.</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 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March 31, 2010</w:t>
            </w:r>
          </w:p>
        </w:tc>
        <w:tc>
          <w:tcPr>
            <w:tcW w:w="1560" w:type="dxa"/>
            <w:vAlign w:val="bottom"/>
            <w:gridSpan w:val="4"/>
          </w:tcPr>
          <w:p>
            <w:pPr>
              <w:ind w:left="300"/>
              <w:spacing w:after="0"/>
              <w:rPr>
                <w:sz w:val="20"/>
                <w:szCs w:val="20"/>
                <w:color w:val="auto"/>
              </w:rPr>
            </w:pPr>
            <w:r>
              <w:rPr>
                <w:rFonts w:ascii="Arial" w:cs="Arial" w:eastAsia="Arial" w:hAnsi="Arial"/>
                <w:sz w:val="14"/>
                <w:szCs w:val="14"/>
                <w:b w:val="1"/>
                <w:bCs w:val="1"/>
                <w:color w:val="auto"/>
                <w:w w:val="98"/>
              </w:rPr>
              <w:t>December 31, 2009</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94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31,336,987</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38,617,977</w:t>
            </w:r>
          </w:p>
        </w:tc>
        <w:tc>
          <w:tcPr>
            <w:tcW w:w="0" w:type="dxa"/>
            <w:vAlign w:val="bottom"/>
          </w:tcPr>
          <w:p>
            <w:pPr>
              <w:spacing w:after="0"/>
              <w:rPr>
                <w:sz w:val="1"/>
                <w:szCs w:val="1"/>
                <w:color w:val="auto"/>
              </w:rPr>
            </w:pPr>
          </w:p>
        </w:tc>
      </w:tr>
      <w:tr>
        <w:trPr>
          <w:trHeight w:val="216"/>
        </w:trPr>
        <w:tc>
          <w:tcPr>
            <w:tcW w:w="8060" w:type="dxa"/>
            <w:vAlign w:val="bottom"/>
          </w:tcPr>
          <w:p>
            <w:pPr>
              <w:ind w:left="220"/>
              <w:spacing w:after="0"/>
              <w:rPr>
                <w:sz w:val="20"/>
                <w:szCs w:val="20"/>
                <w:color w:val="auto"/>
              </w:rPr>
            </w:pPr>
            <w:r>
              <w:rPr>
                <w:rFonts w:ascii="Arial" w:cs="Arial" w:eastAsia="Arial" w:hAnsi="Arial"/>
                <w:sz w:val="18"/>
                <w:szCs w:val="18"/>
                <w:color w:val="auto"/>
              </w:rPr>
              <w:t>Marketable securities, current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156,730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196,995</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receivables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41,522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87,019</w:t>
            </w:r>
          </w:p>
        </w:tc>
        <w:tc>
          <w:tcPr>
            <w:tcW w:w="0" w:type="dxa"/>
            <w:vAlign w:val="bottom"/>
          </w:tcPr>
          <w:p>
            <w:pPr>
              <w:spacing w:after="0"/>
              <w:rPr>
                <w:sz w:val="1"/>
                <w:szCs w:val="1"/>
                <w:color w:val="auto"/>
              </w:rPr>
            </w:pPr>
          </w:p>
        </w:tc>
      </w:tr>
      <w:tr>
        <w:trPr>
          <w:trHeight w:val="216"/>
        </w:trPr>
        <w:tc>
          <w:tcPr>
            <w:tcW w:w="8060" w:type="dxa"/>
            <w:vAlign w:val="bottom"/>
          </w:tcPr>
          <w:p>
            <w:pPr>
              <w:ind w:left="220"/>
              <w:spacing w:after="0"/>
              <w:rPr>
                <w:sz w:val="20"/>
                <w:szCs w:val="20"/>
                <w:color w:val="auto"/>
              </w:rPr>
            </w:pPr>
            <w:r>
              <w:rPr>
                <w:rFonts w:ascii="Arial" w:cs="Arial" w:eastAsia="Arial" w:hAnsi="Arial"/>
                <w:sz w:val="18"/>
                <w:szCs w:val="18"/>
                <w:color w:val="auto"/>
              </w:rPr>
              <w:t>Other receivables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406,702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679,034</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assets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695,446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560,144</w:t>
            </w:r>
          </w:p>
        </w:tc>
        <w:tc>
          <w:tcPr>
            <w:tcW w:w="0" w:type="dxa"/>
            <w:vAlign w:val="bottom"/>
          </w:tcPr>
          <w:p>
            <w:pPr>
              <w:spacing w:after="0"/>
              <w:rPr>
                <w:sz w:val="1"/>
                <w:szCs w:val="1"/>
                <w:color w:val="auto"/>
              </w:rPr>
            </w:pPr>
          </w:p>
        </w:tc>
      </w:tr>
      <w:tr>
        <w:trPr>
          <w:trHeight w:val="223"/>
        </w:trPr>
        <w:tc>
          <w:tcPr>
            <w:tcW w:w="806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32,637,387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40,141,169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2,637,181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2,856,695</w:t>
            </w:r>
          </w:p>
        </w:tc>
        <w:tc>
          <w:tcPr>
            <w:tcW w:w="0" w:type="dxa"/>
            <w:vAlign w:val="bottom"/>
          </w:tcPr>
          <w:p>
            <w:pPr>
              <w:spacing w:after="0"/>
              <w:rPr>
                <w:sz w:val="1"/>
                <w:szCs w:val="1"/>
                <w:color w:val="auto"/>
              </w:rPr>
            </w:pPr>
          </w:p>
        </w:tc>
      </w:tr>
      <w:tr>
        <w:trPr>
          <w:trHeight w:val="216"/>
        </w:trPr>
        <w:tc>
          <w:tcPr>
            <w:tcW w:w="8060" w:type="dxa"/>
            <w:vAlign w:val="bottom"/>
          </w:tcPr>
          <w:p>
            <w:pPr>
              <w:ind w:left="220"/>
              <w:spacing w:after="0"/>
              <w:rPr>
                <w:sz w:val="20"/>
                <w:szCs w:val="20"/>
                <w:color w:val="auto"/>
              </w:rPr>
            </w:pPr>
            <w:r>
              <w:rPr>
                <w:rFonts w:ascii="Arial" w:cs="Arial" w:eastAsia="Arial" w:hAnsi="Arial"/>
                <w:sz w:val="18"/>
                <w:szCs w:val="18"/>
                <w:color w:val="auto"/>
              </w:rPr>
              <w:t>Other assets, non-current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2,541,086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2,525,185</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1,852,189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2,019,679</w:t>
            </w:r>
          </w:p>
        </w:tc>
        <w:tc>
          <w:tcPr>
            <w:tcW w:w="0" w:type="dxa"/>
            <w:vAlign w:val="bottom"/>
          </w:tcPr>
          <w:p>
            <w:pPr>
              <w:spacing w:after="0"/>
              <w:rPr>
                <w:sz w:val="1"/>
                <w:szCs w:val="1"/>
                <w:color w:val="auto"/>
              </w:rPr>
            </w:pPr>
          </w:p>
        </w:tc>
      </w:tr>
      <w:tr>
        <w:trPr>
          <w:trHeight w:val="223"/>
        </w:trPr>
        <w:tc>
          <w:tcPr>
            <w:tcW w:w="806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3,330,750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42,998,593</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51,190,324</w:t>
            </w:r>
          </w:p>
        </w:tc>
        <w:tc>
          <w:tcPr>
            <w:tcW w:w="0" w:type="dxa"/>
            <w:vAlign w:val="bottom"/>
          </w:tcPr>
          <w:p>
            <w:pPr>
              <w:spacing w:after="0"/>
              <w:rPr>
                <w:sz w:val="1"/>
                <w:szCs w:val="1"/>
                <w:color w:val="auto"/>
              </w:rPr>
            </w:pPr>
          </w:p>
        </w:tc>
      </w:tr>
      <w:tr>
        <w:trPr>
          <w:trHeight w:val="20"/>
        </w:trPr>
        <w:tc>
          <w:tcPr>
            <w:tcW w:w="8060" w:type="dxa"/>
            <w:vAlign w:val="bottom"/>
            <w:vMerge w:val="restart"/>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1,017,848</w:t>
            </w:r>
          </w:p>
        </w:tc>
        <w:tc>
          <w:tcPr>
            <w:tcW w:w="340" w:type="dxa"/>
            <w:vAlign w:val="bottom"/>
          </w:tcPr>
          <w:p>
            <w:pPr>
              <w:spacing w:after="0"/>
              <w:rPr>
                <w:sz w:val="18"/>
                <w:szCs w:val="18"/>
                <w:color w:val="auto"/>
              </w:rPr>
            </w:pP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890,582</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1,979,764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3,760,438</w:t>
            </w:r>
          </w:p>
        </w:tc>
        <w:tc>
          <w:tcPr>
            <w:tcW w:w="0" w:type="dxa"/>
            <w:vAlign w:val="bottom"/>
          </w:tcPr>
          <w:p>
            <w:pPr>
              <w:spacing w:after="0"/>
              <w:rPr>
                <w:sz w:val="1"/>
                <w:szCs w:val="1"/>
                <w:color w:val="auto"/>
              </w:rPr>
            </w:pPr>
          </w:p>
        </w:tc>
      </w:tr>
      <w:tr>
        <w:trPr>
          <w:trHeight w:val="216"/>
        </w:trPr>
        <w:tc>
          <w:tcPr>
            <w:tcW w:w="8060" w:type="dxa"/>
            <w:vAlign w:val="bottom"/>
          </w:tcPr>
          <w:p>
            <w:pPr>
              <w:ind w:left="220"/>
              <w:spacing w:after="0"/>
              <w:rPr>
                <w:sz w:val="20"/>
                <w:szCs w:val="20"/>
                <w:color w:val="auto"/>
              </w:rPr>
            </w:pPr>
            <w:r>
              <w:rPr>
                <w:rFonts w:ascii="Arial" w:cs="Arial" w:eastAsia="Arial" w:hAnsi="Arial"/>
                <w:sz w:val="18"/>
                <w:szCs w:val="18"/>
                <w:color w:val="auto"/>
              </w:rPr>
              <w:t>Accrued wind-down expenses, current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1,512,062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1,449,810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 current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186,119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119,542</w:t>
            </w:r>
          </w:p>
        </w:tc>
        <w:tc>
          <w:tcPr>
            <w:tcW w:w="0" w:type="dxa"/>
            <w:vAlign w:val="bottom"/>
          </w:tcPr>
          <w:p>
            <w:pPr>
              <w:spacing w:after="0"/>
              <w:rPr>
                <w:sz w:val="1"/>
                <w:szCs w:val="1"/>
                <w:color w:val="auto"/>
              </w:rPr>
            </w:pPr>
          </w:p>
        </w:tc>
      </w:tr>
      <w:tr>
        <w:trPr>
          <w:trHeight w:val="216"/>
        </w:trPr>
        <w:tc>
          <w:tcPr>
            <w:tcW w:w="8060" w:type="dxa"/>
            <w:vAlign w:val="bottom"/>
          </w:tcPr>
          <w:p>
            <w:pPr>
              <w:ind w:left="220"/>
              <w:spacing w:after="0"/>
              <w:rPr>
                <w:sz w:val="20"/>
                <w:szCs w:val="20"/>
                <w:color w:val="auto"/>
              </w:rPr>
            </w:pPr>
            <w:r>
              <w:rPr>
                <w:rFonts w:ascii="Arial" w:cs="Arial" w:eastAsia="Arial" w:hAnsi="Arial"/>
                <w:sz w:val="18"/>
                <w:szCs w:val="18"/>
                <w:color w:val="auto"/>
              </w:rPr>
              <w:t>Capital lease obligation, current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64,620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68,000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rent, current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41,273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80,392</w:t>
            </w:r>
          </w:p>
        </w:tc>
        <w:tc>
          <w:tcPr>
            <w:tcW w:w="0" w:type="dxa"/>
            <w:vAlign w:val="bottom"/>
          </w:tcPr>
          <w:p>
            <w:pPr>
              <w:spacing w:after="0"/>
              <w:rPr>
                <w:sz w:val="1"/>
                <w:szCs w:val="1"/>
                <w:color w:val="auto"/>
              </w:rPr>
            </w:pPr>
          </w:p>
        </w:tc>
      </w:tr>
      <w:tr>
        <w:trPr>
          <w:trHeight w:val="223"/>
        </w:trPr>
        <w:tc>
          <w:tcPr>
            <w:tcW w:w="8060" w:type="dxa"/>
            <w:vAlign w:val="bottom"/>
          </w:tcPr>
          <w:p>
            <w:pPr>
              <w:ind w:left="220"/>
              <w:spacing w:after="0"/>
              <w:rPr>
                <w:sz w:val="20"/>
                <w:szCs w:val="20"/>
                <w:color w:val="auto"/>
              </w:rPr>
            </w:pPr>
            <w:r>
              <w:rPr>
                <w:rFonts w:ascii="Arial" w:cs="Arial" w:eastAsia="Arial" w:hAnsi="Arial"/>
                <w:sz w:val="18"/>
                <w:szCs w:val="18"/>
                <w:color w:val="auto"/>
              </w:rPr>
              <w:t>Bonds payable, current</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4,966,686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6,530,014</w:t>
            </w:r>
          </w:p>
        </w:tc>
        <w:tc>
          <w:tcPr>
            <w:tcW w:w="0" w:type="dxa"/>
            <w:vAlign w:val="bottom"/>
          </w:tcPr>
          <w:p>
            <w:pPr>
              <w:spacing w:after="0"/>
              <w:rPr>
                <w:sz w:val="1"/>
                <w:szCs w:val="1"/>
                <w:color w:val="auto"/>
              </w:rPr>
            </w:pPr>
          </w:p>
        </w:tc>
      </w:tr>
      <w:tr>
        <w:trPr>
          <w:trHeight w:val="216"/>
        </w:trPr>
        <w:tc>
          <w:tcPr>
            <w:tcW w:w="8060" w:type="dxa"/>
            <w:vAlign w:val="bottom"/>
          </w:tcPr>
          <w:p>
            <w:pPr>
              <w:ind w:left="220"/>
              <w:spacing w:after="0"/>
              <w:rPr>
                <w:sz w:val="20"/>
                <w:szCs w:val="20"/>
                <w:color w:val="auto"/>
              </w:rPr>
            </w:pPr>
            <w:r>
              <w:rPr>
                <w:rFonts w:ascii="Arial" w:cs="Arial" w:eastAsia="Arial" w:hAnsi="Arial"/>
                <w:sz w:val="18"/>
                <w:szCs w:val="18"/>
                <w:color w:val="auto"/>
              </w:rPr>
              <w:t>Capital lease obligation, non-current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69,494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85,826</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Bonds payable, non-current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656,250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698,750</w:t>
            </w:r>
          </w:p>
        </w:tc>
        <w:tc>
          <w:tcPr>
            <w:tcW w:w="0" w:type="dxa"/>
            <w:vAlign w:val="bottom"/>
          </w:tcPr>
          <w:p>
            <w:pPr>
              <w:spacing w:after="0"/>
              <w:rPr>
                <w:sz w:val="1"/>
                <w:szCs w:val="1"/>
                <w:color w:val="auto"/>
              </w:rPr>
            </w:pPr>
          </w:p>
        </w:tc>
      </w:tr>
      <w:tr>
        <w:trPr>
          <w:trHeight w:val="216"/>
        </w:trPr>
        <w:tc>
          <w:tcPr>
            <w:tcW w:w="8060" w:type="dxa"/>
            <w:vAlign w:val="bottom"/>
          </w:tcPr>
          <w:p>
            <w:pPr>
              <w:ind w:left="220"/>
              <w:spacing w:after="0"/>
              <w:rPr>
                <w:sz w:val="20"/>
                <w:szCs w:val="20"/>
                <w:color w:val="auto"/>
              </w:rPr>
            </w:pPr>
            <w:r>
              <w:rPr>
                <w:rFonts w:ascii="Arial" w:cs="Arial" w:eastAsia="Arial" w:hAnsi="Arial"/>
                <w:sz w:val="18"/>
                <w:szCs w:val="18"/>
                <w:color w:val="auto"/>
              </w:rPr>
              <w:t>Fair value of warrant liability</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8,160,619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9,676,968</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Deposits and other long-term liabilities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466,211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466,211</w:t>
            </w:r>
          </w:p>
        </w:tc>
        <w:tc>
          <w:tcPr>
            <w:tcW w:w="0" w:type="dxa"/>
            <w:vAlign w:val="bottom"/>
          </w:tcPr>
          <w:p>
            <w:pPr>
              <w:spacing w:after="0"/>
              <w:rPr>
                <w:sz w:val="1"/>
                <w:szCs w:val="1"/>
                <w:color w:val="auto"/>
              </w:rPr>
            </w:pPr>
          </w:p>
        </w:tc>
      </w:tr>
      <w:tr>
        <w:trPr>
          <w:trHeight w:val="216"/>
        </w:trPr>
        <w:tc>
          <w:tcPr>
            <w:tcW w:w="8060" w:type="dxa"/>
            <w:vAlign w:val="bottom"/>
          </w:tcPr>
          <w:p>
            <w:pPr>
              <w:ind w:left="220"/>
              <w:spacing w:after="0"/>
              <w:rPr>
                <w:sz w:val="20"/>
                <w:szCs w:val="20"/>
                <w:color w:val="auto"/>
              </w:rPr>
            </w:pPr>
            <w:r>
              <w:rPr>
                <w:rFonts w:ascii="Arial" w:cs="Arial" w:eastAsia="Arial" w:hAnsi="Arial"/>
                <w:sz w:val="18"/>
                <w:szCs w:val="18"/>
                <w:color w:val="auto"/>
              </w:rPr>
              <w:t>Accrued wind-down expenses, non-current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2,788,815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3,056,675</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rent, non-current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40,281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50,600</w:t>
            </w:r>
          </w:p>
        </w:tc>
        <w:tc>
          <w:tcPr>
            <w:tcW w:w="0" w:type="dxa"/>
            <w:vAlign w:val="bottom"/>
          </w:tcPr>
          <w:p>
            <w:pPr>
              <w:spacing w:after="0"/>
              <w:rPr>
                <w:sz w:val="1"/>
                <w:szCs w:val="1"/>
                <w:color w:val="auto"/>
              </w:rPr>
            </w:pPr>
          </w:p>
        </w:tc>
      </w:tr>
      <w:tr>
        <w:trPr>
          <w:trHeight w:val="223"/>
        </w:trPr>
        <w:tc>
          <w:tcPr>
            <w:tcW w:w="8060" w:type="dxa"/>
            <w:vAlign w:val="bottom"/>
          </w:tcPr>
          <w:p>
            <w:pPr>
              <w:ind w:left="220"/>
              <w:spacing w:after="0"/>
              <w:rPr>
                <w:sz w:val="20"/>
                <w:szCs w:val="20"/>
                <w:color w:val="auto"/>
              </w:rPr>
            </w:pPr>
            <w:r>
              <w:rPr>
                <w:rFonts w:ascii="Arial" w:cs="Arial" w:eastAsia="Arial" w:hAnsi="Arial"/>
                <w:sz w:val="18"/>
                <w:szCs w:val="18"/>
                <w:color w:val="auto"/>
              </w:rPr>
              <w:t>Deferred revenue, non-current</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126,007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17,274,363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20,695,257</w:t>
            </w:r>
          </w:p>
        </w:tc>
        <w:tc>
          <w:tcPr>
            <w:tcW w:w="0" w:type="dxa"/>
            <w:vAlign w:val="bottom"/>
          </w:tcPr>
          <w:p>
            <w:pPr>
              <w:spacing w:after="0"/>
              <w:rPr>
                <w:sz w:val="1"/>
                <w:szCs w:val="1"/>
                <w:color w:val="auto"/>
              </w:rPr>
            </w:pPr>
          </w:p>
        </w:tc>
      </w:tr>
      <w:tr>
        <w:trPr>
          <w:trHeight w:val="216"/>
        </w:trPr>
        <w:tc>
          <w:tcPr>
            <w:tcW w:w="8060" w:type="dxa"/>
            <w:vAlign w:val="bottom"/>
          </w:tcPr>
          <w:p>
            <w:pPr>
              <w:ind w:left="220"/>
              <w:spacing w:after="0"/>
              <w:rPr>
                <w:sz w:val="20"/>
                <w:szCs w:val="20"/>
                <w:color w:val="auto"/>
              </w:rPr>
            </w:pPr>
            <w:r>
              <w:rPr>
                <w:rFonts w:ascii="Arial" w:cs="Arial" w:eastAsia="Arial" w:hAnsi="Arial"/>
                <w:sz w:val="18"/>
                <w:szCs w:val="18"/>
                <w:color w:val="auto"/>
              </w:rPr>
              <w:t>Commitments and contingencies (Note 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60" w:type="dxa"/>
            <w:vAlign w:val="bottom"/>
          </w:tcPr>
          <w:p>
            <w:pPr>
              <w:ind w:left="220"/>
              <w:spacing w:after="0" w:line="201" w:lineRule="exact"/>
              <w:rPr>
                <w:sz w:val="20"/>
                <w:szCs w:val="20"/>
                <w:color w:val="auto"/>
              </w:rPr>
            </w:pPr>
            <w:r>
              <w:rPr>
                <w:rFonts w:ascii="Arial" w:cs="Arial" w:eastAsia="Arial" w:hAnsi="Arial"/>
                <w:sz w:val="18"/>
                <w:szCs w:val="18"/>
                <w:color w:val="auto"/>
                <w:w w:val="93"/>
              </w:rPr>
              <w:t>Common stock, $0.01 par value; 250,000,000 shares authorized; issued and outstanding 119,622,033 at</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420"/>
              <w:spacing w:after="0"/>
              <w:rPr>
                <w:sz w:val="20"/>
                <w:szCs w:val="20"/>
                <w:color w:val="auto"/>
              </w:rPr>
            </w:pPr>
            <w:r>
              <w:rPr>
                <w:rFonts w:ascii="Arial" w:cs="Arial" w:eastAsia="Arial" w:hAnsi="Arial"/>
                <w:sz w:val="18"/>
                <w:szCs w:val="18"/>
                <w:color w:val="auto"/>
              </w:rPr>
              <w:t>March 31, 2010 and 118,349,587 at December 31, 2009</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1,196,219</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1,183,495</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316,635,781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314,944,784</w:t>
            </w:r>
          </w:p>
        </w:tc>
        <w:tc>
          <w:tcPr>
            <w:tcW w:w="0" w:type="dxa"/>
            <w:vAlign w:val="bottom"/>
          </w:tcPr>
          <w:p>
            <w:pPr>
              <w:spacing w:after="0"/>
              <w:rPr>
                <w:sz w:val="1"/>
                <w:szCs w:val="1"/>
                <w:color w:val="auto"/>
              </w:rPr>
            </w:pPr>
          </w:p>
        </w:tc>
      </w:tr>
      <w:tr>
        <w:trPr>
          <w:trHeight w:val="216"/>
        </w:trPr>
        <w:tc>
          <w:tcPr>
            <w:tcW w:w="806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(292,152,010)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(286,027,935)</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44,240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394,723</w:t>
            </w: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Total stockholders’ equity</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25,724,230</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30,495,067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42,998,593</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51,190,324</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Revenue from licensing agreements and grants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113,849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56,603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 from product sales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116,424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230,273</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(43,762)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186,511</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5,037,514</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4,235,788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2,584,742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2,538,913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165,335</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205,436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7,787,591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6,980,137</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(7,601,080)</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(6,923,534)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(expense):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Realized gain on sale of marketable securities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397,866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1,516,349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(2,755,448)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(25,500)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(14,438)</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1,477,005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(2,358,020)</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(6,124,075</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(9,281,554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Shares used to compute basic and diluted loss per share</w:t>
            </w: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118,959,136</w:t>
            </w: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96,048,288</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8720"/>
        <w:spacing w:after="0"/>
        <w:rPr>
          <w:sz w:val="20"/>
          <w:szCs w:val="20"/>
          <w:color w:val="auto"/>
        </w:rPr>
      </w:pPr>
      <w:r>
        <w:rPr>
          <w:rFonts w:ascii="Arial" w:cs="Arial" w:eastAsia="Arial" w:hAnsi="Arial"/>
          <w:sz w:val="14"/>
          <w:szCs w:val="14"/>
          <w:b w:val="1"/>
          <w:bCs w:val="1"/>
          <w:color w:val="auto"/>
        </w:rPr>
        <w:t>Three months ended</w:t>
      </w:r>
    </w:p>
    <w:p>
      <w:pPr>
        <w:jc w:val="center"/>
        <w:ind w:left="87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w w:val="93"/>
              </w:rPr>
              <w:t>(6,124,075)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(9,281,554)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418,307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298,347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1,018,972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Gain on sale of marketable securities</w:t>
            </w:r>
          </w:p>
        </w:tc>
        <w:tc>
          <w:tcPr>
            <w:tcW w:w="100" w:type="dxa"/>
            <w:vAlign w:val="bottom"/>
          </w:tcPr>
          <w:p>
            <w:pPr>
              <w:spacing w:after="0"/>
              <w:rPr>
                <w:sz w:val="18"/>
                <w:szCs w:val="18"/>
                <w:color w:val="auto"/>
              </w:rPr>
            </w:pPr>
          </w:p>
        </w:tc>
        <w:tc>
          <w:tcPr>
            <w:tcW w:w="14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(397,868)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3"/>
              </w:rPr>
              <w:t>(1,516,349)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2,755,448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Trade receivables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41,568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300,765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(138,508)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Other assets, non-current</w:t>
            </w:r>
          </w:p>
        </w:tc>
        <w:tc>
          <w:tcPr>
            <w:tcW w:w="10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(17,588)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3"/>
              </w:rPr>
              <w:t>(1,614,964)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Accrued wind-down expenses</w:t>
            </w:r>
          </w:p>
        </w:tc>
        <w:tc>
          <w:tcPr>
            <w:tcW w:w="10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(201,175)</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(176,779)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74,198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(49,437)</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(76,287)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3"/>
              </w:rPr>
              <w:t>(7,808,286)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(5,781,631)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sale of marketable securities</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3,612,750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Payment of advances under notes receivable</w:t>
            </w:r>
          </w:p>
        </w:tc>
        <w:tc>
          <w:tcPr>
            <w:tcW w:w="100" w:type="dxa"/>
            <w:vAlign w:val="bottom"/>
          </w:tcPr>
          <w:p>
            <w:pPr>
              <w:spacing w:after="0"/>
              <w:rPr>
                <w:sz w:val="18"/>
                <w:szCs w:val="18"/>
                <w:color w:val="auto"/>
              </w:rPr>
            </w:pPr>
          </w:p>
        </w:tc>
        <w:tc>
          <w:tcPr>
            <w:tcW w:w="14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(78,871)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(277,436)</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(78,871)</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2,920,314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Proceeds from issuance of common stock, net of issuance costs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1,044,907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6,744,958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exercise of stock options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Proceeds from the exercise of warrants</w:t>
            </w:r>
          </w:p>
        </w:tc>
        <w:tc>
          <w:tcPr>
            <w:tcW w:w="100" w:type="dxa"/>
            <w:vAlign w:val="bottom"/>
          </w:tcPr>
          <w:p>
            <w:pPr>
              <w:spacing w:after="0"/>
              <w:rPr>
                <w:sz w:val="18"/>
                <w:szCs w:val="18"/>
                <w:color w:val="auto"/>
              </w:rPr>
            </w:pPr>
          </w:p>
        </w:tc>
        <w:tc>
          <w:tcPr>
            <w:tcW w:w="14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331,501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related to net share issuance of stock based awards</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(360,793)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Proceeds from (repayment of) capital lease obligations</w:t>
            </w:r>
          </w:p>
        </w:tc>
        <w:tc>
          <w:tcPr>
            <w:tcW w:w="10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(19,713)</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140,658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bonds payable</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(38,750)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(36,250)</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626,287</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6,875,383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3"/>
              </w:rPr>
              <w:t>(7,260,870)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4,014,066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Effects of foreign exchange rate changes on cash</w:t>
            </w:r>
          </w:p>
        </w:tc>
        <w:tc>
          <w:tcPr>
            <w:tcW w:w="10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(20,120)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38,617,977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30,042,986</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31,336,987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34,057,052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25,500</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2010 and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StemCells, Inc., a Delaware corporation, is a biopharmaceutical company that operates in one segment, the research, development, and commercialization of stem cell therapeutics and related technologies.</w:t>
      </w:r>
    </w:p>
    <w:p>
      <w:pPr>
        <w:spacing w:after="0" w:line="62" w:lineRule="exact"/>
        <w:rPr>
          <w:sz w:val="20"/>
          <w:szCs w:val="20"/>
          <w:color w:val="auto"/>
        </w:rPr>
      </w:pPr>
    </w:p>
    <w:p>
      <w:pPr>
        <w:ind w:right="60" w:firstLine="222"/>
        <w:spacing w:after="0" w:line="272" w:lineRule="auto"/>
        <w:rPr>
          <w:sz w:val="20"/>
          <w:szCs w:val="20"/>
          <w:color w:val="auto"/>
        </w:rPr>
      </w:pPr>
      <w:r>
        <w:rPr>
          <w:rFonts w:ascii="Arial" w:cs="Arial" w:eastAsia="Arial" w:hAnsi="Arial"/>
          <w:sz w:val="17"/>
          <w:szCs w:val="17"/>
          <w:color w:val="auto"/>
        </w:rPr>
        <w:t>The accompanying financial data as of and for the three months ended March 31, 2010 and 2009 has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United States (U.S. GAAP) have been condensed or omitted pursuant to such rules and regulations. The December 31, 2009 condensed consolidated balance sheet was derived from audited financial statements, but does not include all disclosures required by U.S. GAAP. However, we believe that the disclosures are adequate to make the information presented not misleading. These condensed consolidated financial statements should be read in conjunction with the consolidated financial statements and the notes thereto included in our Annual Report on Form 10-K for the fiscal year ended December 31, 2009.</w:t>
      </w:r>
    </w:p>
    <w:p>
      <w:pPr>
        <w:spacing w:after="0" w:line="70"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We have incurred significant operating losses since inception. We expect to incur additional operating losses over the foreseeable future. We have very limited liquidity and capital resources and must obtain significant additional capital and other resources in order to sustain our product development efforts, to provide funding for the acquisition of technologies, businesses and intellectual property rights, preclinical and clinical testing of our investigative products, pursuit of regulatory approvals, acquisition of capital equipment, laboratory and office facilities, establishment of production capabilities, selling, general and administrative expenses and other working capital requirements. We rely on our cash reserves, proceeds from equity and debt offerings, proceeds from the transfer or sale of intellectual property rights, equipment, facilities or investments, government grants and funding from collaborative arrangements, to fund our operations. If we exhaust our cash reserves and are unable to obtain adequate financing, we may be unable to meet our operating obligations and we may be required to initiate bankruptcy proceedings.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condensed consolidated financial statements include the accounts of StemCells, Inc., and our wholly-owned subsidiaries, StemCells California, Inc., StemCells Property Holding LLC, Stem Cell Sciences Holdings Ltd; Stem Cell Sciences (UK) Ltd; and Stem Cell Sciences (Australia) Pty Ltd. All significant intercompany accounts and transactions have been eliminated.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0" w:firstLine="222"/>
        <w:spacing w:after="0" w:line="342" w:lineRule="auto"/>
        <w:rPr>
          <w:sz w:val="20"/>
          <w:szCs w:val="20"/>
          <w:color w:val="auto"/>
        </w:rPr>
      </w:pPr>
      <w:r>
        <w:rPr>
          <w:rFonts w:ascii="Arial" w:cs="Arial" w:eastAsia="Arial" w:hAnsi="Arial"/>
          <w:sz w:val="16"/>
          <w:szCs w:val="16"/>
          <w:color w:val="auto"/>
        </w:rPr>
        <w:t>The preparation of financial statements in conformity with U.S. GAAP requires management to make judgments, assumptions and estimates that affect the amounts reported in our condensed consolidated financial statements and accompanying notes. Actual results could differ materially from these estimates.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Significant estimates include the following:</w:t>
      </w:r>
    </w:p>
    <w:p>
      <w:pPr>
        <w:spacing w:after="0" w:line="117" w:lineRule="exact"/>
        <w:rPr>
          <w:sz w:val="20"/>
          <w:szCs w:val="20"/>
          <w:color w:val="auto"/>
        </w:rPr>
      </w:pPr>
    </w:p>
    <w:p>
      <w:pPr>
        <w:ind w:left="660" w:hanging="314"/>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grant date fair value of stock-based awards recognized as compensation expense (see Note 6, “Stock-Based Compensation”);</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accrued wind-down expenses (see Note 7, “Wind-Down Expenses”);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fair value of warrants recorded as a liability (see Note 9, “Warrant Liability”); and</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fair value of goodwill and other intangible assets (see Note 5, “Goodwill and Other Intangible Assets”).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We consider money market accounts, money market funds and investments with an average maturity of 90 days or less from the date of purchase to be cash equivalents.</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Marketable Securities</w:t>
      </w:r>
    </w:p>
    <w:p>
      <w:pPr>
        <w:spacing w:after="0" w:line="117"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Our existing marketable securities are designated as available-for-sale securities. These securities are carried at fair value (see Note 2, “Financial Instruments”), with the unrealized gains and losses reported as a component of stockholders’ equity. Management determines the appropriate designation of its investments (current or non-current) in marketable securities at the time of purchase and reevaluates such designation as of each balance sheet date. The cost of securities sold is based upon the specific identification method.</w:t>
      </w:r>
    </w:p>
    <w:p>
      <w:pPr>
        <w:spacing w:after="0" w:line="79"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If the estimated fair value of a security is below its carrying value, we evaluate whether we have the intent and ability to retain our investment for a period of time sufficient to allow for any anticipated recovery to the cost of the investment, and whether evidence indicating that the cost of the investment is recoverable within a reasonable period of time outweighs evidence to the contrary. Other-than-temporary declines in estimated fair value of all marketable securities are charged to “Other income (expense), net.” No such impairment was recognized during the three months ended March 31, 2010 or 2009.</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Other Receivables</w:t>
      </w:r>
    </w:p>
    <w:p>
      <w:pPr>
        <w:spacing w:after="0" w:line="11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Our receivables generally consist of interest income on our financial instruments, revenue from licensing agreements and grants, revenue from product sales, and rent from our sub-lease tenants.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Goodwill and intangible assets are primarily from a business acquisition accounted for under the purchase method. Goodwill and intangible assets deemed to have indefinite lives are not amortized but are subject to annual impairment tests. If the assumptions and estimates used to allocate the purchase price are not correct, or if business conditions change, purchase price adjustments or future asset impairment charges could be required. We test goodwill for impairment on an annual basis or more frequently if we believe indicators of impairment exist. Intangible assets with finite useful lives are amortized generally on a straight-line basis over the periods benefited. Intangible assets with finite useful lives are reviewed for impairment whenever events or changes in circumstances indicate the carrying amount of an asset may not be recoverable. Prior to fiscal year 2001, we capitalized certain patent costs, which are being amortized over the estimated lives of the patents and would be expensed at the time such patents are deemed to have no continuing value. Since 2001, all patent costs are expensed as incurred. License costs are capitalized and amortized over the estimated life of the license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80" w:firstLine="222"/>
        <w:spacing w:after="0" w:line="291" w:lineRule="auto"/>
        <w:rPr>
          <w:sz w:val="20"/>
          <w:szCs w:val="20"/>
          <w:color w:val="auto"/>
        </w:rPr>
      </w:pPr>
      <w:r>
        <w:rPr>
          <w:rFonts w:ascii="Arial" w:cs="Arial" w:eastAsia="Arial" w:hAnsi="Arial"/>
          <w:sz w:val="16"/>
          <w:szCs w:val="16"/>
          <w:color w:val="auto"/>
        </w:rPr>
        <w:t>We currently recognize revenue resulting from the licensing and use of our technology and intellectual property. Such licensing agreements may contain multiple elements, such as upfront fees, payments related to the achievement of particular milestones and royalties. Revenue from upfront fees for licensing agreements that contain multiple elements are generally deferred and recognized on a straight-line basis over the term of the agreement. Fees associated with substantive at risk performance-based milestones are recognized as revenue upon completion of the scientific or regulatory event specified in the agreement, and royalties received are recognized as earned. Revenue from collaborative agreements and grants are recognized as earned upon either the incurring of reimbursable expenses directly related to the particular research plan or the completion of certain development milestones as defined within the terms of the relevant collaborative agreement or grant. Revenue from product sales are recognized when the product is shipped and the order fulfilled.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Compensation expense for stock-based payment awards to employees is based on their grant date fair value as calculated and amortized over their vesting period. See Note 6, “Stock-Based Compensation” for further information.</w:t>
      </w:r>
    </w:p>
    <w:p>
      <w:pPr>
        <w:spacing w:after="0" w:line="62"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Compensation expense for stock-based awards granted to non-employees is based on the estimated fair value of the award which is re-measured at each reporting date and is amortized over the remaining vesting period.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use the Black-Scholes-Merton (Black-Scholes) model to calculate the fair value of stock-based awards.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340" w:firstLine="225"/>
        <w:spacing w:after="0" w:line="264" w:lineRule="auto"/>
        <w:rPr>
          <w:sz w:val="20"/>
          <w:szCs w:val="20"/>
          <w:color w:val="auto"/>
        </w:rPr>
      </w:pPr>
      <w:r>
        <w:rPr>
          <w:rFonts w:ascii="Arial" w:cs="Arial" w:eastAsia="Arial" w:hAnsi="Arial"/>
          <w:sz w:val="18"/>
          <w:szCs w:val="18"/>
          <w:color w:val="auto"/>
        </w:rPr>
        <w:t>Basic net loss per share is computed by dividing net loss by the weighted-average number of shares of common stock outstanding during the period. Diluted net loss per share is computed based on the weighted-average number of shares of common stock and other dilutive securities. To the extent these securities are anti-dilutive, they are excluded from the calculation of diluted earnings per share.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reconciliation of the numerators and denominators of the basic and diluted earnings per share computations: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7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(6,124,075)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(9,281,554)</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Weighted average shares outstanding used to compute basic and diluted net loss per share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118,959,136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96,048,288</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r>
    </w:tbl>
    <w:p>
      <w:pPr>
        <w:spacing w:after="0" w:line="94"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following outstanding potentially dilutive common stock equivalents were excluded from the computation of diluted net loss per share because the effect would have been anti-dilutive as of March 31: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9,830,870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8,355,287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1,777,151</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1,350,000</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14,344,828</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11,425,354</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25,952,849</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21,130,641</w:t>
            </w:r>
          </w:p>
        </w:tc>
        <w:tc>
          <w:tcPr>
            <w:tcW w:w="10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color w:val="auto"/>
        </w:rPr>
        <w:t>Comprehensive loss is comprised of net losses and other comprehensive loss or income (OCL). OCL includes certain changes in stockholders’ equity that are excluded from net losses. Specifically, we include in OCL changes in unrealized gains and losses on our marketable securities and unrealized gains and losses on foreign currency translations. Accumulated other comprehensive income was $44,240 as of March 31, 2010 and $394,723 as of December 31, 2009.</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activity in OCL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60" w:type="dxa"/>
            <w:vAlign w:val="bottom"/>
          </w:tcPr>
          <w:p>
            <w:pPr>
              <w:spacing w:after="0"/>
              <w:rPr>
                <w:sz w:val="14"/>
                <w:szCs w:val="14"/>
                <w:color w:val="auto"/>
              </w:rPr>
            </w:pPr>
          </w:p>
        </w:tc>
        <w:tc>
          <w:tcPr>
            <w:tcW w:w="25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8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85"/>
              </w:rPr>
              <w:t>$ (6,124,075)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(9,281,554)</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Net change in unrealized gains and losses on marketable securities</w:t>
            </w: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(40,265)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50,484</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and losses on foreign currency translations</w:t>
            </w: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(310,218)</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rPr>
              <w:t>Comprehensive loss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(6,474,558</w:t>
            </w:r>
          </w:p>
        </w:tc>
        <w:tc>
          <w:tcPr>
            <w:tcW w:w="680" w:type="dxa"/>
            <w:vAlign w:val="bottom"/>
            <w:gridSpan w:val="2"/>
          </w:tcPr>
          <w:p>
            <w:pPr>
              <w:jc w:val="right"/>
              <w:ind w:right="620"/>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(9,231,070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8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firstLine="225"/>
        <w:spacing w:after="0" w:line="289" w:lineRule="auto"/>
        <w:rPr>
          <w:sz w:val="20"/>
          <w:szCs w:val="20"/>
          <w:color w:val="auto"/>
        </w:rPr>
      </w:pPr>
      <w:r>
        <w:rPr>
          <w:rFonts w:ascii="Arial" w:cs="Arial" w:eastAsia="Arial" w:hAnsi="Arial"/>
          <w:sz w:val="16"/>
          <w:szCs w:val="16"/>
          <w:color w:val="auto"/>
        </w:rPr>
        <w:t xml:space="preserve">In January 2010, the Financial Accounting Standards Board (FASB), issued new standards to update and amend existing standards on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and Disclosures. </w:t>
      </w:r>
      <w:r>
        <w:rPr>
          <w:rFonts w:ascii="Arial" w:cs="Arial" w:eastAsia="Arial" w:hAnsi="Arial"/>
          <w:sz w:val="16"/>
          <w:szCs w:val="16"/>
          <w:color w:val="auto"/>
        </w:rPr>
        <w:t>These standards require new disclosures on the amount and reason for transfers in and out of Level 1 and Level 2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measurements. The standards also require disclosure of activities in Level 3 fair value measurements that use significant unobservable inputs, including purchases, sales, issuances, and settlements. The standards also clarify existing disclosure requirements on levels of disaggregation, which requires fair value measurement disclosure for each class of assets and liabilities, and disclosures about valuation techniques and inputs used to measure fair value of recurring and non recurring fair value measurements that fall in ether Level 2 or Level 3. The new disclosures and clarifications of existing disclosures are effective for our interim and annual reporting periods beginning January 1, 2010, except for the disclosures about purchases, sales, issuances and settlements in the roll forward activity in Level 3 fair value measurements. Those disclosures are effective for our fiscal year beginning January 1, 2011. We do not expect the adoption of these new standards on January 1, 2011 to have a material effect on our consolidated financial condition and results of operations.</w:t>
      </w:r>
    </w:p>
    <w:p>
      <w:pPr>
        <w:spacing w:after="0" w:line="59" w:lineRule="exact"/>
        <w:rPr>
          <w:sz w:val="20"/>
          <w:szCs w:val="20"/>
          <w:color w:val="auto"/>
        </w:rPr>
      </w:pPr>
    </w:p>
    <w:p>
      <w:pPr>
        <w:ind w:right="140" w:firstLine="225"/>
        <w:spacing w:after="0" w:line="254" w:lineRule="auto"/>
        <w:rPr>
          <w:sz w:val="20"/>
          <w:szCs w:val="20"/>
          <w:color w:val="auto"/>
        </w:rPr>
      </w:pPr>
      <w:r>
        <w:rPr>
          <w:rFonts w:ascii="Arial" w:cs="Arial" w:eastAsia="Arial" w:hAnsi="Arial"/>
          <w:sz w:val="18"/>
          <w:szCs w:val="18"/>
          <w:color w:val="auto"/>
        </w:rPr>
        <w:t xml:space="preserve">In April 2010, FASB issued Accounting Standards Update (ASU), </w:t>
      </w:r>
      <w:r>
        <w:rPr>
          <w:rFonts w:ascii="Arial" w:cs="Arial" w:eastAsia="Arial" w:hAnsi="Arial"/>
          <w:sz w:val="18"/>
          <w:szCs w:val="18"/>
          <w:i w:val="1"/>
          <w:iCs w:val="1"/>
          <w:color w:val="auto"/>
        </w:rPr>
        <w:t>Revenue Recognition—Milestone Method,</w:t>
      </w:r>
      <w:r>
        <w:rPr>
          <w:rFonts w:ascii="Arial" w:cs="Arial" w:eastAsia="Arial" w:hAnsi="Arial"/>
          <w:sz w:val="18"/>
          <w:szCs w:val="18"/>
          <w:color w:val="auto"/>
        </w:rPr>
        <w:t xml:space="preserve"> which provides guidance on defining a milestone and determining when it may be appropriate to apply the milestone method of revenue recognition for research or development transactions. Research or development arrangements frequently include payment provisions whereby a portion or all of the consideration is contingent upon milestone events such as successful completion of phases in a study or achieving a specific result from the research or development efforts. The amendments in this ASU provide guidance on the criteria that should be met for determining whether the milestone method of revenue recognition is appropriate. The ASU is effective for fiscal years and interim periods within those years beginning on or after June 15, 2010, with early adoption permitted. This ASU is effective for our interim and annual reporting periods beginning January 1, 2011. We are currently evaluating the impact, if any on our financial condition and results of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Financial Instruments</w:t>
      </w:r>
    </w:p>
    <w:p>
      <w:pPr>
        <w:spacing w:after="0" w:line="121"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following table summarizes the fair value of our cash, cash equivalents and available-for-sale marketable securities held in our current investment portfolio:</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Gross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32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Gains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3"/>
              </w:rPr>
              <w:t>(Losses)</w:t>
            </w: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2010</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383,733</w:t>
            </w: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383,733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30,953,254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30,953,254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Marketable equity securities, current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74,456</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82,274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156,730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31,411,443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82,274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31,493,717</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2009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1,064,148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1,064,148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37,553,829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37,553,829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Marketable equity securities, current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74,456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122,539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196,995</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38,692,433</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122,539</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38,814,972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720" w:firstLine="225"/>
        <w:spacing w:after="0" w:line="277" w:lineRule="auto"/>
        <w:rPr>
          <w:sz w:val="20"/>
          <w:szCs w:val="20"/>
          <w:color w:val="auto"/>
        </w:rPr>
      </w:pPr>
      <w:r>
        <w:rPr>
          <w:rFonts w:ascii="Arial" w:cs="Arial" w:eastAsia="Arial" w:hAnsi="Arial"/>
          <w:sz w:val="18"/>
          <w:szCs w:val="18"/>
          <w:color w:val="auto"/>
        </w:rPr>
        <w:t>Gross unrealized gains and losses on cash equivalents were not material at March 31, 2010 and December 31, 2009. At March 31, 2010, our cash equivalents were primarily money market funds consisting mainly of U.S. Treasury securities.</w:t>
      </w:r>
    </w:p>
    <w:p>
      <w:pPr>
        <w:spacing w:after="0" w:line="62" w:lineRule="exact"/>
        <w:rPr>
          <w:sz w:val="20"/>
          <w:szCs w:val="20"/>
          <w:color w:val="auto"/>
        </w:rPr>
      </w:pPr>
    </w:p>
    <w:p>
      <w:pPr>
        <w:ind w:right="140" w:firstLine="225"/>
        <w:spacing w:after="0" w:line="284" w:lineRule="auto"/>
        <w:rPr>
          <w:sz w:val="20"/>
          <w:szCs w:val="20"/>
          <w:color w:val="auto"/>
        </w:rPr>
      </w:pPr>
      <w:r>
        <w:rPr>
          <w:rFonts w:ascii="Arial" w:cs="Arial" w:eastAsia="Arial" w:hAnsi="Arial"/>
          <w:sz w:val="16"/>
          <w:szCs w:val="16"/>
          <w:color w:val="auto"/>
        </w:rPr>
        <w:t>Our investment in marketable securities consists of ordinary shares of ReNeuron Group Plc (ReNeuron), a publicly listed U.K. corporation. In July 2005, we entered into an agreement with ReNeuron under which we granted ReNeuron a license that allows ReNeuron to exploit its “c-mycER” conditionally immortalized adult human neural stem cell technology for therapy and other purposes. We received shares of ReNeuron common stock, as well as a cross-license to the exclusive use of ReNeuron’s technology for certain diseases and conditions, including lysosomal storage diseases, spinal cord injury, cerebral palsy, and multiple sclerosis. The agreement also provides for full settlement of any potential claims that either we or ReNeuron might have had against the other in connection with any putative infringement of certain of each party’s patent rights prior to the effective date of the agreement. In July and</w:t>
      </w:r>
    </w:p>
    <w:p>
      <w:pPr>
        <w:spacing w:after="0" w:line="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August 2005, we received approximately 8,836,000 ordinary shares of ReNeuron common stock, net of approximately 104,000 shares that were transferred to NeuroSpheres, Ltd., an Alberta corporation (NeuroSpheres), and subsequently, as a result of certain anti-dilution provisions in the agreement, we received approximately 1,261,000 more shares, net of approximately 18,000 shares that were transferred to NeuroSpheres. In February 2007, we sold 5,275,000 shares for net proceeds of approximately $3,075,000. We recognized approximately $716,000 as realized gain from this transaction. In the first quarter of 2009, we sold 2,900,000 shares of ReNeuron and received net proceeds of approximately $510,000 for a realized gain of approximately $398,000. At March 31, 2010 and December 31, 2009, we owned 1,921,924 shares of ReNeuron with a carrying and fair market value of approximately $157,000 and $197,000 respectively.</w:t>
      </w:r>
    </w:p>
    <w:p>
      <w:pPr>
        <w:spacing w:after="0" w:line="85"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Changes in the fair market value of our ReNeuron shares as a result of changes in market price per share or the exchange rate between the U.S. dollar and the British pound are accounted for as an unrealized gain or loss under “other comprehensive income (loss)” if deemed temporary and are not recorded as “other income (expense), net” until the shares are disposed of and a gain or loss realized. If the fair value of a security is below its carrying value, we evaluate whether we have the intent and ability to retain our investment for a period of time sufficient to allow for any anticipated recovery to the cost of the investment, and whether evidence indicating that the cost of the investment is recoverable within a reasonable period of time outweighs evidence to the contrary. Other-than-temporary declines in estimated fair value of all marketable securities are charged to “other income (expense), net.” For the three months ended March 31, 2010, we recorded an unrealized gain of approximately $40,000.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tables present our assets and liabilities that are measured at fair value on a recurring basis and are categorized using the fair value hierarchy.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has three levels based on the reliability of the inputs used to determine fair value.</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left="240" w:right="400"/>
        <w:spacing w:after="0" w:line="277" w:lineRule="auto"/>
        <w:rPr>
          <w:sz w:val="20"/>
          <w:szCs w:val="20"/>
          <w:color w:val="auto"/>
        </w:rPr>
      </w:pPr>
      <w:r>
        <w:rPr>
          <w:rFonts w:ascii="Arial" w:cs="Arial" w:eastAsia="Arial" w:hAnsi="Arial"/>
          <w:sz w:val="18"/>
          <w:szCs w:val="18"/>
          <w:color w:val="auto"/>
        </w:rPr>
        <w:t>Level 2 — Directly or indirectly observable inputs other than in Level 1, that include quoted prices for similar assets or liabilities in active markets or quoted prices for identical or similar assets or liabilities in markets that are not active.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800"/>
        <w:spacing w:after="0" w:line="277" w:lineRule="auto"/>
        <w:rPr>
          <w:sz w:val="20"/>
          <w:szCs w:val="20"/>
          <w:color w:val="auto"/>
        </w:rPr>
      </w:pPr>
      <w:r>
        <w:rPr>
          <w:rFonts w:ascii="Arial" w:cs="Arial" w:eastAsia="Arial" w:hAnsi="Arial"/>
          <w:sz w:val="18"/>
          <w:szCs w:val="18"/>
          <w:color w:val="auto"/>
        </w:rPr>
        <w:t>Level 3 — Unobservable inputs which are supported by little or no market activity that reflects the reporting entity’s own assumptions about the assumptions that market participants would use in pricing the asset or liability.</w:t>
      </w:r>
    </w:p>
    <w:p>
      <w:pPr>
        <w:spacing w:after="0" w:line="62"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62"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Our cash equivalents, marketable securities and bonds payable are classified within Level 1 or Level 2. This is because our cash equivalents and marketable securities are valued primarily using quoted market prices and our bonds payable are valued using alternative pricing sources and models utilizing market observable inputs. We currently do not have any Level 3 financial assets or liabilities.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financial assets and liabilities measured at fair value: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5"/>
          </w:tcPr>
          <w:p>
            <w:pPr>
              <w:ind w:left="360"/>
              <w:spacing w:after="0"/>
              <w:rPr>
                <w:sz w:val="20"/>
                <w:szCs w:val="20"/>
                <w:color w:val="auto"/>
              </w:rPr>
            </w:pPr>
            <w:r>
              <w:rPr>
                <w:rFonts w:ascii="Arial" w:cs="Arial" w:eastAsia="Arial" w:hAnsi="Arial"/>
                <w:sz w:val="14"/>
                <w:szCs w:val="14"/>
                <w:b w:val="1"/>
                <w:bCs w:val="1"/>
                <w:color w:val="auto"/>
              </w:rPr>
              <w:t>Fair Value Measurement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5"/>
          </w:tcPr>
          <w:p>
            <w:pPr>
              <w:ind w:left="380"/>
              <w:spacing w:after="0" w:line="149" w:lineRule="exact"/>
              <w:rPr>
                <w:sz w:val="20"/>
                <w:szCs w:val="20"/>
                <w:color w:val="auto"/>
              </w:rPr>
            </w:pPr>
            <w:r>
              <w:rPr>
                <w:rFonts w:ascii="Arial" w:cs="Arial" w:eastAsia="Arial" w:hAnsi="Arial"/>
                <w:sz w:val="14"/>
                <w:szCs w:val="14"/>
                <w:b w:val="1"/>
                <w:bCs w:val="1"/>
                <w:color w:val="auto"/>
              </w:rPr>
              <w:t>at Reporting Date Using</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Quoted Prices</w:t>
            </w: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540" w:type="dxa"/>
            <w:vAlign w:val="bottom"/>
            <w:gridSpan w:val="4"/>
          </w:tcPr>
          <w:p>
            <w:pPr>
              <w:ind w:left="2800"/>
              <w:spacing w:after="0" w:line="149" w:lineRule="exact"/>
              <w:rPr>
                <w:sz w:val="20"/>
                <w:szCs w:val="20"/>
                <w:color w:val="auto"/>
              </w:rPr>
            </w:pPr>
            <w:r>
              <w:rPr>
                <w:rFonts w:ascii="Arial" w:cs="Arial" w:eastAsia="Arial" w:hAnsi="Arial"/>
                <w:sz w:val="14"/>
                <w:szCs w:val="14"/>
                <w:b w:val="1"/>
                <w:bCs w:val="1"/>
                <w:color w:val="auto"/>
              </w:rPr>
              <w:t>in Active Markets</w:t>
            </w:r>
          </w:p>
        </w:tc>
        <w:tc>
          <w:tcPr>
            <w:tcW w:w="100" w:type="dxa"/>
            <w:vAlign w:val="bottom"/>
          </w:tcPr>
          <w:p>
            <w:pPr>
              <w:spacing w:after="0"/>
              <w:rPr>
                <w:sz w:val="12"/>
                <w:szCs w:val="12"/>
                <w:color w:val="auto"/>
              </w:rPr>
            </w:pPr>
          </w:p>
        </w:tc>
        <w:tc>
          <w:tcPr>
            <w:tcW w:w="12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6"/>
              </w:rPr>
              <w:t>for</w:t>
            </w: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7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(Level 1)</w:t>
            </w:r>
          </w:p>
        </w:tc>
        <w:tc>
          <w:tcPr>
            <w:tcW w:w="13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82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Cash Equivalents: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900" w:type="dxa"/>
            <w:vAlign w:val="bottom"/>
            <w:gridSpan w:val="2"/>
            <w:shd w:val="clear" w:color="auto" w:fill="CCEEFF"/>
          </w:tcPr>
          <w:p>
            <w:pPr>
              <w:ind w:left="280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30,953,254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30,953,254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Marketable Securities: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156,730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156,730</w:t>
            </w: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31,109,984</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31,109,984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Bond payable</w:t>
            </w:r>
          </w:p>
        </w:tc>
        <w:tc>
          <w:tcPr>
            <w:tcW w:w="2900" w:type="dxa"/>
            <w:vAlign w:val="bottom"/>
            <w:gridSpan w:val="2"/>
          </w:tcPr>
          <w:p>
            <w:pPr>
              <w:ind w:left="280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821,250</w:t>
            </w:r>
          </w:p>
        </w:tc>
        <w:tc>
          <w:tcPr>
            <w:tcW w:w="6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821,250</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 of Stem Cell Sciences Plc (SCS) Operations</w:t>
      </w:r>
    </w:p>
    <w:p>
      <w:pPr>
        <w:spacing w:after="0" w:line="121"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On April 1, 2009, we acquired the operations of SCS for an aggregate purchase price of approximately $5,135,000. The acquired operations includes proprietary cell technologies relating to embryonic stem cells, induced pluripotent stem (iPS) cells, and tissue-derived (adult) stem cells; expertise and infrastructure for providing cell-based assays for drug discovery; a media formulation and reagent business; and an intellectual property portfolio with claims relevant to cell processing, reprogramming and manipulation, as well as to gene targeting and insertion.</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purchase price has been allocated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4160" w:type="dxa"/>
            <w:vAlign w:val="bottom"/>
            <w:gridSpan w:val="4"/>
            <w:vMerge w:val="restart"/>
          </w:tcPr>
          <w:p>
            <w:pPr>
              <w:ind w:left="2340"/>
              <w:spacing w:after="0"/>
              <w:rPr>
                <w:sz w:val="20"/>
                <w:szCs w:val="20"/>
                <w:color w:val="auto"/>
              </w:rPr>
            </w:pPr>
            <w:r>
              <w:rPr>
                <w:rFonts w:ascii="Arial" w:cs="Arial" w:eastAsia="Arial" w:hAnsi="Arial"/>
                <w:sz w:val="14"/>
                <w:szCs w:val="14"/>
                <w:b w:val="1"/>
                <w:bCs w:val="1"/>
                <w:color w:val="auto"/>
              </w:rPr>
              <w:t>Allocated purchase</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99"/>
              </w:rPr>
              <w:t>Estimated life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4160" w:type="dxa"/>
            <w:vAlign w:val="bottom"/>
            <w:gridSpan w:val="4"/>
            <w:vMerge w:val="continue"/>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intangible assets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price</w:t>
            </w:r>
          </w:p>
        </w:tc>
        <w:tc>
          <w:tcPr>
            <w:tcW w:w="640" w:type="dxa"/>
            <w:vAlign w:val="bottom"/>
          </w:tcPr>
          <w:p>
            <w:pPr>
              <w:spacing w:after="0"/>
              <w:rPr>
                <w:sz w:val="14"/>
                <w:szCs w:val="14"/>
                <w:color w:val="auto"/>
              </w:rPr>
            </w:pPr>
          </w:p>
        </w:tc>
        <w:tc>
          <w:tcPr>
            <w:tcW w:w="10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in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260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36,000</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Intangible assets:</w:t>
            </w: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relationships and developed technology</w:t>
            </w:r>
          </w:p>
        </w:tc>
        <w:tc>
          <w:tcPr>
            <w:tcW w:w="2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1,310,000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 to 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In process research and development</w:t>
            </w: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1,340,000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 to 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name</w:t>
            </w:r>
          </w:p>
        </w:tc>
        <w:tc>
          <w:tcPr>
            <w:tcW w:w="2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310,000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Goodwill</w:t>
            </w:r>
          </w:p>
        </w:tc>
        <w:tc>
          <w:tcPr>
            <w:tcW w:w="2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2,139,000</w:t>
            </w:r>
          </w:p>
        </w:tc>
        <w:tc>
          <w:tcPr>
            <w:tcW w:w="6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5,135,000</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w:t>
      </w:r>
    </w:p>
    <w:p>
      <w:pPr>
        <w:spacing w:after="0" w:line="121"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 March 2010, we received approximately $47,000 for an R&amp;D tax credit due to our wholly-owned subsidiary Stem Cell Sciences (Australia) Pty Ltd. The R&amp;D tax credit was due for the year 2007. Accordingly, the purchase price allocation for the SCS acquisition was adjusted and the gross carrying amount of goodwill recorded at the date of acquisition was reduced by that amount.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048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10460" w:type="dxa"/>
            <w:vAlign w:val="bottom"/>
            <w:gridSpan w:val="3"/>
          </w:tcPr>
          <w:p>
            <w:pPr>
              <w:ind w:left="200"/>
              <w:spacing w:after="0"/>
              <w:rPr>
                <w:sz w:val="20"/>
                <w:szCs w:val="20"/>
                <w:color w:val="auto"/>
              </w:rPr>
            </w:pPr>
            <w:r>
              <w:rPr>
                <w:rFonts w:ascii="Arial" w:cs="Arial" w:eastAsia="Arial" w:hAnsi="Arial"/>
                <w:sz w:val="18"/>
                <w:szCs w:val="18"/>
                <w:color w:val="auto"/>
              </w:rPr>
              <w:t>The following table represents changes in goodwill:</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as of December 31, 2009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$ 2,019,679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3"/>
          </w:tcPr>
          <w:p>
            <w:pPr>
              <w:spacing w:after="0"/>
              <w:rPr>
                <w:sz w:val="20"/>
                <w:szCs w:val="20"/>
                <w:color w:val="auto"/>
              </w:rPr>
            </w:pPr>
            <w:r>
              <w:rPr>
                <w:rFonts w:ascii="Arial" w:cs="Arial" w:eastAsia="Arial" w:hAnsi="Arial"/>
                <w:sz w:val="18"/>
                <w:szCs w:val="18"/>
                <w:color w:val="auto"/>
              </w:rPr>
              <w:t>Reductions (R&amp;D credit as described above)</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(47,374)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(120,116)</w:t>
            </w:r>
          </w:p>
        </w:tc>
        <w:tc>
          <w:tcPr>
            <w:tcW w:w="0" w:type="dxa"/>
            <w:vAlign w:val="bottom"/>
          </w:tcPr>
          <w:p>
            <w:pPr>
              <w:spacing w:after="0"/>
              <w:rPr>
                <w:sz w:val="1"/>
                <w:szCs w:val="1"/>
                <w:color w:val="auto"/>
              </w:rPr>
            </w:pPr>
          </w:p>
        </w:tc>
      </w:tr>
      <w:tr>
        <w:trPr>
          <w:trHeight w:val="223"/>
        </w:trPr>
        <w:tc>
          <w:tcPr>
            <w:tcW w:w="10480" w:type="dxa"/>
            <w:vAlign w:val="bottom"/>
            <w:gridSpan w:val="4"/>
          </w:tcPr>
          <w:p>
            <w:pPr>
              <w:spacing w:after="0"/>
              <w:rPr>
                <w:sz w:val="20"/>
                <w:szCs w:val="20"/>
                <w:color w:val="auto"/>
              </w:rPr>
            </w:pPr>
            <w:r>
              <w:rPr>
                <w:rFonts w:ascii="Arial" w:cs="Arial" w:eastAsia="Arial" w:hAnsi="Arial"/>
                <w:sz w:val="18"/>
                <w:szCs w:val="18"/>
                <w:color w:val="auto"/>
              </w:rPr>
              <w:t>Balance as of March 31, 2010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$ 1,852,189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gridSpan w:val="3"/>
            <w:vMerge w:val="restart"/>
          </w:tcPr>
          <w:p>
            <w:pPr>
              <w:ind w:left="200"/>
              <w:spacing w:after="0"/>
              <w:rPr>
                <w:sz w:val="20"/>
                <w:szCs w:val="20"/>
                <w:color w:val="auto"/>
              </w:rPr>
            </w:pPr>
            <w:r>
              <w:rPr>
                <w:rFonts w:ascii="Arial" w:cs="Arial" w:eastAsia="Arial" w:hAnsi="Arial"/>
                <w:sz w:val="18"/>
                <w:szCs w:val="18"/>
                <w:color w:val="auto"/>
              </w:rPr>
              <w:t>The components of our other intangible assets at March 31, 2010 are summarized below:</w:t>
            </w: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46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04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Other Intangible Asset Class</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Net Carrying</w:t>
            </w:r>
          </w:p>
        </w:tc>
        <w:tc>
          <w:tcPr>
            <w:tcW w:w="0" w:type="dxa"/>
            <w:vAlign w:val="bottom"/>
          </w:tcPr>
          <w:p>
            <w:pPr>
              <w:spacing w:after="0"/>
              <w:rPr>
                <w:sz w:val="1"/>
                <w:szCs w:val="1"/>
                <w:color w:val="auto"/>
              </w:rPr>
            </w:pPr>
          </w:p>
        </w:tc>
      </w:tr>
      <w:tr>
        <w:trPr>
          <w:trHeight w:val="171"/>
        </w:trPr>
        <w:tc>
          <w:tcPr>
            <w:tcW w:w="10480" w:type="dxa"/>
            <w:vAlign w:val="bottom"/>
            <w:gridSpan w:val="4"/>
            <w:vMerge w:val="continue"/>
          </w:tcPr>
          <w:p>
            <w:pPr>
              <w:spacing w:after="0"/>
              <w:rPr>
                <w:sz w:val="14"/>
                <w:szCs w:val="14"/>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relationships and developed technology</w:t>
            </w:r>
          </w:p>
        </w:tc>
        <w:tc>
          <w:tcPr>
            <w:tcW w:w="5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$ 1,204,401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3"/>
          </w:tcPr>
          <w:p>
            <w:pPr>
              <w:spacing w:after="0"/>
              <w:rPr>
                <w:sz w:val="20"/>
                <w:szCs w:val="20"/>
                <w:color w:val="auto"/>
              </w:rPr>
            </w:pPr>
            <w:r>
              <w:rPr>
                <w:rFonts w:ascii="Arial" w:cs="Arial" w:eastAsia="Arial" w:hAnsi="Arial"/>
                <w:sz w:val="18"/>
                <w:szCs w:val="18"/>
                <w:color w:val="auto"/>
              </w:rPr>
              <w:t>In-process research and development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1,318,857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name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305,084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3"/>
          </w:tcPr>
          <w:p>
            <w:pPr>
              <w:spacing w:after="0"/>
              <w:rPr>
                <w:sz w:val="20"/>
                <w:szCs w:val="20"/>
                <w:color w:val="auto"/>
              </w:rPr>
            </w:pPr>
            <w:r>
              <w:rPr>
                <w:rFonts w:ascii="Arial" w:cs="Arial" w:eastAsia="Arial" w:hAnsi="Arial"/>
                <w:sz w:val="18"/>
                <w:szCs w:val="18"/>
                <w:color w:val="auto"/>
              </w:rPr>
              <w:t>Patents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394,604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License agreements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107,804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80" w:type="dxa"/>
            <w:vAlign w:val="bottom"/>
            <w:gridSpan w:val="4"/>
          </w:tcPr>
          <w:p>
            <w:pPr>
              <w:spacing w:after="0"/>
              <w:rPr>
                <w:sz w:val="20"/>
                <w:szCs w:val="20"/>
                <w:color w:val="auto"/>
              </w:rPr>
            </w:pPr>
            <w:r>
              <w:rPr>
                <w:rFonts w:ascii="Arial" w:cs="Arial" w:eastAsia="Arial" w:hAnsi="Arial"/>
                <w:sz w:val="18"/>
                <w:szCs w:val="18"/>
                <w:color w:val="auto"/>
              </w:rPr>
              <w:t>Total other intangible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$ 3,330,750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Amortization expense was approximately $131,000 in the first quarter of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Stock-Based Compensation</w:t>
      </w:r>
    </w:p>
    <w:p>
      <w:pPr>
        <w:spacing w:after="0" w:line="121" w:lineRule="exact"/>
        <w:rPr>
          <w:sz w:val="20"/>
          <w:szCs w:val="20"/>
          <w:color w:val="auto"/>
        </w:rPr>
      </w:pPr>
    </w:p>
    <w:p>
      <w:pPr>
        <w:ind w:right="180" w:firstLine="222"/>
        <w:spacing w:after="0" w:line="297" w:lineRule="auto"/>
        <w:rPr>
          <w:sz w:val="20"/>
          <w:szCs w:val="20"/>
          <w:color w:val="auto"/>
        </w:rPr>
      </w:pPr>
      <w:r>
        <w:rPr>
          <w:rFonts w:ascii="Arial" w:cs="Arial" w:eastAsia="Arial" w:hAnsi="Arial"/>
          <w:sz w:val="16"/>
          <w:szCs w:val="16"/>
          <w:color w:val="auto"/>
        </w:rPr>
        <w:t>We currently grant stock-based awards under three equity incentive plans. We had 23,759,050 shares authorized to be granted under the three plans as of March 31, 2010. Under these plans we may grant various types of equity awards to our employees, directors and consultants, at prices determined by our Board of Directors, including incentive stock options, nonqualified stock options, stock appreciation rights, restricted stock, restricted stock units, and performance-based shares. Incentive stock options may only be granted to employees under these plans with a grant price not less than the fair market value of the stock on the date of grant. We use these plans to grant shares to employees for the employer match of employee 401(k) plan contributions.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stock-based compensation expense for the three months ended March 31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578"/>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546,608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492,587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472,364</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488,428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Total employee stock-based compensation expense and effect on net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1,018,972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981,015</w:t>
            </w: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Effect on basic and diluted net loss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60" w:firstLine="215"/>
        <w:spacing w:after="0" w:line="342" w:lineRule="auto"/>
        <w:rPr>
          <w:sz w:val="20"/>
          <w:szCs w:val="20"/>
          <w:color w:val="auto"/>
        </w:rPr>
      </w:pPr>
      <w:r>
        <w:rPr>
          <w:rFonts w:ascii="Arial" w:cs="Arial" w:eastAsia="Arial" w:hAnsi="Arial"/>
          <w:sz w:val="16"/>
          <w:szCs w:val="16"/>
          <w:color w:val="auto"/>
        </w:rPr>
        <w:t>As of March 31, 2010, we had approximately $4,991,000 of total unrecognized compensation expense related to unvested awards of stock options and restricted stock units granted under our various stock-based plans that we expect to recognize over a weighted-average vesting period of 2.4 years.</w:t>
      </w:r>
    </w:p>
    <w:p>
      <w:pPr>
        <w:spacing w:after="0" w:line="124"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Generally, stock options granted to employees have a maximum term of ten years, and vest over a four year period from the date of grant; 25% vest at the end of one year, and 75% vest monthly over the remaining three-year service period. We may grant options with different vesting terms from time to time. Upon employee termination of service, any unexercised vested option will be forfeited three months following termination or the expiration of the option, whichever is earlier. Unvested options are forfeited on termination.</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our stock option activity for the three months ended March 31, 2010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5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Number of options</w:t>
            </w:r>
          </w:p>
        </w:tc>
        <w:tc>
          <w:tcPr>
            <w:tcW w:w="15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9,260,812</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692,500</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(1,042)</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Cancelled</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(121,400)</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March 31, 2010</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9,830,870</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222"/>
        <w:spacing w:after="0" w:line="286" w:lineRule="auto"/>
        <w:rPr>
          <w:sz w:val="20"/>
          <w:szCs w:val="20"/>
          <w:color w:val="auto"/>
        </w:rPr>
      </w:pPr>
      <w:r>
        <w:rPr>
          <w:rFonts w:ascii="Arial" w:cs="Arial" w:eastAsia="Arial" w:hAnsi="Arial"/>
          <w:sz w:val="17"/>
          <w:szCs w:val="17"/>
          <w:color w:val="auto"/>
        </w:rPr>
        <w:t>The estimated weighted-average fair value of options granted in the three months ended March 31, 2010 and 2009 was approximately $0.93 and $1.40 per option, respectively. The fair value of options granted is estimated as of the date of grant using the Black-Scholes option pricing model, which requires certain assumptions as of the date of grant. The weighted-average assumptions used as of March 31, 2010 and 2009 were as follows:</w:t>
      </w:r>
    </w:p>
    <w:p>
      <w:pPr>
        <w:sectPr>
          <w:pgSz w:w="11900" w:h="16838" w:orient="portrait"/>
          <w:cols w:equalWidth="0" w:num="1">
            <w:col w:w="11420"/>
          </w:cols>
          <w:pgMar w:left="240" w:top="405"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20" w:type="dxa"/>
            <w:vAlign w:val="bottom"/>
          </w:tcPr>
          <w:p>
            <w:pPr>
              <w:spacing w:after="0"/>
              <w:rPr>
                <w:sz w:val="14"/>
                <w:szCs w:val="14"/>
                <w:color w:val="auto"/>
              </w:rPr>
            </w:pPr>
          </w:p>
        </w:tc>
        <w:tc>
          <w:tcPr>
            <w:tcW w:w="300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420" w:type="dxa"/>
            <w:vAlign w:val="bottom"/>
          </w:tcPr>
          <w:p>
            <w:pPr>
              <w:spacing w:after="0"/>
              <w:rPr>
                <w:sz w:val="12"/>
                <w:szCs w:val="12"/>
                <w:color w:val="auto"/>
              </w:rPr>
            </w:pPr>
          </w:p>
        </w:tc>
        <w:tc>
          <w:tcPr>
            <w:tcW w:w="122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c>
          <w:tcPr>
            <w:tcW w:w="122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2009</w:t>
            </w: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Expected life(years)(1)</w:t>
            </w:r>
          </w:p>
        </w:tc>
        <w:tc>
          <w:tcPr>
            <w:tcW w:w="122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6.9</w:t>
            </w:r>
          </w:p>
        </w:tc>
        <w:tc>
          <w:tcPr>
            <w:tcW w:w="17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7.6</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Risk-free interest rate(2)</w:t>
            </w:r>
          </w:p>
        </w:tc>
        <w:tc>
          <w:tcPr>
            <w:tcW w:w="1220" w:type="dxa"/>
            <w:vAlign w:val="bottom"/>
          </w:tcPr>
          <w:p>
            <w:pPr>
              <w:jc w:val="right"/>
              <w:ind w:right="216"/>
              <w:spacing w:after="0"/>
              <w:rPr>
                <w:sz w:val="20"/>
                <w:szCs w:val="20"/>
                <w:color w:val="auto"/>
              </w:rPr>
            </w:pPr>
            <w:r>
              <w:rPr>
                <w:rFonts w:ascii="Arial" w:cs="Arial" w:eastAsia="Arial" w:hAnsi="Arial"/>
                <w:sz w:val="18"/>
                <w:szCs w:val="18"/>
                <w:color w:val="auto"/>
              </w:rPr>
              <w:t>3.1%</w:t>
            </w:r>
          </w:p>
        </w:tc>
        <w:tc>
          <w:tcPr>
            <w:tcW w:w="1780" w:type="dxa"/>
            <w:vAlign w:val="bottom"/>
            <w:gridSpan w:val="2"/>
          </w:tcPr>
          <w:p>
            <w:pPr>
              <w:jc w:val="right"/>
              <w:ind w:right="228"/>
              <w:spacing w:after="0"/>
              <w:rPr>
                <w:sz w:val="20"/>
                <w:szCs w:val="20"/>
                <w:color w:val="auto"/>
              </w:rPr>
            </w:pPr>
            <w:r>
              <w:rPr>
                <w:rFonts w:ascii="Arial" w:cs="Arial" w:eastAsia="Arial" w:hAnsi="Arial"/>
                <w:sz w:val="18"/>
                <w:szCs w:val="18"/>
                <w:color w:val="auto"/>
              </w:rPr>
              <w:t>2.4%</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volatility(3)</w:t>
            </w:r>
          </w:p>
        </w:tc>
        <w:tc>
          <w:tcPr>
            <w:tcW w:w="12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88.8%</w:t>
            </w:r>
          </w:p>
        </w:tc>
        <w:tc>
          <w:tcPr>
            <w:tcW w:w="17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96.5%</w:t>
            </w: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Expected dividend yield(4)</w:t>
            </w:r>
          </w:p>
        </w:tc>
        <w:tc>
          <w:tcPr>
            <w:tcW w:w="1220" w:type="dxa"/>
            <w:vAlign w:val="bottom"/>
          </w:tcPr>
          <w:p>
            <w:pPr>
              <w:jc w:val="right"/>
              <w:ind w:right="216"/>
              <w:spacing w:after="0"/>
              <w:rPr>
                <w:sz w:val="20"/>
                <w:szCs w:val="20"/>
                <w:color w:val="auto"/>
              </w:rPr>
            </w:pPr>
            <w:r>
              <w:rPr>
                <w:rFonts w:ascii="Arial" w:cs="Arial" w:eastAsia="Arial" w:hAnsi="Arial"/>
                <w:sz w:val="18"/>
                <w:szCs w:val="18"/>
                <w:color w:val="auto"/>
              </w:rPr>
              <w:t>0%</w:t>
            </w:r>
          </w:p>
        </w:tc>
        <w:tc>
          <w:tcPr>
            <w:tcW w:w="1780" w:type="dxa"/>
            <w:vAlign w:val="bottom"/>
            <w:gridSpan w:val="2"/>
          </w:tcPr>
          <w:p>
            <w:pPr>
              <w:jc w:val="right"/>
              <w:ind w:right="228"/>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360" w:hanging="452"/>
        <w:spacing w:after="0" w:line="26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expected term represents the period during which our stock-based awards are expected to be outstanding. We estimated this amount based on historical experience of similar awards, giving consideration to the contractual terms of the awards, vesting requirements, and expectation of future employee behavior, including post-vesting terminations.</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risk-free interest rate is based on U.S. Treasury debt securities with maturities close to the expected term of the option as of the date of grant.</w:t>
      </w:r>
    </w:p>
    <w:p>
      <w:pPr>
        <w:spacing w:after="0" w:line="99" w:lineRule="exact"/>
        <w:rPr>
          <w:rFonts w:ascii="Arial" w:cs="Arial" w:eastAsia="Arial" w:hAnsi="Arial"/>
          <w:sz w:val="16"/>
          <w:szCs w:val="16"/>
          <w:color w:val="auto"/>
        </w:rPr>
      </w:pPr>
    </w:p>
    <w:p>
      <w:pPr>
        <w:ind w:left="460" w:right="10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Expected volatility is based on historical volatility over the most recent historical period equal to the length of the expected term of the option as of the date of grant.</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not historically issued any dividends, and we do not expect to in the foreseeable future.</w:t>
      </w:r>
    </w:p>
    <w:p>
      <w:pPr>
        <w:spacing w:after="0" w:line="117" w:lineRule="exact"/>
        <w:rPr>
          <w:sz w:val="20"/>
          <w:szCs w:val="20"/>
          <w:color w:val="auto"/>
        </w:rPr>
      </w:pPr>
    </w:p>
    <w:p>
      <w:pPr>
        <w:ind w:right="380" w:firstLine="215"/>
        <w:spacing w:after="0" w:line="277" w:lineRule="auto"/>
        <w:rPr>
          <w:sz w:val="20"/>
          <w:szCs w:val="20"/>
          <w:color w:val="auto"/>
        </w:rPr>
      </w:pPr>
      <w:r>
        <w:rPr>
          <w:rFonts w:ascii="Arial" w:cs="Arial" w:eastAsia="Arial" w:hAnsi="Arial"/>
          <w:sz w:val="18"/>
          <w:szCs w:val="18"/>
          <w:color w:val="auto"/>
        </w:rPr>
        <w:t>At the end of each reporting period, we estimate forfeiture rates based on our historical experience within separate groups of employees and adjust the stock-based compensation expense accordingly.</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changes in unvested options for the three months ended March 31, 2010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Number of options</w:t>
            </w:r>
          </w:p>
        </w:tc>
        <w:tc>
          <w:tcPr>
            <w:tcW w:w="320" w:type="dxa"/>
            <w:vAlign w:val="bottom"/>
            <w:vMerge w:val="restart"/>
          </w:tcPr>
          <w:p>
            <w:pPr>
              <w:spacing w:after="0"/>
              <w:rPr>
                <w:sz w:val="14"/>
                <w:szCs w:val="14"/>
                <w:color w:val="auto"/>
              </w:rPr>
            </w:pPr>
          </w:p>
        </w:tc>
        <w:tc>
          <w:tcPr>
            <w:tcW w:w="1860" w:type="dxa"/>
            <w:vAlign w:val="bottom"/>
            <w:gridSpan w:val="3"/>
          </w:tcPr>
          <w:p>
            <w:pPr>
              <w:ind w:left="280"/>
              <w:spacing w:after="0"/>
              <w:rPr>
                <w:sz w:val="20"/>
                <w:szCs w:val="20"/>
                <w:color w:val="auto"/>
              </w:rPr>
            </w:pPr>
            <w:r>
              <w:rPr>
                <w:rFonts w:ascii="Arial" w:cs="Arial" w:eastAsia="Arial" w:hAnsi="Arial"/>
                <w:sz w:val="14"/>
                <w:szCs w:val="14"/>
                <w:b w:val="1"/>
                <w:bCs w:val="1"/>
                <w:color w:val="auto"/>
                <w:w w:val="97"/>
              </w:rPr>
              <w:t>Weighted-average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date fair value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Unvested options at December 31, 2009</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2,613,057</w:t>
            </w: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692,500</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(298,246)</w:t>
            </w: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Cancelled</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(85,568)</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Unvested options at March 31, 2010</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2,921,743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estimated fair value of shares vested were approximately $531,000 in the three months ended March 31, 2010.</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jc w:val="both"/>
        <w:ind w:right="180" w:firstLine="222"/>
        <w:spacing w:after="0" w:line="264" w:lineRule="auto"/>
        <w:rPr>
          <w:sz w:val="20"/>
          <w:szCs w:val="20"/>
          <w:color w:val="auto"/>
        </w:rPr>
      </w:pPr>
      <w:r>
        <w:rPr>
          <w:rFonts w:ascii="Arial" w:cs="Arial" w:eastAsia="Arial" w:hAnsi="Arial"/>
          <w:sz w:val="18"/>
          <w:szCs w:val="18"/>
          <w:color w:val="auto"/>
        </w:rPr>
        <w:t>We have granted restricted stock units (RSUs) to certain employees which entitle the holders to receive shares of our common stock upon vesting of the RSUs. The fair value of restricted stock units granted are based upon the market price of the underlying common stock as if it were vested and issued on the date of grant.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our restricted stock unit activity for the three months ended March 31, 2010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Number of RSUs</w:t>
            </w:r>
          </w:p>
        </w:tc>
        <w:tc>
          <w:tcPr>
            <w:tcW w:w="320" w:type="dxa"/>
            <w:vAlign w:val="bottom"/>
            <w:vMerge w:val="restart"/>
          </w:tcPr>
          <w:p>
            <w:pPr>
              <w:spacing w:after="0"/>
              <w:rPr>
                <w:sz w:val="14"/>
                <w:szCs w:val="14"/>
                <w:color w:val="auto"/>
              </w:rPr>
            </w:pPr>
          </w:p>
        </w:tc>
        <w:tc>
          <w:tcPr>
            <w:tcW w:w="1860" w:type="dxa"/>
            <w:vAlign w:val="bottom"/>
            <w:gridSpan w:val="3"/>
          </w:tcPr>
          <w:p>
            <w:pPr>
              <w:ind w:left="280"/>
              <w:spacing w:after="0"/>
              <w:rPr>
                <w:sz w:val="20"/>
                <w:szCs w:val="20"/>
                <w:color w:val="auto"/>
              </w:rPr>
            </w:pPr>
            <w:r>
              <w:rPr>
                <w:rFonts w:ascii="Arial" w:cs="Arial" w:eastAsia="Arial" w:hAnsi="Arial"/>
                <w:sz w:val="14"/>
                <w:szCs w:val="14"/>
                <w:b w:val="1"/>
                <w:bCs w:val="1"/>
                <w:color w:val="auto"/>
                <w:w w:val="97"/>
              </w:rPr>
              <w:t>Weighted-average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date fair value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 (1)</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2,437,901</w:t>
            </w: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Granted (2)</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30,667</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Vested and converted to common shares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(650,750)</w:t>
            </w: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Cancelled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(40,667)</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Balance unvested at March 31, 2010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1,777,151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60" w:hanging="452"/>
        <w:spacing w:after="0" w:line="297"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1,061,500 of these restricted stock units vest and convert into shares of our common stock over a three year period from the date of grant: one-third of the award will vest on each grant date anniversary following the grant. 1,046,401 of these restricted stock units vest and convert into shares of our common stock over a four year period from the date of grant: one-fourth of the award will vest on each grant date anniversary following the grant. 30,000 of these restricted stock units vest and convert into shares of our common stock after one year from the date of grant. 300,000 of these restricted stock units will vest and convert into shares of our common stock subject to attainment of certain performance criteria and will be forfeited if not met.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6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20,667 of these restricted stock units vest and convert into shares of our common stock in May 2010. 10,000 of these restricted stock units vest and convert into shares of our common stock after one year from the date of grant.</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right="760" w:firstLine="225"/>
        <w:spacing w:after="0" w:line="308" w:lineRule="auto"/>
        <w:rPr>
          <w:sz w:val="20"/>
          <w:szCs w:val="20"/>
          <w:color w:val="auto"/>
        </w:rPr>
      </w:pPr>
      <w:r>
        <w:rPr>
          <w:rFonts w:ascii="Arial" w:cs="Arial" w:eastAsia="Arial" w:hAnsi="Arial"/>
          <w:sz w:val="17"/>
          <w:szCs w:val="17"/>
          <w:color w:val="auto"/>
        </w:rPr>
        <w:t>In July 2006, we granted cash-settled Stock Appreciation Rights (SARs) to certain employees that give the holder the right, upon exercise, to the difference between the price per share of our common stock at the time of exercise and the exercise price of the SARs.</w:t>
      </w:r>
    </w:p>
    <w:p>
      <w:pPr>
        <w:spacing w:after="0" w:line="38"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SARs have a maximum term of ten years with an exercise price of $2.00, which is equal to the market price of our common stock at the date of grant. The SARs vest 25% on the first anniversary of the grant date and 75% vest monthly over the remaining three-year service period. Compensation expense is based on the fair value of SARs which is calculated using the Black-Scholes option pricing model. The stock-based compensation expense and liability are re-measured at each reporting date through the date of settlement.</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changes in SARs for the three months ended March 31, 2010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Number of SARs</w:t>
            </w:r>
          </w:p>
        </w:tc>
        <w:tc>
          <w:tcPr>
            <w:tcW w:w="100" w:type="dxa"/>
            <w:vAlign w:val="bottom"/>
            <w:gridSpan w:val="2"/>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1,430,849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Forfeited and expired</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(7,996)</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Outstanding SARs at March 31, 2010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1,422,853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10260" w:type="dxa"/>
            <w:vAlign w:val="bottom"/>
            <w:gridSpan w:val="2"/>
          </w:tcPr>
          <w:p>
            <w:pPr>
              <w:spacing w:after="0"/>
              <w:rPr>
                <w:sz w:val="20"/>
                <w:szCs w:val="20"/>
                <w:color w:val="auto"/>
              </w:rPr>
            </w:pPr>
            <w:r>
              <w:rPr>
                <w:rFonts w:ascii="Arial" w:cs="Arial" w:eastAsia="Arial" w:hAnsi="Arial"/>
                <w:sz w:val="18"/>
                <w:szCs w:val="18"/>
                <w:color w:val="auto"/>
              </w:rPr>
              <w:t>SARs exercisable at March 31, 2010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1,310,008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For the three months ended March 31, 2010, we re-measured the liability related to the SARs and due to a decrease in the price per share of our common stock and forfeiture, the re-measured fair value of the liability reduced compensation expense by approximately $51,000. For the same period in 2009, we recorded compensation expense of approximately $242,000.</w:t>
      </w:r>
    </w:p>
    <w:p>
      <w:pPr>
        <w:spacing w:after="0" w:line="73" w:lineRule="exact"/>
        <w:rPr>
          <w:sz w:val="20"/>
          <w:szCs w:val="20"/>
          <w:color w:val="auto"/>
        </w:rPr>
      </w:pPr>
    </w:p>
    <w:p>
      <w:pPr>
        <w:ind w:right="300" w:firstLine="215"/>
        <w:spacing w:after="0" w:line="259" w:lineRule="auto"/>
        <w:rPr>
          <w:sz w:val="20"/>
          <w:szCs w:val="20"/>
          <w:color w:val="auto"/>
        </w:rPr>
      </w:pPr>
      <w:r>
        <w:rPr>
          <w:rFonts w:ascii="Arial" w:cs="Arial" w:eastAsia="Arial" w:hAnsi="Arial"/>
          <w:sz w:val="18"/>
          <w:szCs w:val="18"/>
          <w:color w:val="auto"/>
        </w:rPr>
        <w:t>At March 31, 2010, approximately $46,000 of unrecognized compensation expense related to SARs is expected to be recognized over the next four months. The resulting effect on net loss and net loss per share attributable to common stockholders is not likely to be representative of the effects in future periods, due to changes in the fair value calculation which is dependent on the stock price, volatility, interest and forfeiture rates, additional grants and subsequent periods of vesting.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Wind-Down Expenses</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Rhode Island</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 October 1999, we relocated to California from Rhode Island and established a wind down reserve for the estimated lease payments and operating costs of the scientific and administrative facility in Rhode Island. Even though we intend to dispose of the facility at the earliest possible time, we cannot determine with certainty a fixed date by which such disposal will occur. In light of this uncertainty, we periodically re-evaluate and adjust the reserve. We consider various factors such as our lease payments through to the end of the lease, operating expenses, the current real estate market in Rhode Island, and estimated subtenant income based on actual and projected occupancy.</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summary of the changes to our wind-down reserve related to this facility as of March 31, 2010 and December 31, 2009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January to</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January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9"/>
              </w:rPr>
              <w:t>March 31,</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reserve at beginning of period</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$ 3,572,000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4,448,000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0"/>
              </w:rPr>
              <w:t>Less actual expenses recorded against estimated reserve during the period</w:t>
            </w:r>
          </w:p>
        </w:tc>
        <w:tc>
          <w:tcPr>
            <w:tcW w:w="4920" w:type="dxa"/>
            <w:vAlign w:val="bottom"/>
            <w:gridSpan w:val="3"/>
          </w:tcPr>
          <w:p>
            <w:pPr>
              <w:jc w:val="right"/>
              <w:ind w:right="600"/>
              <w:spacing w:after="0"/>
              <w:rPr>
                <w:sz w:val="20"/>
                <w:szCs w:val="20"/>
                <w:color w:val="auto"/>
              </w:rPr>
            </w:pPr>
            <w:r>
              <w:rPr>
                <w:rFonts w:ascii="Arial" w:cs="Arial" w:eastAsia="Arial" w:hAnsi="Arial"/>
                <w:sz w:val="18"/>
                <w:szCs w:val="18"/>
                <w:color w:val="auto"/>
              </w:rPr>
              <w:t>(315,000)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(1,216,000)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7"/>
              </w:rPr>
              <w:t>Additional expense recorded to revise estimated reserve at period-end</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340,000</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Revised reserve at period-end</w:t>
            </w:r>
          </w:p>
        </w:tc>
        <w:tc>
          <w:tcPr>
            <w:tcW w:w="34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3,422,000</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3,572,000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Add deferred rent at period-end</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861,000</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w w:val="91"/>
              </w:rPr>
              <w:t>Total accrued wind-down expenses at period-end (current and non current)</w:t>
            </w:r>
          </w:p>
        </w:tc>
        <w:tc>
          <w:tcPr>
            <w:tcW w:w="34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$ 4,231,000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4,433,000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expenses, current</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$ 1,443,000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1,376,000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Accrued wind-down expenses, non-current</w:t>
            </w:r>
          </w:p>
        </w:tc>
        <w:tc>
          <w:tcPr>
            <w:tcW w:w="34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2,788,000</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3,057,000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accrued wind-down expenses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$ 4,231,000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4,433,000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420" w:type="dxa"/>
            <w:vAlign w:val="bottom"/>
            <w:vMerge w:val="restart"/>
          </w:tcPr>
          <w:p>
            <w:pPr>
              <w:jc w:val="right"/>
              <w:ind w:right="3030"/>
              <w:spacing w:after="0"/>
              <w:rPr>
                <w:sz w:val="20"/>
                <w:szCs w:val="20"/>
                <w:color w:val="auto"/>
              </w:rPr>
            </w:pPr>
            <w:r>
              <w:rPr>
                <w:rFonts w:ascii="Arial" w:cs="Arial" w:eastAsia="Arial" w:hAnsi="Arial"/>
                <w:sz w:val="18"/>
                <w:szCs w:val="18"/>
                <w:color w:val="auto"/>
              </w:rPr>
              <w:t>13</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Australia</w:t>
      </w:r>
    </w:p>
    <w:p>
      <w:pPr>
        <w:spacing w:after="0" w:line="117"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On April 1, 2009, as part of our acquisition of the SCS operations, we acquired operations near Melbourne, Australia. In order to reduce operating complexity and expenses, we made the decision to close our site in Australia and consolidate personnel and programs to our Cambridge, U.K. and Palo Alto, California sites. U.S. GAAP requires that a liability for a cost associated with an exit or disposal activity be recognized when the liability is incurred. In accordance with U.S. GAAP requirements, at June 30, 2009, we established a short-term reserve of approximately $310,000 for the estimated costs to close down and exit our Australia operations. The reserve reflects the estimated cost to terminate our facility lease in Australia (with an original termination date of December 31, 2010), employee termination benefits and other liabilities associated with the wind-down and relocation of our operations in Australia. The facility lease agreement was terminated effective July 2009 and our operations in Australia have been relocated to Cambridge, U.K. and Palo Alto, California. We recorded actual expenses of approximately $6,000 and $236,000 in 2010 and 2009, respectively, against this reserve. We believe that the estimated remaining balance of approximately $70,000 in our reserve will be sufficient to cover any remaining exit costs.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January to</w:t>
            </w:r>
          </w:p>
        </w:tc>
      </w:tr>
      <w:tr>
        <w:trPr>
          <w:trHeight w:val="149"/>
        </w:trPr>
        <w:tc>
          <w:tcPr>
            <w:tcW w:w="10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March 31,</w:t>
            </w:r>
          </w:p>
        </w:tc>
      </w:tr>
      <w:tr>
        <w:trPr>
          <w:trHeight w:val="171"/>
        </w:trPr>
        <w:tc>
          <w:tcPr>
            <w:tcW w:w="10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reserve at December 31, 2009</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74,000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Less actual expenses recorded against estimated reserve during the period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(6,000)</w:t>
            </w: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Additional expense recorded to revise estimated reserve at period-end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Accrued wind-down reserve at March 31, 2010</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Leases</w:t>
      </w:r>
    </w:p>
    <w:p>
      <w:pPr>
        <w:spacing w:after="0" w:line="117"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We entered into direct financing transactions with the State of Rhode Island and received proceeds from the issuance of industrial revenue bonds totaling $5,000,000 to finance the construction of our pilot manufacturing facility in Rhode Island. The related lease agreements are structured such that lease payments fully fund all semiannual interest payments and annual principal payments through maturity in August 2014. The interest rate for the remaining bond series is 9.5%. The bond contains certain restrictive covenants which limit, among other things, the payment of cash dividends and the sale of the related assets. The outstanding principal was approximately $821,000 at March 31, 2010 and $860,000 at December 31, 2009.</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We lease various real properties under operating leases that generally require us to pay taxes, insurance, maintenance, and minimum lease payments. Some of our leases have options to renew.</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 — California</w:t>
      </w:r>
    </w:p>
    <w:p>
      <w:pPr>
        <w:spacing w:after="0" w:line="117"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We have leased an approximately 68,000 square foot facility located at the Stanford Research Park in Palo Alto, California. The facility includes space for animals, laboratories, offices, and a GMP (Good Manufacturing Practices) suite. GMP facilities can be used to manufacture materials for clinical trials. Under the term of the agreement we were required to provide a letter of credit for a total of approximately $778,000, which serves as a security deposit for the duration of the lease term. The letter of credit issued by our financial institution is collateralized by a certificate of deposit for the same amount, which is reflected as restricted cash in other assets, non-current on our condensed consolidated balance sheets. In October 2009, we amended the lease to extend the expiry date of the lease term from March 31, 2010 to August 31, 2011. The aggregate rent payment for the extended lease term is approximately $3,100,000. The lease contains escalating rent payments, which we recognize as operating lease expense on a straight-line basis. Deferred rent was approximately $82,000 as of March 31, 2010 and $131,000 as of December 31, 2009, and is reflected as deferred rent on our accompanying Consolidated Balance Sheets. As of March 31, 2010, we had a space-sharing agreement covering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approximately 10,451 square feet of this facility.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 — Rhode Island</w:t>
      </w:r>
    </w:p>
    <w:p>
      <w:pPr>
        <w:spacing w:after="0" w:line="117" w:lineRule="exact"/>
        <w:rPr>
          <w:sz w:val="20"/>
          <w:szCs w:val="20"/>
          <w:color w:val="auto"/>
        </w:rPr>
      </w:pPr>
    </w:p>
    <w:p>
      <w:pPr>
        <w:ind w:right="400" w:firstLine="222"/>
        <w:spacing w:after="0" w:line="259" w:lineRule="auto"/>
        <w:rPr>
          <w:sz w:val="20"/>
          <w:szCs w:val="20"/>
          <w:color w:val="auto"/>
        </w:rPr>
      </w:pPr>
      <w:r>
        <w:rPr>
          <w:rFonts w:ascii="Arial" w:cs="Arial" w:eastAsia="Arial" w:hAnsi="Arial"/>
          <w:sz w:val="18"/>
          <w:szCs w:val="18"/>
          <w:color w:val="auto"/>
        </w:rPr>
        <w:t>We entered into a fifteen-year lease agreement for a scientific and administrative facility in Rhode Island in connection with a sale and leaseback arrangement in 1997. The lease term expires June 30, 2013. The lease contains escalating rent payments, which we recognize on a straight-line basis. Deferred rent expense for this facility was approximately $809,000 at March 31, 2010 and $861,000 at December 31, 2009, and is included as part of the wind-down accrual on the accompanying condensed consolidated balance sheets.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 — United Kingdom</w:t>
      </w:r>
    </w:p>
    <w:p>
      <w:pPr>
        <w:spacing w:after="0" w:line="117" w:lineRule="exact"/>
        <w:rPr>
          <w:sz w:val="20"/>
          <w:szCs w:val="20"/>
          <w:color w:val="auto"/>
        </w:rPr>
      </w:pPr>
    </w:p>
    <w:p>
      <w:pPr>
        <w:ind w:right="80" w:firstLine="225"/>
        <w:spacing w:after="0" w:line="290" w:lineRule="auto"/>
        <w:rPr>
          <w:sz w:val="20"/>
          <w:szCs w:val="20"/>
          <w:color w:val="auto"/>
        </w:rPr>
      </w:pPr>
      <w:r>
        <w:rPr>
          <w:rFonts w:ascii="Arial" w:cs="Arial" w:eastAsia="Arial" w:hAnsi="Arial"/>
          <w:sz w:val="16"/>
          <w:szCs w:val="16"/>
          <w:color w:val="auto"/>
        </w:rPr>
        <w:t>On April 1, 2009, as part of our acquisition of the operations of SCS, we acquired operations in Cambridge, U.K. As of April 2009, our wholly-owned subsidiary, Stem Cell Sciences (UK) Ltd, had two lease agreements for approximately 3,900 square feet of office and lab space in aggregate in two buildings of the Babraham Research Campus in Cambridge, U.K. One of these two leases, for approximately 2,000 square feet, expired by its terms on February 28, 2010. The second, for approximately 1,900 square feet, has an initial term until March 2011, with an option, at our election, to extend the term for an additional five years. In February 2010, we entered into a new lease agreement effective March 1, 2010, for approximately 3,240 square feet. The initial term of this new lease will continue until March 2011, with an option, at our election, to extend the term for an additional two years. The two currently effective Cambridge leases cover in aggregate approximately 5,000 square feet. We expect to pay approximately 134,000 GBP as rental payments for 2010 in aggregate for the Cambridge leases. StemCells, Inc. is the guarantor of Stem Cell Sciences (UK) Ltd’s obligations under both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60" w:firstLine="225"/>
        <w:spacing w:after="0" w:line="289" w:lineRule="auto"/>
        <w:rPr>
          <w:sz w:val="20"/>
          <w:szCs w:val="20"/>
          <w:color w:val="auto"/>
        </w:rPr>
      </w:pPr>
      <w:r>
        <w:rPr>
          <w:rFonts w:ascii="Arial" w:cs="Arial" w:eastAsia="Arial" w:hAnsi="Arial"/>
          <w:sz w:val="16"/>
          <w:szCs w:val="16"/>
          <w:color w:val="auto"/>
        </w:rPr>
        <w:t>In July 2006, we filed suit against Neuralstem, Inc. in the Federal District Court for the District of Maryland, alleging that Neuralstem’s activities violate claims in four of the patents we exclusively licensed from NeuroSpheres. In December 2006, Neuralstem petitioned the U.S. Patent and Trademark Office (PTO) to reexamine two of the patents in our infringement action against Neuralstem, namely U.S. Patent No. 6,294,346 (claiming the use of human neural stem cells for drug screening) and U.S. Patent No. 7,101,709 (claiming the use of human neural stem cells for screening biological agents). In April 2007, Neuralstem petitioned the PTO to reexamine the remaining two patents in the suit, namely U.S. Patent No. 5,851,832 (claiming methods for proliferating human neural stem cells) and U.S. Patent No. 6,497,872 (claiming methods for transplanting human neural stem cells). These requests were granted by the PTO and, in June 2007, the parties voluntarily agreed to stay the pending litigation while the PTO considered these reexamination requests. In April 2008, the PTO upheld the ’832 and ’872 patents, as amended, and issued Notices of Intent to Issue an Ex Parte Reexamination Certificate for both. In May 2009, the PTO upheld the ’346 and ’709 patents, as amended, and issued Notices of Intent to Issue an Ex Parte Reexamination Certificate for both.</w:t>
      </w:r>
    </w:p>
    <w:p>
      <w:pPr>
        <w:spacing w:after="0" w:line="59"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In May 2008, we filed a second patent infringement suit against Neuralstem and its two founders, Karl Johe and Richard Garr. In this suit, which we filed in the Federal District Court for the Northern District of California, we allege that Neuralstem’s activities infringe claims in two patents we exclusively license from NeuroSpheres, specifically U.S. Patent No. 7,361,505 (claiming composition of matter of human neural stem cells derived from any source material) and U.S. Patent No. 7,115,418 (claiming methods for proliferating human neural stem cells). In addition, we allege various state law causes of action against Neuralstem arising out of its repeated derogatory statements to the public about our patent portfolio. Also in May 2008, Neuralstem filed suit against us and NeuroSpheres in the Federal District Court for the District of Maryland seeking a declaratory judgment that the ’505 and ’418 patents are either invalid or are not infringed by Neuralstem and that Neuralstem has not violated California state law. In August 2008, the California court transferred our lawsuit against Neuralstem to Maryland for resolution on the merits. In July 2009, the Maryland District Court granted our motion to consolidate these two cases with the litigation we initiated against Neuralstem in 2006. In August 2009, the Maryland District Court approved a scheduling order submitted by the parties for discovery and trial.</w:t>
      </w:r>
    </w:p>
    <w:p>
      <w:pPr>
        <w:spacing w:after="0" w:line="70" w:lineRule="exact"/>
        <w:rPr>
          <w:sz w:val="20"/>
          <w:szCs w:val="20"/>
          <w:color w:val="auto"/>
        </w:rPr>
      </w:pPr>
    </w:p>
    <w:p>
      <w:pPr>
        <w:ind w:right="220" w:firstLine="225"/>
        <w:spacing w:after="0" w:line="255" w:lineRule="auto"/>
        <w:rPr>
          <w:sz w:val="20"/>
          <w:szCs w:val="20"/>
          <w:color w:val="auto"/>
        </w:rPr>
      </w:pPr>
      <w:r>
        <w:rPr>
          <w:rFonts w:ascii="Arial" w:cs="Arial" w:eastAsia="Arial" w:hAnsi="Arial"/>
          <w:sz w:val="18"/>
          <w:szCs w:val="18"/>
          <w:color w:val="auto"/>
        </w:rPr>
        <w:t>In addition to the actions described above, in April 2008, we filed an opposition to Neuralstem’s European Patent No. 0 915 968 (methods of isolating, propagating and differentiating CNS stem cells), because the claimed invention is believed by us to be unpatentable over prior art, including the patents exclusively licensed by us from NeuroSpheres. Neuralstem has responded to this opposition and the parties are currently awaiting a hearing, expected to be held in 2010. In September 2009, we also filed a request with the PTO to reexamine Neuralstem’s U.S. Patent No. 5,753,506 (methods of isolating, propagating and differentiating CNS stem cells), which is the U.S. counterpart of Neuralstem’s ’968 patent in Europe. In January 2010, we filed a request with the PTO to reexamine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Neuralstem’s U.S. Patent No. 7,544,511 (methods for immortalizing neural stem cells using a c-myc construct), which is a continuation in part of the ‘506 patent. The PTO granted the first reexamination request in October 2009 and the second in April 2010.</w:t>
      </w:r>
    </w:p>
    <w:p>
      <w:pPr>
        <w:spacing w:after="0" w:line="62"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Effective 2008, as part of an indemnification agreement with NeuroSpheres, we offset the annual $50,000 obligation against litigation costs incurred under that agreement. The estimated balance for future offsets is included under “Other assets, non-current” on our accompanying Consolidated Balance Sheets. We have concluded that the estimated balance of $750,000 as of March 31, 2010 is a fair estimate and realizable against future milestone and royalty payments to NeuroSpheres, and that litigation costs incurred above this amount will be expensed as incurred. Management will reevaluate this estimate on a quarterly basis based on actual costs and other relevant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Warrant Liability</w:t>
      </w:r>
    </w:p>
    <w:p>
      <w:pPr>
        <w:spacing w:after="0" w:line="121" w:lineRule="exact"/>
        <w:rPr>
          <w:sz w:val="20"/>
          <w:szCs w:val="20"/>
          <w:color w:val="auto"/>
        </w:rPr>
      </w:pPr>
    </w:p>
    <w:p>
      <w:pPr>
        <w:ind w:right="40" w:firstLine="222"/>
        <w:spacing w:after="0" w:line="302" w:lineRule="auto"/>
        <w:rPr>
          <w:sz w:val="20"/>
          <w:szCs w:val="20"/>
          <w:color w:val="auto"/>
        </w:rPr>
      </w:pPr>
      <w:r>
        <w:rPr>
          <w:rFonts w:ascii="Arial" w:cs="Arial" w:eastAsia="Arial" w:hAnsi="Arial"/>
          <w:sz w:val="16"/>
          <w:szCs w:val="16"/>
          <w:color w:val="auto"/>
        </w:rPr>
        <w:t>We use the Black-Scholes option pricing model to estimate fair value of warrants issued. In using this model, we make certain assumptions about risk-free interest rates, dividend yields, volatility and expected term of the warrants. Risk-free interest rates are derived from the yield on U.S. Treasury debt securities. Dividend yields are based on our historical dividend payments, which have been zero to date. Volatility is derived from the historical volatility of our common stock as traded on Nasdaq. The expected term of the warrants is based on the time to expiration of the warrants from the date of measurement.</w:t>
      </w:r>
    </w:p>
    <w:p>
      <w:pPr>
        <w:spacing w:after="0" w:line="46"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In November 2008, we sold 13,793,104 units to institutional investors at a price of $1.45 per unit, for gross proceeds of $20,000,000. The units, each of which consisted of one share of common stock and a warrant to purchase 0.75 shares of common stock at an exercise price of $2.30 per share, were offered as a registered direct offering under an effective shelf registration statement previously filed with and declared effective by the Securities and Exchange Commission. We received total proceeds, net of offering expenses and placement agency fees, of approximately $18,637,000. We recorded the fair value of the warrants to purchase 10,344,828 shares of our common stock as a liability. The fair value of the warrant liability will be revalued at the end of each reporting period, with the change in fair value of the warrant liability recorded as a gain or loss in our Consolidated Statements of Operations. The fair value of the warrants will continue to be classified as a liability until such time as the warrants are exercised, expire or an amendment of the warrant agreement renders these warrants to be no longer classified as a liability.</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assumptions used for the Black-Scholes option pricing model are as follows:</w:t>
      </w:r>
    </w:p>
    <w:p>
      <w:pPr>
        <w:spacing w:after="0" w:line="217" w:lineRule="exact"/>
        <w:rPr>
          <w:sz w:val="20"/>
          <w:szCs w:val="20"/>
          <w:color w:val="auto"/>
        </w:rPr>
      </w:pPr>
    </w:p>
    <w:p>
      <w:pPr>
        <w:jc w:val="center"/>
        <w:ind w:left="8300"/>
        <w:spacing w:after="0"/>
        <w:rPr>
          <w:sz w:val="20"/>
          <w:szCs w:val="20"/>
          <w:color w:val="auto"/>
        </w:rPr>
      </w:pPr>
      <w:r>
        <w:rPr>
          <w:rFonts w:ascii="Arial" w:cs="Arial" w:eastAsia="Arial" w:hAnsi="Arial"/>
          <w:sz w:val="14"/>
          <w:szCs w:val="14"/>
          <w:b w:val="1"/>
          <w:bCs w:val="1"/>
          <w:color w:val="auto"/>
        </w:rPr>
        <w:t>To Calculate</w:t>
      </w:r>
    </w:p>
    <w:p>
      <w:pPr>
        <w:jc w:val="center"/>
        <w:ind w:left="8300"/>
        <w:spacing w:after="0" w:line="226" w:lineRule="auto"/>
        <w:rPr>
          <w:sz w:val="20"/>
          <w:szCs w:val="20"/>
          <w:color w:val="auto"/>
        </w:rPr>
      </w:pPr>
      <w:r>
        <w:rPr>
          <w:rFonts w:ascii="Arial" w:cs="Arial" w:eastAsia="Arial" w:hAnsi="Arial"/>
          <w:sz w:val="14"/>
          <w:szCs w:val="14"/>
          <w:b w:val="1"/>
          <w:bCs w:val="1"/>
          <w:color w:val="auto"/>
        </w:rPr>
        <w:t>Fair Value of Warrant</w:t>
      </w:r>
    </w:p>
    <w:p>
      <w:pPr>
        <w:jc w:val="center"/>
        <w:ind w:left="8300"/>
        <w:spacing w:after="0" w:line="232" w:lineRule="auto"/>
        <w:rPr>
          <w:sz w:val="20"/>
          <w:szCs w:val="20"/>
          <w:color w:val="auto"/>
        </w:rPr>
      </w:pPr>
      <w:r>
        <w:rPr>
          <w:rFonts w:ascii="Arial" w:cs="Arial" w:eastAsia="Arial" w:hAnsi="Arial"/>
          <w:sz w:val="14"/>
          <w:szCs w:val="14"/>
          <w:b w:val="1"/>
          <w:bCs w:val="1"/>
          <w:color w:val="auto"/>
        </w:rPr>
        <w:t>Liability at</w:t>
      </w:r>
    </w:p>
    <w:tbl>
      <w:tblPr>
        <w:tblLayout w:type="fixed"/>
        <w:tblInd w:w="0" w:type="dxa"/>
        <w:tblCellMar>
          <w:top w:w="0" w:type="dxa"/>
          <w:left w:w="0" w:type="dxa"/>
          <w:bottom w:w="0" w:type="dxa"/>
          <w:right w:w="0" w:type="dxa"/>
        </w:tblCellMar>
      </w:tblPr>
      <w:tr>
        <w:trPr>
          <w:trHeight w:val="142"/>
        </w:trPr>
        <w:tc>
          <w:tcPr>
            <w:tcW w:w="6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March 31, 2010</w:t>
            </w: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December 31, 2009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840" w:type="dxa"/>
            <w:vAlign w:val="bottom"/>
            <w:shd w:val="clear" w:color="auto" w:fill="CCEEFF"/>
          </w:tcPr>
          <w:p>
            <w:pPr>
              <w:spacing w:after="0"/>
              <w:rPr>
                <w:sz w:val="18"/>
                <w:szCs w:val="18"/>
                <w:color w:val="auto"/>
              </w:rPr>
            </w:pPr>
          </w:p>
        </w:tc>
        <w:tc>
          <w:tcPr>
            <w:tcW w:w="224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tcPr>
          <w:p>
            <w:pPr>
              <w:spacing w:after="0"/>
              <w:rPr>
                <w:sz w:val="18"/>
                <w:szCs w:val="18"/>
                <w:color w:val="auto"/>
              </w:rPr>
            </w:pPr>
          </w:p>
        </w:tc>
        <w:tc>
          <w:tcPr>
            <w:tcW w:w="2240" w:type="dxa"/>
            <w:vAlign w:val="bottom"/>
            <w:gridSpan w:val="5"/>
          </w:tcPr>
          <w:p>
            <w:pPr>
              <w:jc w:val="right"/>
              <w:ind w:right="4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shd w:val="clear" w:color="auto" w:fill="CCEEFF"/>
          </w:tcPr>
          <w:p>
            <w:pPr>
              <w:spacing w:after="0"/>
              <w:rPr>
                <w:sz w:val="18"/>
                <w:szCs w:val="18"/>
                <w:color w:val="auto"/>
              </w:rPr>
            </w:pPr>
          </w:p>
        </w:tc>
        <w:tc>
          <w:tcPr>
            <w:tcW w:w="224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40" w:type="dxa"/>
            <w:vAlign w:val="bottom"/>
          </w:tcPr>
          <w:p>
            <w:pPr>
              <w:spacing w:after="0"/>
              <w:rPr>
                <w:sz w:val="20"/>
                <w:szCs w:val="20"/>
                <w:color w:val="auto"/>
              </w:rPr>
            </w:pPr>
          </w:p>
        </w:tc>
        <w:tc>
          <w:tcPr>
            <w:tcW w:w="2240" w:type="dxa"/>
            <w:vAlign w:val="bottom"/>
            <w:gridSpan w:val="5"/>
          </w:tcPr>
          <w:p>
            <w:pPr>
              <w:jc w:val="right"/>
              <w:ind w:right="4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8"/>
        </w:trPr>
        <w:tc>
          <w:tcPr>
            <w:tcW w:w="69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4"/>
                <w:szCs w:val="14"/>
                <w:b w:val="1"/>
                <w:bCs w:val="1"/>
                <w:color w:val="auto"/>
                <w:w w:val="96"/>
              </w:rPr>
              <w:t>At March 31,</w:t>
            </w:r>
          </w:p>
        </w:tc>
        <w:tc>
          <w:tcPr>
            <w:tcW w:w="600" w:type="dxa"/>
            <w:vAlign w:val="bottom"/>
          </w:tcPr>
          <w:p>
            <w:pPr>
              <w:spacing w:after="0"/>
              <w:rPr>
                <w:sz w:val="24"/>
                <w:szCs w:val="24"/>
                <w:color w:val="auto"/>
              </w:rPr>
            </w:pPr>
          </w:p>
        </w:tc>
        <w:tc>
          <w:tcPr>
            <w:tcW w:w="16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2"/>
              </w:rPr>
              <w:t>At December 31,</w:t>
            </w: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Change in Fair Value</w:t>
            </w:r>
          </w:p>
        </w:tc>
        <w:tc>
          <w:tcPr>
            <w:tcW w:w="0" w:type="dxa"/>
            <w:vAlign w:val="bottom"/>
          </w:tcPr>
          <w:p>
            <w:pPr>
              <w:spacing w:after="0"/>
              <w:rPr>
                <w:sz w:val="1"/>
                <w:szCs w:val="1"/>
                <w:color w:val="auto"/>
              </w:rPr>
            </w:pPr>
          </w:p>
        </w:tc>
      </w:tr>
      <w:tr>
        <w:trPr>
          <w:trHeight w:val="171"/>
        </w:trPr>
        <w:tc>
          <w:tcPr>
            <w:tcW w:w="6920" w:type="dxa"/>
            <w:vAlign w:val="bottom"/>
            <w:vMerge w:val="restart"/>
          </w:tcPr>
          <w:p>
            <w:pPr>
              <w:spacing w:after="0"/>
              <w:rPr>
                <w:sz w:val="20"/>
                <w:szCs w:val="20"/>
                <w:color w:val="auto"/>
              </w:rPr>
            </w:pPr>
            <w:r>
              <w:rPr>
                <w:rFonts w:ascii="Arial" w:cs="Arial" w:eastAsia="Arial" w:hAnsi="Arial"/>
                <w:sz w:val="18"/>
                <w:szCs w:val="18"/>
                <w:color w:val="auto"/>
              </w:rPr>
              <w:t>Fair value of warrant liability</w:t>
            </w:r>
          </w:p>
        </w:tc>
        <w:tc>
          <w:tcPr>
            <w:tcW w:w="840" w:type="dxa"/>
            <w:vAlign w:val="bottom"/>
          </w:tcPr>
          <w:p>
            <w:pPr>
              <w:jc w:val="right"/>
              <w:ind w:right="202"/>
              <w:spacing w:after="0"/>
              <w:rPr>
                <w:sz w:val="20"/>
                <w:szCs w:val="20"/>
                <w:color w:val="auto"/>
              </w:rPr>
            </w:pPr>
            <w:r>
              <w:rPr>
                <w:rFonts w:ascii="Arial" w:cs="Arial" w:eastAsia="Arial" w:hAnsi="Arial"/>
                <w:sz w:val="14"/>
                <w:szCs w:val="14"/>
                <w:b w:val="1"/>
                <w:bCs w:val="1"/>
                <w:color w:val="auto"/>
              </w:rPr>
              <w:t>2010</w:t>
            </w:r>
          </w:p>
        </w:tc>
        <w:tc>
          <w:tcPr>
            <w:tcW w:w="164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9"/>
              </w:rPr>
              <w:t>of Warrant Liability</w:t>
            </w:r>
          </w:p>
        </w:tc>
        <w:tc>
          <w:tcPr>
            <w:tcW w:w="0" w:type="dxa"/>
            <w:vAlign w:val="bottom"/>
          </w:tcPr>
          <w:p>
            <w:pPr>
              <w:spacing w:after="0"/>
              <w:rPr>
                <w:sz w:val="1"/>
                <w:szCs w:val="1"/>
                <w:color w:val="auto"/>
              </w:rPr>
            </w:pPr>
          </w:p>
        </w:tc>
      </w:tr>
      <w:tr>
        <w:trPr>
          <w:trHeight w:val="224"/>
        </w:trPr>
        <w:tc>
          <w:tcPr>
            <w:tcW w:w="6920" w:type="dxa"/>
            <w:vAlign w:val="bottom"/>
            <w:vMerge w:val="continue"/>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$ 5,441,379</w:t>
            </w:r>
          </w:p>
        </w:tc>
        <w:tc>
          <w:tcPr>
            <w:tcW w:w="600" w:type="dxa"/>
            <w:vAlign w:val="bottom"/>
          </w:tcPr>
          <w:p>
            <w:pPr>
              <w:spacing w:after="0"/>
              <w:rPr>
                <w:sz w:val="19"/>
                <w:szCs w:val="19"/>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   6,295,448</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(854,069)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20" w:firstLine="225"/>
        <w:spacing w:after="0" w:line="271" w:lineRule="auto"/>
        <w:rPr>
          <w:sz w:val="20"/>
          <w:szCs w:val="20"/>
          <w:color w:val="auto"/>
        </w:rPr>
      </w:pPr>
      <w:r>
        <w:rPr>
          <w:rFonts w:ascii="Arial" w:cs="Arial" w:eastAsia="Arial" w:hAnsi="Arial"/>
          <w:sz w:val="17"/>
          <w:szCs w:val="17"/>
          <w:color w:val="auto"/>
        </w:rPr>
        <w:t>In November 2009, we sold 10,000,000 units to institutional investors at a price of $1.25 per unit, for gross proceeds of $12,500,000. The units, each of which consisted of one share of common stock and a warrant to purchase 0.4 shares of common stock at an exercise price of $1.50 per share, were offered as a registered direct offering under an effective shelf registration statement previously filed with and declared effective by the Securities and Exchange Commission. We received total proceeds, net of offering expenses and placement agency fees, of approximately $11,985,000. We recorded the fair value of the warrants to purchase 4,000,000 shares of our common stock as a liability. The fair value of the warrant liability will be revalued at the end of each reporting period, with the change in fair value of the warrant liability recorded as a gain or loss in our Consolidated Statements of Operations. The fair value of the warrants will continue to be classified as a liability until such time as the warrants are exercised, expire or an amendment of the warrant agreement renders these warrants to be no longer classified as a liability.</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assumptions used for the Black-Scholes option pricing model are as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To Calculate</w:t>
      </w:r>
    </w:p>
    <w:p>
      <w:pPr>
        <w:jc w:val="center"/>
        <w:ind w:left="8820"/>
        <w:spacing w:after="0" w:line="236" w:lineRule="auto"/>
        <w:rPr>
          <w:sz w:val="20"/>
          <w:szCs w:val="20"/>
          <w:color w:val="auto"/>
        </w:rPr>
      </w:pPr>
      <w:r>
        <w:rPr>
          <w:rFonts w:ascii="Arial" w:cs="Arial" w:eastAsia="Arial" w:hAnsi="Arial"/>
          <w:sz w:val="14"/>
          <w:szCs w:val="14"/>
          <w:b w:val="1"/>
          <w:bCs w:val="1"/>
          <w:color w:val="auto"/>
        </w:rPr>
        <w:t>Fair Value of Warrant Liability at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6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March 31,</w:t>
            </w:r>
          </w:p>
        </w:tc>
        <w:tc>
          <w:tcPr>
            <w:tcW w:w="4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2"/>
          </w:tcPr>
          <w:p>
            <w:pPr>
              <w:spacing w:after="0"/>
              <w:rPr>
                <w:sz w:val="14"/>
                <w:szCs w:val="14"/>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840" w:type="dxa"/>
            <w:vAlign w:val="bottom"/>
            <w:shd w:val="clear" w:color="auto" w:fill="CCEEFF"/>
          </w:tcPr>
          <w:p>
            <w:pPr>
              <w:spacing w:after="0"/>
              <w:rPr>
                <w:sz w:val="18"/>
                <w:szCs w:val="18"/>
                <w:color w:val="auto"/>
              </w:rPr>
            </w:pPr>
          </w:p>
        </w:tc>
        <w:tc>
          <w:tcPr>
            <w:tcW w:w="224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tcPr>
          <w:p>
            <w:pPr>
              <w:spacing w:after="0"/>
              <w:rPr>
                <w:sz w:val="18"/>
                <w:szCs w:val="18"/>
                <w:color w:val="auto"/>
              </w:rPr>
            </w:pPr>
          </w:p>
        </w:tc>
        <w:tc>
          <w:tcPr>
            <w:tcW w:w="2240" w:type="dxa"/>
            <w:vAlign w:val="bottom"/>
            <w:gridSpan w:val="5"/>
          </w:tcPr>
          <w:p>
            <w:pPr>
              <w:jc w:val="right"/>
              <w:ind w:right="180"/>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shd w:val="clear" w:color="auto" w:fill="CCEEFF"/>
          </w:tcPr>
          <w:p>
            <w:pPr>
              <w:spacing w:after="0"/>
              <w:rPr>
                <w:sz w:val="18"/>
                <w:szCs w:val="18"/>
                <w:color w:val="auto"/>
              </w:rPr>
            </w:pPr>
          </w:p>
        </w:tc>
        <w:tc>
          <w:tcPr>
            <w:tcW w:w="22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76.7%</w:t>
            </w:r>
          </w:p>
        </w:tc>
        <w:tc>
          <w:tcPr>
            <w:tcW w:w="4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40" w:type="dxa"/>
            <w:vAlign w:val="bottom"/>
          </w:tcPr>
          <w:p>
            <w:pPr>
              <w:spacing w:after="0"/>
              <w:rPr>
                <w:sz w:val="20"/>
                <w:szCs w:val="20"/>
                <w:color w:val="auto"/>
              </w:rPr>
            </w:pPr>
          </w:p>
        </w:tc>
        <w:tc>
          <w:tcPr>
            <w:tcW w:w="2240" w:type="dxa"/>
            <w:vAlign w:val="bottom"/>
            <w:gridSpan w:val="5"/>
          </w:tcPr>
          <w:p>
            <w:pPr>
              <w:jc w:val="right"/>
              <w:ind w:right="18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20"/>
                <w:szCs w:val="20"/>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8"/>
        </w:trPr>
        <w:tc>
          <w:tcPr>
            <w:tcW w:w="69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4"/>
                <w:szCs w:val="14"/>
                <w:b w:val="1"/>
                <w:bCs w:val="1"/>
                <w:color w:val="auto"/>
                <w:w w:val="96"/>
              </w:rPr>
              <w:t>At March 31,</w:t>
            </w:r>
          </w:p>
        </w:tc>
        <w:tc>
          <w:tcPr>
            <w:tcW w:w="600" w:type="dxa"/>
            <w:vAlign w:val="bottom"/>
          </w:tcPr>
          <w:p>
            <w:pPr>
              <w:spacing w:after="0"/>
              <w:rPr>
                <w:sz w:val="24"/>
                <w:szCs w:val="24"/>
                <w:color w:val="auto"/>
              </w:rPr>
            </w:pPr>
          </w:p>
        </w:tc>
        <w:tc>
          <w:tcPr>
            <w:tcW w:w="16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2"/>
              </w:rPr>
              <w:t>At December 31,</w:t>
            </w: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Change in Fair Value</w:t>
            </w:r>
          </w:p>
        </w:tc>
        <w:tc>
          <w:tcPr>
            <w:tcW w:w="0" w:type="dxa"/>
            <w:vAlign w:val="bottom"/>
          </w:tcPr>
          <w:p>
            <w:pPr>
              <w:spacing w:after="0"/>
              <w:rPr>
                <w:sz w:val="1"/>
                <w:szCs w:val="1"/>
                <w:color w:val="auto"/>
              </w:rPr>
            </w:pPr>
          </w:p>
        </w:tc>
      </w:tr>
      <w:tr>
        <w:trPr>
          <w:trHeight w:val="171"/>
        </w:trPr>
        <w:tc>
          <w:tcPr>
            <w:tcW w:w="6920" w:type="dxa"/>
            <w:vAlign w:val="bottom"/>
            <w:vMerge w:val="restart"/>
          </w:tcPr>
          <w:p>
            <w:pPr>
              <w:spacing w:after="0"/>
              <w:rPr>
                <w:sz w:val="20"/>
                <w:szCs w:val="20"/>
                <w:color w:val="auto"/>
              </w:rPr>
            </w:pPr>
            <w:r>
              <w:rPr>
                <w:rFonts w:ascii="Arial" w:cs="Arial" w:eastAsia="Arial" w:hAnsi="Arial"/>
                <w:sz w:val="18"/>
                <w:szCs w:val="18"/>
                <w:color w:val="auto"/>
              </w:rPr>
              <w:t>Fair value of warrant liability</w:t>
            </w:r>
          </w:p>
        </w:tc>
        <w:tc>
          <w:tcPr>
            <w:tcW w:w="840" w:type="dxa"/>
            <w:vAlign w:val="bottom"/>
          </w:tcPr>
          <w:p>
            <w:pPr>
              <w:jc w:val="right"/>
              <w:ind w:right="202"/>
              <w:spacing w:after="0"/>
              <w:rPr>
                <w:sz w:val="20"/>
                <w:szCs w:val="20"/>
                <w:color w:val="auto"/>
              </w:rPr>
            </w:pPr>
            <w:r>
              <w:rPr>
                <w:rFonts w:ascii="Arial" w:cs="Arial" w:eastAsia="Arial" w:hAnsi="Arial"/>
                <w:sz w:val="14"/>
                <w:szCs w:val="14"/>
                <w:b w:val="1"/>
                <w:bCs w:val="1"/>
                <w:color w:val="auto"/>
              </w:rPr>
              <w:t>2010</w:t>
            </w:r>
          </w:p>
        </w:tc>
        <w:tc>
          <w:tcPr>
            <w:tcW w:w="1640" w:type="dxa"/>
            <w:vAlign w:val="bottom"/>
            <w:gridSpan w:val="3"/>
          </w:tcPr>
          <w:p>
            <w:pPr>
              <w:jc w:val="right"/>
              <w:ind w:right="311"/>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9"/>
              </w:rPr>
              <w:t>of Warrant Liability</w:t>
            </w:r>
          </w:p>
        </w:tc>
        <w:tc>
          <w:tcPr>
            <w:tcW w:w="0" w:type="dxa"/>
            <w:vAlign w:val="bottom"/>
          </w:tcPr>
          <w:p>
            <w:pPr>
              <w:spacing w:after="0"/>
              <w:rPr>
                <w:sz w:val="1"/>
                <w:szCs w:val="1"/>
                <w:color w:val="auto"/>
              </w:rPr>
            </w:pPr>
          </w:p>
        </w:tc>
      </w:tr>
      <w:tr>
        <w:trPr>
          <w:trHeight w:val="224"/>
        </w:trPr>
        <w:tc>
          <w:tcPr>
            <w:tcW w:w="6920" w:type="dxa"/>
            <w:vAlign w:val="bottom"/>
            <w:vMerge w:val="continue"/>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$ 2,719,240</w:t>
            </w:r>
          </w:p>
        </w:tc>
        <w:tc>
          <w:tcPr>
            <w:tcW w:w="600" w:type="dxa"/>
            <w:vAlign w:val="bottom"/>
          </w:tcPr>
          <w:p>
            <w:pPr>
              <w:spacing w:after="0"/>
              <w:rPr>
                <w:sz w:val="19"/>
                <w:szCs w:val="19"/>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   3,381,520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(662,280)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Common Stock</w:t>
      </w:r>
    </w:p>
    <w:p>
      <w:pPr>
        <w:spacing w:after="0" w:line="121" w:lineRule="exact"/>
        <w:rPr>
          <w:sz w:val="20"/>
          <w:szCs w:val="20"/>
          <w:color w:val="auto"/>
        </w:rPr>
      </w:pPr>
    </w:p>
    <w:p>
      <w:pPr>
        <w:ind w:right="160" w:firstLine="225"/>
        <w:spacing w:after="0" w:line="273" w:lineRule="auto"/>
        <w:rPr>
          <w:sz w:val="20"/>
          <w:szCs w:val="20"/>
          <w:color w:val="auto"/>
        </w:rPr>
      </w:pPr>
      <w:r>
        <w:rPr>
          <w:rFonts w:ascii="Arial" w:cs="Arial" w:eastAsia="Arial" w:hAnsi="Arial"/>
          <w:sz w:val="17"/>
          <w:szCs w:val="17"/>
          <w:color w:val="auto"/>
        </w:rPr>
        <w:t>On June 8, 2009, we filed a prospectus supplement that relates to the issuance and sale, from time to time, of up to $30,000,000 of our common stock, through our sales agent Cantor Fitzgerald &amp; Co (Cantor). These sales will be made pursuant to the terms of a sales agreement with Cantor, under which we will pay Cantor a fee of 3.0% of the gross proceeds. The prospectus is a part of a registration statement that we filed with the SEC on June 25, 2008, using a “shelf” registration process. Under this shelf registration process, we may offer to sell in one or more offerings up to a total dollar amount of $100,000,000. Under our sales agreement with Cantor, in the three-month period ended March 31, 2010, we sold 882,200 shares of common stock at a price of approximately $1.23 per share for gross proceeds of approximately $1,088,000.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ind w:right="20" w:firstLine="222"/>
        <w:spacing w:after="0" w:line="285" w:lineRule="auto"/>
        <w:rPr>
          <w:sz w:val="20"/>
          <w:szCs w:val="20"/>
          <w:color w:val="auto"/>
        </w:rPr>
      </w:pPr>
      <w:r>
        <w:rPr>
          <w:rFonts w:ascii="Arial" w:cs="Arial" w:eastAsia="Arial" w:hAnsi="Arial"/>
          <w:sz w:val="16"/>
          <w:szCs w:val="16"/>
          <w:color w:val="auto"/>
        </w:rPr>
        <w:t>This report contains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HuCNS-SC cells for the treatment of neuronal ceroid lipofuscinosis (NCL, also known as Batten disease), Pelizeaus-Merzbacher disease (PMD), or any other disease; uncertainty as to whether the U.S. Food and Drug Administration (FDA) or other regulatory authorities will permit us to proceed with clinical testing of proposed products despite the novel and unproven nature of our technologies; the risk that our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our ability to obtain a corporate partner or partners, if needed, to support the development and commercialization of our potential cell-based therapeutics products; the uncertainty regarding the outcome of our clinical trials or studies we may conduct in the future; the uncertainty regarding the validity and enforceability of our issued patents; the risk that we may not be able to manufacture additional master and working cell banks when needed; the uncertainty whether any products that may be generated in our cell-based therapeutics programs will prove clinically safe and effective; the uncertainty whether we will achieve significant revenue from product sales or become profitable; uncertainties regarding our obligations with respect to our former encapsulated cell therapy facilities in Rhode Island; obsolescence of our technologies; competition from third parties; intellectual property rights of third parties; litigation risks; and other risks to which we are subject. All forward-looking statements attributable to us or to persons acting on our behalf are expressly qualified in their entirety by the cautionary statements and risk factors set forth in “Risk Factors” in Part II, Item 1A of this report and Part I, Item 1A included in our Annual Report on Form 10-K for the fiscal year ended December 31, 2009.</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ind w:firstLine="222"/>
        <w:spacing w:after="0" w:line="267" w:lineRule="auto"/>
        <w:rPr>
          <w:sz w:val="20"/>
          <w:szCs w:val="20"/>
          <w:color w:val="auto"/>
        </w:rPr>
      </w:pPr>
      <w:r>
        <w:rPr>
          <w:rFonts w:ascii="Arial" w:cs="Arial" w:eastAsia="Arial" w:hAnsi="Arial"/>
          <w:sz w:val="17"/>
          <w:szCs w:val="17"/>
          <w:color w:val="auto"/>
        </w:rPr>
        <w:t>We are engaged in researching, developing, and commercializing stem cell therapeutics and technologies for stem cell-based research, drug discovery and development. Our research and development (R&amp;D) efforts primarily support our cellular medicine programs, where we are engaged in identifying and developing potential cell-based therapeutics which can either restore or support organ function. In particular, since we relocated our corporate headquarters to California in 1999, our R&amp;D efforts have been directed at refining our methods for identifying, isolating, culturing, and purifying the human neural stem cell and human liver engrafting cells (hLEC) and developing these as potential cell-based therapeutics for the central nervous system (CNS) and the liver, respectively. In our CNS Program, our HuCNS-SC</w:t>
      </w:r>
      <w:r>
        <w:rPr>
          <w:rFonts w:ascii="Arial" w:cs="Arial" w:eastAsia="Arial" w:hAnsi="Arial"/>
          <w:sz w:val="14"/>
          <w:szCs w:val="14"/>
          <w:color w:val="auto"/>
        </w:rPr>
        <w:t>®</w:t>
      </w:r>
      <w:r>
        <w:rPr>
          <w:rFonts w:ascii="Arial" w:cs="Arial" w:eastAsia="Arial" w:hAnsi="Arial"/>
          <w:sz w:val="17"/>
          <w:szCs w:val="17"/>
          <w:color w:val="auto"/>
        </w:rPr>
        <w:t xml:space="preserve"> product candidate (purified human neural stem cells) is currently in clinical development for two indications: neuronal ceroid lipofuscinosis (NCL), a lysomal storage disorder often referred to as Batten disease, and Pelizeaus-Merzbacher Disease (PMD), a myelination disorder in the brain. We have completed a six patient Phase I clinical trial in infantile and late infantile NCL. The data from this trial showed that the HuCNS-SC cells were well tolerated and there was evidence of engraftment and long-term survival of the HuCNS-SC cells. In April 2010, we submitted a protocol to the FDA for a second clinical trial in NCL, which is designed to further assess the safety of HuCNS-SC cells, while also examining the ability of the cells to affect the progression of the disease. There can be no assurance when or if such a trial will be initiated. We are also currently conducting a Phase I clinical trial to assess the safety and preliminary effectiveness of HuCNS-SC cells as a treatment for PMD. We enrolled and treated the first patient in this trial in February 2010, and we expect it will take 12-18 months to complete enrollment. In addition to these clinical development activities, our HuCNS-SC cells are in preclinical development for spinal cord injury and retinal disorders. In our Liver Program, we are in preclinical development with our human liver engrafting cells. We have decided to defer initiating a clinical study of hLEC pending additional improvements to our process of isolating and purifying hLEC. We have also conducted research on several other cell types and in other areas, which could lead to other possible product candidates, process improvements or further research activities. For a brief description of our significant therapeutic research and development programs, see Overview “Research and Development Programs” in the Business Section of Part I, Item 1 included in our Annual Report on Form 10-K for the fiscal year ended December 31, 2009.</w:t>
      </w:r>
    </w:p>
    <w:p>
      <w:pPr>
        <w:spacing w:after="0" w:line="82" w:lineRule="exact"/>
        <w:rPr>
          <w:sz w:val="20"/>
          <w:szCs w:val="20"/>
          <w:color w:val="auto"/>
        </w:rPr>
      </w:pPr>
    </w:p>
    <w:p>
      <w:pPr>
        <w:ind w:right="220" w:firstLine="222"/>
        <w:spacing w:after="0" w:line="293" w:lineRule="auto"/>
        <w:rPr>
          <w:sz w:val="20"/>
          <w:szCs w:val="20"/>
          <w:color w:val="auto"/>
        </w:rPr>
      </w:pPr>
      <w:r>
        <w:rPr>
          <w:rFonts w:ascii="Arial" w:cs="Arial" w:eastAsia="Arial" w:hAnsi="Arial"/>
          <w:sz w:val="16"/>
          <w:szCs w:val="16"/>
          <w:color w:val="auto"/>
        </w:rPr>
        <w:t>We are also engaged in developing and commercializing applications of our technologies to enable stem cell-based research, which we believe represent nearer-term commercial opportunities. Our portfolio of technologies includes cell technologies relating to embryonic stem cells, induced pluripotent stem (iPS) cells, and tissue-derived (adult) stem cells; expertise and infrastructure for providing cell-based assays for drug discovery; a cell culture products business; and an intellectual property portfolio with claims relevant to cell processing, reprogramming and manipulation, as well as to gene targeting and insertion. Many of our enabling technologies were acquired in April 2009 as part of our acquisition of the operations of Stem Cell Sciences Plc (SCS). See Note 5, “Acquisition of SCS Operations,” in the Notes to Consolidated Financial Statements in Part II, Item 8 of this Form 10-K for further information.</w:t>
      </w:r>
    </w:p>
    <w:p>
      <w:pPr>
        <w:spacing w:after="0" w:line="57"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We have not derived any revenue or cash flows from the sale or commercialization of any products except for license revenue for certain of our patented cells and sales of cell culture products for use in research. As a result, we have incurred annual operating losses since inception and expect to incur substantial operating losses in the future. Therefore, we are dependent upon external financing from equity and debt offerings and revenue from collaborative research arrangements with corporate sponsors to finance our operations. We have no such collaborative research arrangements at this time and there can be no assurance that such financing or partnering revenue will be available when needed or on terms acceptable to us.</w:t>
      </w:r>
    </w:p>
    <w:p>
      <w:pPr>
        <w:spacing w:after="0" w:line="64" w:lineRule="exact"/>
        <w:rPr>
          <w:sz w:val="20"/>
          <w:szCs w:val="20"/>
          <w:color w:val="auto"/>
        </w:rPr>
      </w:pPr>
    </w:p>
    <w:p>
      <w:pPr>
        <w:ind w:right="420" w:firstLine="225"/>
        <w:spacing w:after="0" w:line="291" w:lineRule="auto"/>
        <w:rPr>
          <w:sz w:val="20"/>
          <w:szCs w:val="20"/>
          <w:color w:val="auto"/>
        </w:rPr>
      </w:pPr>
      <w:r>
        <w:rPr>
          <w:rFonts w:ascii="Arial" w:cs="Arial" w:eastAsia="Arial" w:hAnsi="Arial"/>
          <w:sz w:val="16"/>
          <w:szCs w:val="16"/>
          <w:color w:val="auto"/>
        </w:rPr>
        <w:t xml:space="preserve">Before we can derive revenue or cash inflows from the commercialization of any of our therapeutic product candidates, we will need to: (i) conduct substantial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and characterization of our proprietary cell types, (ii) undertake preclinical and clinical testing for specific disease indications;</w:t>
      </w:r>
    </w:p>
    <w:p>
      <w:pPr>
        <w:ind w:right="340" w:firstLine="8"/>
        <w:spacing w:after="0" w:line="261"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validate and scale-up manufacturing processes to produce these cell-based therapeutics, and (iv) obtain required regulatory approvals. These steps are risky, expensive and time consuming.</w:t>
      </w:r>
    </w:p>
    <w:p>
      <w:pPr>
        <w:spacing w:after="0" w:line="76"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Overall, we expect our R&amp;D expenses to be substantial and to increase for the foreseeable future as we continue the development and clinical investigation of our current and future product candidates. However, expenditures on R&amp;D programs are subject to many uncertainties, including whether we develop our product candidates with a partner or independently. We cannot forecast with any degree of certainty which of our current product candidates will be subject to future collaboration, when such collaboration agreements will be secured, if at all, and to what degree such arrangements would affect our development plans and capital requirements. In addition, there are numerous factors associated with the successful commercialization of any of our cell-based therapeutics, including future trial design and regulatory requirements, many of which cannot be determined with accuracy at this time given the stage of our development and the novel nature of stem cell technologies. The regulatory pathways, both in the United States and internationally, are complex and fluid given the novel and, in general, clinically unproven nature of stem cell technologies. At this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time, due to such uncertainties and inherent risks, we cannot estimate in a meaningful way the duration of, or the costs to complete, our R&amp;D programs or whether, when or to what extent we will generate revenues or cash inflows from the commercialization and sale of any of our therapeutic product candidates. While we are currently focused on advancing each of our product development programs, our future R&amp;D expenses will depend on the determinations we make as to the scientific and clinical prospects of each product candidate, as well as our ongoing assessment of the regulatory requirements and each product candidate’s commercial potential.</w:t>
      </w:r>
    </w:p>
    <w:p>
      <w:pPr>
        <w:spacing w:after="0" w:line="80"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Given the early stage of development of our therapeutic product candidates, any estimates of when we may be able to commercialize one or more of these products would not be meaningful. Moreover, any estimate of the time and investment required to develop potential products based upon our proprietary HuCNS-SC and hLEC technologies will change depending on the ultimate approach or approaches we take to pursue them, the results of preclinical and clinical studies, and the content and timing of decisions made by the FDA and other regulatory authorities. There can be no assurance that we will be able to develop any product successfully, or that we will be able to recover our development costs, whether upon commercialization of a developed product or otherwise. We cannot provide assurance that any of these programs will result in products that can be marketed or marketed profitably. If certain of our development-stage programs do not result in commercially viable products, our results of operations could be materially adversely affected.</w:t>
      </w:r>
    </w:p>
    <w:p>
      <w:pPr>
        <w:spacing w:after="0" w:line="59"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research markets served by our enabling technologies are highly competitive, complex and dynamic. Technological advances and scientific discoveries have accelerated the pace of change in biological research, and stem cell technologies have been evolving particularly fast. We compete mainly by focusing on specialty media products and cell-based assays, which are custom designed for use in stem cell-based research, where we believe our expertise, intellectual property and reputation give us competitive advantage. We believe that, in this particular market niche, our products and technologies offer customers specific advantages over those offered by our competitors. We compete by offering innovative, quality-controlled products, consistently made and designed to produce reproducible results. We continue to make investments in research and development, quality management, quality improvement, and product innovation. There can be no assurance that we will have sufficient resources to continue to make such investments. For the year ended December 31, 2009, we generated revenues from the sale of specialty cell culture products of approximately $385,000. There can be no assurance that we will be able to continue to generate such revenues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Events</w:t>
      </w:r>
    </w:p>
    <w:p>
      <w:pPr>
        <w:spacing w:after="0" w:line="117"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In January 2010, we launched GS1-R, the first commercially available medium to enable the derivation, maintenance and growth of true (germline competent) rat embryonic stem cells. GS1-R is expected to have significant utility in the creation of genetically engineered rat models of human disease for use in academic, medical and pharmaceutical research.</w:t>
      </w:r>
    </w:p>
    <w:p>
      <w:pPr>
        <w:spacing w:after="0" w:line="73"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 February 2010, we enrolled and treated the first patient in our PMD trial at UCSF, marking the first time that neural stem cells have been transplanted as a potential treatment for a myelination disorder. We expect it will take 12-18 months to complete enrollment in this trial.</w:t>
      </w:r>
    </w:p>
    <w:p>
      <w:pPr>
        <w:spacing w:after="0" w:line="62"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 February 2010, we launched GS2-M, a new cell culture medium that enables the derivation and long-term maintenance of true mouse iPS cells. GS2-M has been shown to increase the efficiency of reprogramming ’pre-iPS’ cells to derive fully pluripotent stem cells, and to maintain mouse iPS cells in a pluripotent state in long-term culture.</w:t>
      </w:r>
    </w:p>
    <w:p>
      <w:pPr>
        <w:spacing w:after="0" w:line="73"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March 2010, we announced that the United Kingdom (UK) Intellectual Property Office has granted patent number GB2451523 with broad claims covering true (germline competent) rat stem cells and genetically engineered rats derived from these cells. The patented technology is expected to have significant utility to academic and pharmaceutical industry researchers by enabling them to create novel rat models for the study of human diseases. Both mice and rats are used by scientists to model various human diseases. However, rat models are more frequently used by pharmaceutical companies because the physiological characteristics of rats make them better suited for assessing drug efficacy and toxicity. We hold an exclusive license to commercialize this technology and are globally prosecuting the patent family that claims it. The patent family is based upon groundbreaking research led by prominent academic researchers at the University of Edinburgh.</w:t>
      </w:r>
    </w:p>
    <w:p>
      <w:pPr>
        <w:spacing w:after="0" w:line="81"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In April 2010, we submitted a protocol to the FDA for a second clinical trial of our proprietary HuCNS-® human neural stem cells in NCL. The proposed new trial is designed to further assess the safety of HuCNS-SC cells in NCL, while also examining the ability of the cells to affect the progression of the disease.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121"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The accompanying discussion and analysis of our financial condition and results of operations are based on our condensed consolidated financial statements and the related disclosures, which have been prepared in accordance with U.S. GAAP. The preparation of these condensed consolidated financial statements requires management to make estimates, assumptions, and judgments that affect the reported amounts in our condensed consolidated financial statements and accompanying notes. These estimates form the basis for making judgments about the carrying values of assets and liabilities. We base our estimates and judgments on historical experience and on various other assumptions that we believe to be reasonable under the circumstances, and we have established internal controls related to the preparation of these estimates. Actual results and the timing of the results could differ materially from these estimates.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00" w:firstLine="225"/>
        <w:spacing w:after="0" w:line="291" w:lineRule="auto"/>
        <w:rPr>
          <w:sz w:val="20"/>
          <w:szCs w:val="20"/>
          <w:color w:val="auto"/>
        </w:rPr>
      </w:pPr>
      <w:r>
        <w:rPr>
          <w:rFonts w:ascii="Arial" w:cs="Arial" w:eastAsia="Arial" w:hAnsi="Arial"/>
          <w:sz w:val="16"/>
          <w:szCs w:val="16"/>
          <w:color w:val="auto"/>
        </w:rPr>
        <w:t>U.S. GAAP requires us to recognize expense related to the fair value of our stock-based payment awards, including employee stock options and restricted stock units. Under the provisions of U.S. GAAP, employee stock-based payment is estimated at the date of grant based on the award’s fair value using the Black-Scholes-Merton (Black-Scholes) option-pricing model and is recognized as expense ratably over the requisite service period. The Black-Scholes option-pricing model requires the use of certain assumptions, the most significant of which are our estimates of the expected volatility of the market price of our stock and the expected term of the award. Our estimate of the expected volatility is based on historical volatility. The expected term represents the period during which our stock-based awards are expected to be outstanding. We estimate the expected term based on historical experience of similar awards, giving consideration to the contractual terms of the awards, vesting requirements, and expectation of future employee behavior, including post-vesting terminations.</w:t>
      </w:r>
    </w:p>
    <w:p>
      <w:pPr>
        <w:spacing w:after="0" w:line="59"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We review our valuation assumptions at each grant date and, as a result, our assumptions in future periods may change. As of March 31, 2010, total compensation cost related to unvested stock-based awards not yet recognized was approximately $4,991,000, which is expected to be recognized as expense over a weighted-average period of 2.4 years. See also Note 6, “Stock-Based Compensation,” in the notes to condensed consolidated financial statements of Part I, Item 1 of this Form 10-Q for further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Wind-down expenses — Rhode Island</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connection with exiting our research and manufacturing operations in Lincoln, Rhode Island, and the relocation of our corporate headquarters and remaining research laboratories to California in October 1999, we provided a reserve for our estimate of the exit cost obligation. The reserve reflects estimates of the ongoing costs of our former scientific and administrative facility in Lincoln, which we hold on a lease that terminates on June 30, 2013. We are seeking to sublease, assign, sell, or otherwise divest ourselves of our interest in the facility at the earliest possible time, but we cannot determine with certainty a fixed date by which such events will occur, if at all.</w:t>
      </w:r>
    </w:p>
    <w:p>
      <w:pPr>
        <w:spacing w:after="0" w:line="80"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In determining the facility exit cost reserve amount, we are required to consider our lease payments through to the end of the lease term and estimate other relevant factors such as facility operating expenses, real estate market conditions in Rhode Island for similar facilities, occupancy rates, and sublease rental rates projected over the course of the leasehold. We re-evaluate the estimate each quarter, taking account of changes, if any, in each underlying factor. The process is inherently subjective because it involves projections over time — from the date of the estimate through the end of the lease — and it is not possible to determine any of the factors, except the lease payments, with certainty over that period.</w:t>
      </w:r>
    </w:p>
    <w:p>
      <w:pPr>
        <w:spacing w:after="0" w:line="64"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Management forms its best estimate on a quarterly basis, after considering actual sublease activity, reports from our broker/realtor about current and predicted real estate market conditions in Rhode Island, the likelihood of new subleases in the foreseeable future for the specific facility and significant changes in the actual or projected operating expenses of the property. We discount the projected net outflow over the term of the leasehold to arrive at the present value, and adjust the reserve to that figure. The estimated vacancy rate for the facility is an important assumption in determining the reserve because changes in this assumption have the greatest effect on estimated sublease income. In addition, the vacancy rate estimate is the variable most subject to change, while at the same time it involves the greatest judgment and uncertainty due to the absence of highly predictive information concerning the future of the local economy and future demand for specialized laboratory and office space in that area. The average vacancy rate of the facility over the last seven years (2003 through 2009) was approximately 74%, varying from 62% to 89%. As of March 31, 2010, based on current information available to management, the vacancy rate is projected to be approximately 76% for 2010 and approximately 70% from 2011 through the end of the lease. These estimates are based on actual occupancy as of March 31, 2010, predicted lead time for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acquiring new subtenants, historical vacancy rates for the area, and assessments by our broker/realtor of future real estate market conditions. If the assumed vacancy rate for the remainder of the lease had been 5% higher or lower at March 31, 2010, then the reserve would have increased or decreased by approximately $125,000. Similarly, a 5% increase or decrease in the operating expenses for the facility would have increased or decreased the reserve by approximately $89,000, and a 5% increase or decrease in the assumed average rental charge per square foot would have increased or decreased the reserve by approximately $38,000. Management does not wait for specific events to change its estimate, but instead uses its best efforts to anticipate them on a quarterly basis. See Note 7 “Wind-down expenses,” in the notes to condensed consolidated financial statements of Part I, Item 1 of this Form 10-Q for further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Wind-down expenses — Australia</w:t>
      </w:r>
    </w:p>
    <w:p>
      <w:pPr>
        <w:spacing w:after="0" w:line="117"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On April 1, 2009, as part of our acquisition of the SCS operations, we acquired operations near Melbourne, Australia. In order to reduce operating complexity and expenses, we made the decision to close our site in Australia and consolidate personnel and programs to our Cambridge, U.K. and Palo Alto, California sites. U.S. GAAP requires that a liability for a cost associated with an exit or disposal activity be recognized when the liability is incurred. In accordance with U.S. GAAP requirements, at June 30, 2009, we established a short-term reserve of approximately $310,000 for the estimated costs to close down and exit our Australia operations. The reserve reflects the estimated cost for an early termination of our facility lease in Australia (with an original termination date of December 31, 2010), employee termination benefits and other liabilities associated with the wind-down and relocation of our operations in Australia. The facility lease agreement has been terminated and our operations in Australia have been relocated to Cambridge, U.K. and Palo Alto, California. We recorded actual expenses of approximately $6,000 and $236,000 against this reserve in 2010 and 2009 respectively. As of March 31, 2010, we believe that the estimated remaining balance of approximately $70,000 in our reserve will be sufficient to cover any remaining exit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100" w:firstLine="222"/>
        <w:spacing w:after="0" w:line="269" w:lineRule="auto"/>
        <w:rPr>
          <w:sz w:val="20"/>
          <w:szCs w:val="20"/>
          <w:color w:val="auto"/>
        </w:rPr>
      </w:pPr>
      <w:r>
        <w:rPr>
          <w:rFonts w:ascii="Arial" w:cs="Arial" w:eastAsia="Arial" w:hAnsi="Arial"/>
          <w:sz w:val="17"/>
          <w:szCs w:val="17"/>
          <w:color w:val="auto"/>
        </w:rPr>
        <w:t>The operating results of acquired companies or operations are included in our consolidated financial statements starting on the date of acquisition. Goodwill is recorded at the time of an acquisition and is calculated as the difference between the aggregate consideration paid for an acquisition and the fair value of the net tangible and intangible assets acquired. Accounting for acquisitions requires extensive use of accounting estimates and judgments to allocate the purchase price to the fair value of the net tangible and intangible assets acquired, including in-process research and development (IPR&amp;D). Goodwill and intangible assets deemed to have indefinite lives are not amortized but are subject to annual impairment tests. If the assumptions and estimates used to allocate the purchase price are not correct, or if business conditions change, purchase price adjustments or future asset impairment charges could be required. We test goodwill for impairment on an annual basis or more frequently if we believe indicators of impairment exist. Impairment evaluations involve management estimates of asset useful lives and future cash flows. Significant management judgment is required in the forecasts of future operating results that are used in the evaluations. It is possible, however, that the plans and estimates used may be incorrect. If our actual results, or the plans and estimates used in future impairment analysis, are lower than the original estimates used to assess the recoverability of these assets, we could incur additional impairment charges in a future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clinical studies, research collaborations and development programs for both cell-based therapeutic products and research tools, unpredictable or unanticipated manufacturing and supply costs, unanticipated capital expenditures necessary to support our business, expenses arising out of the integration of the acquired SCS operations, developments in on-going patent protection and litigation, the on-going expenses to lease and maintain our Rhode Island facilities, and the increasing costs associated with operating our California and Cambridge, U.K. facilities.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Cost of Product Sales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for the first quarter of 2010, as compared with the same period in 2009, is summarized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7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222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w w:val="99"/>
              </w:rPr>
              <w:t>Change in 2010 versus 2009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8"/>
              </w:rPr>
              <w:t>March 31</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680" w:type="dxa"/>
            <w:vAlign w:val="bottom"/>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Licensing agreements and grants</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$ 113,849</w:t>
            </w:r>
          </w:p>
        </w:tc>
        <w:tc>
          <w:tcPr>
            <w:tcW w:w="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56,603</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w w:val="96"/>
              </w:rPr>
              <w:t>$ 57,246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sales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116,424</w:t>
            </w:r>
          </w:p>
        </w:tc>
        <w:tc>
          <w:tcPr>
            <w:tcW w:w="6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116,424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68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0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230,273</w:t>
            </w:r>
          </w:p>
        </w:tc>
        <w:tc>
          <w:tcPr>
            <w:tcW w:w="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56,603</w:t>
            </w:r>
          </w:p>
        </w:tc>
        <w:tc>
          <w:tcPr>
            <w:tcW w:w="68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173,670</w:t>
            </w:r>
          </w:p>
        </w:tc>
        <w:tc>
          <w:tcPr>
            <w:tcW w:w="6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13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(43,762)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(43,762)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0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$ 186,511</w:t>
            </w:r>
          </w:p>
        </w:tc>
        <w:tc>
          <w:tcPr>
            <w:tcW w:w="6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56,603</w:t>
            </w:r>
          </w:p>
        </w:tc>
        <w:tc>
          <w:tcPr>
            <w:tcW w:w="68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$ 129,908</w:t>
            </w:r>
          </w:p>
        </w:tc>
        <w:tc>
          <w:tcPr>
            <w:tcW w:w="6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Calculation is not meaningful</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Total revenue in the first quarter of 2010 was approximately $230,000, which was 307% higher than total revenue in the first quarter of 2009. The increase in 2010 compared to 2009 was primarily attributable to consolidation of revenues from the acquired SCS operations in the first quarter of 2010, which were not part of our operations in the same period in 2009.</w:t>
      </w:r>
    </w:p>
    <w:p>
      <w:pPr>
        <w:spacing w:after="0" w:line="73" w:lineRule="exact"/>
        <w:rPr>
          <w:sz w:val="20"/>
          <w:szCs w:val="20"/>
          <w:color w:val="auto"/>
        </w:rPr>
      </w:pPr>
    </w:p>
    <w:p>
      <w:pPr>
        <w:ind w:right="100" w:firstLine="225"/>
        <w:spacing w:after="0" w:line="291" w:lineRule="auto"/>
        <w:rPr>
          <w:sz w:val="20"/>
          <w:szCs w:val="20"/>
          <w:color w:val="auto"/>
        </w:rPr>
      </w:pPr>
      <w:r>
        <w:rPr>
          <w:rFonts w:ascii="Arial" w:cs="Arial" w:eastAsia="Arial" w:hAnsi="Arial"/>
          <w:sz w:val="16"/>
          <w:szCs w:val="16"/>
          <w:i w:val="1"/>
          <w:iCs w:val="1"/>
          <w:color w:val="auto"/>
        </w:rPr>
        <w:t xml:space="preserve">First quarter ended March 31, 2010 versus first quarter ended March 31, 2009. </w:t>
      </w:r>
      <w:r>
        <w:rPr>
          <w:rFonts w:ascii="Arial" w:cs="Arial" w:eastAsia="Arial" w:hAnsi="Arial"/>
          <w:sz w:val="16"/>
          <w:szCs w:val="16"/>
          <w:color w:val="auto"/>
        </w:rPr>
        <w:t>Licensing and grant revenue for the first quarter of 2010 were</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$57,000, or 101%, higher as compared to the same period in 2009. This increase was primarily attributable to approximately $72,000 in grant and licensing revenue recognized and consolidated as part of our acquisition of the SCS operations, and an increase of approximately $3,000 in licensing revenue from existing licensing agreements. These increases were offset by a decrease in revenue of approximately $18,000 from an existing grant which we were awarded in October 2008 from the National Institute of Diabetes and Digestive and Kidney Diseases to research and develop a potential cell-based therapeutic for liver disease. In the first quarter of 2010, we recognized approximately $116,000 and $44,000 as revenue from product sales and cost of product sales, respectively, in connection with our acquisition of the SCS operations, compared to none in the same period of 2009.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Operating expenses for the first quarter of 2010, as compared with the same period in 2009, is summarized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320" w:type="dxa"/>
            <w:vAlign w:val="bottom"/>
            <w:gridSpan w:val="4"/>
          </w:tcPr>
          <w:p>
            <w:pPr>
              <w:jc w:val="right"/>
              <w:ind w:right="43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22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Change in 2010 versus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770"/>
              <w:spacing w:after="0"/>
              <w:rPr>
                <w:sz w:val="20"/>
                <w:szCs w:val="20"/>
                <w:color w:val="auto"/>
              </w:rPr>
            </w:pPr>
            <w:r>
              <w:rPr>
                <w:rFonts w:ascii="Arial" w:cs="Arial" w:eastAsia="Arial" w:hAnsi="Arial"/>
                <w:sz w:val="14"/>
                <w:szCs w:val="14"/>
                <w:b w:val="1"/>
                <w:bCs w:val="1"/>
                <w:color w:val="auto"/>
                <w:w w:val="95"/>
              </w:rPr>
              <w:t>March 31</w:t>
            </w:r>
          </w:p>
        </w:tc>
        <w:tc>
          <w:tcPr>
            <w:tcW w:w="6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4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146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700" w:type="dxa"/>
            <w:vAlign w:val="bottom"/>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Research &amp; development</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$ 5,037,514</w:t>
            </w:r>
          </w:p>
        </w:tc>
        <w:tc>
          <w:tcPr>
            <w:tcW w:w="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$ 4,235,788</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$ 801,726</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&amp; administrative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2,584,742</w:t>
            </w:r>
          </w:p>
        </w:tc>
        <w:tc>
          <w:tcPr>
            <w:tcW w:w="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2,538,913</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45,829</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840" w:type="dxa"/>
            <w:vAlign w:val="bottom"/>
          </w:tcPr>
          <w:p>
            <w:pPr>
              <w:jc w:val="right"/>
              <w:spacing w:after="0"/>
              <w:rPr>
                <w:sz w:val="20"/>
                <w:szCs w:val="20"/>
                <w:color w:val="auto"/>
              </w:rPr>
            </w:pPr>
            <w:r>
              <w:rPr>
                <w:rFonts w:ascii="Arial" w:cs="Arial" w:eastAsia="Arial" w:hAnsi="Arial"/>
                <w:sz w:val="18"/>
                <w:szCs w:val="18"/>
                <w:color w:val="auto"/>
              </w:rPr>
              <w:t>165,335</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205,436</w:t>
            </w:r>
          </w:p>
        </w:tc>
        <w:tc>
          <w:tcPr>
            <w:tcW w:w="6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(40,101)</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$ 7,787,591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$ 6,980,137</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$ 807,454</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0" w:firstLine="225"/>
        <w:spacing w:after="0" w:line="284" w:lineRule="auto"/>
        <w:rPr>
          <w:sz w:val="20"/>
          <w:szCs w:val="20"/>
          <w:color w:val="auto"/>
        </w:rPr>
      </w:pPr>
      <w:r>
        <w:rPr>
          <w:rFonts w:ascii="Arial" w:cs="Arial" w:eastAsia="Arial" w:hAnsi="Arial"/>
          <w:sz w:val="16"/>
          <w:szCs w:val="16"/>
          <w:color w:val="auto"/>
        </w:rPr>
        <w:t>Our R&amp;D expenses consist primarily of salaries and related personnel expenses, costs associated with clinical trials and regulatory submissions; costs associated with preclinical activities such as toxicology studies; costs associated with cell processing and process development; certain patent-related costs such as licensing; facilities related costs such as depreciation; lab equipment and supplies. Clinical trial expenses include payments to vendors such as clinical research organizations, contract manufacturers, clinical trial sites, laboratories for testing clinical samples and consultants. Cumulative R&amp;D costs incurred since we refocused our activities on developing cell-based therapeutics (fiscal years 2000 through the three months ended March 31, 2010) were approximately $117 million. Over this period, the majority of these cumulative costs were related to: (i) characterization of our proprietary HuCNS-SC cell,</w:t>
      </w:r>
    </w:p>
    <w:p>
      <w:pPr>
        <w:spacing w:after="0" w:line="5" w:lineRule="exact"/>
        <w:rPr>
          <w:sz w:val="20"/>
          <w:szCs w:val="20"/>
          <w:color w:val="auto"/>
        </w:rPr>
      </w:pPr>
    </w:p>
    <w:p>
      <w:pPr>
        <w:ind w:right="200" w:firstLine="8"/>
        <w:spacing w:after="0" w:line="277" w:lineRule="auto"/>
        <w:tabs>
          <w:tab w:leader="none" w:pos="265" w:val="left"/>
        </w:tabs>
        <w:numPr>
          <w:ilvl w:val="0"/>
          <w:numId w:val="7"/>
        </w:numPr>
        <w:rPr>
          <w:rFonts w:ascii="Arial" w:cs="Arial" w:eastAsia="Arial" w:hAnsi="Arial"/>
          <w:sz w:val="17"/>
          <w:szCs w:val="17"/>
          <w:color w:val="auto"/>
        </w:rPr>
      </w:pPr>
      <w:r>
        <w:rPr>
          <w:rFonts w:ascii="Arial" w:cs="Arial" w:eastAsia="Arial" w:hAnsi="Arial"/>
          <w:sz w:val="17"/>
          <w:szCs w:val="17"/>
          <w:color w:val="auto"/>
        </w:rPr>
        <w:t>expenditures for toxicology and other preclinical studies, preparation and submission of applications to regulatory agencies to conduct clinical trials and obtaining regulatory clearance to initiate such trials, all with respect to our HuCNS-SC cells, (iii) preclinical studies and development of our human liver engrafting cells, (iv) costs associated with cell processing and process development and (v) costs associated with our clinical studies.</w:t>
      </w:r>
    </w:p>
    <w:p>
      <w:pPr>
        <w:spacing w:after="0" w:line="65"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We use and manage our R&amp;D resources, including our employees and facilities, across various projects rather than on a project-by-project basis for the following reasons. The allocations of time and resources change as the needs and priorities of individual projects and programs change, and many of our researchers are assigned to more than one project at any given time. Furthermore, we are exploring multiple possible uses for each of our proprietary cell types, so much of our R&amp;D effort is complementary to and supportive of each of these projects. Lastly, much of our R&amp;D effort is focused on manufacturing processes, which can result in process improvements useful across cell types. We also use external service providers to assist in the conduct of our clinical trials, to manufacture certain of our product candidates and to provide various other R&amp;D related products and services. Many of these costs and expenses are complementary to and supportive of each of our programs. Because we do not have a development collaborator for any of our product programs, we are currently responsible for all costs incurred with respect to our product candidates.</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R&amp;D expenses totaled approximately $5,038,000 in the first quarter of 2010 compared with $4,236,000 in the first quarter of 2009.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225"/>
        <w:spacing w:after="0" w:line="288" w:lineRule="auto"/>
        <w:rPr>
          <w:sz w:val="20"/>
          <w:szCs w:val="20"/>
          <w:color w:val="auto"/>
        </w:rPr>
      </w:pPr>
      <w:r>
        <w:rPr>
          <w:rFonts w:ascii="Arial" w:cs="Arial" w:eastAsia="Arial" w:hAnsi="Arial"/>
          <w:sz w:val="16"/>
          <w:szCs w:val="16"/>
          <w:i w:val="1"/>
          <w:iCs w:val="1"/>
          <w:color w:val="auto"/>
        </w:rPr>
        <w:t xml:space="preserve">First quarter ended March 31, 2010 versus first quarter ended March 31, 2009. </w:t>
      </w:r>
      <w:r>
        <w:rPr>
          <w:rFonts w:ascii="Arial" w:cs="Arial" w:eastAsia="Arial" w:hAnsi="Arial"/>
          <w:sz w:val="16"/>
          <w:szCs w:val="16"/>
          <w:color w:val="auto"/>
        </w:rPr>
        <w:t>The increase of approximately $802,000, or 19%, from 2009 to 2010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attributable to (i) increased R&amp;D operations of approximately $566,000 from our acquisition of the SCS operations; R&amp;D activity associated with the SCS operations is primarily focused on developing cell technologies for non-therapeutic applications, such as use in cell-based assays for drug discovery,</w:t>
      </w:r>
    </w:p>
    <w:p>
      <w:pPr>
        <w:ind w:right="100" w:firstLine="8"/>
        <w:spacing w:after="0" w:line="253"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clinical study expenses of approximately $180,000 attributable to the initiation of our phase I clinical trial to assess the safety and preliminary effectiveness of HuCNS-SC cells as a treatment for PMD, (iii) a net increase in personnel expenses of approximately $101,000 resulting from an increased head count at our California site to support expanded operations in our cell processing and product development programs, and (iv) an increase in other expenses of approximately $32,000. These increased expenses were partially offset by a decrease in stock-based compensation expenses of approximately $77,000.</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Selling, general and administrative (SG&amp;A) expenses are primarily comprised of salaries, benefits and other staff related costs associated with sales and marketing, finance, legal, human resources, information technology, and other administrative personnel, facilities and overhead costs, external legal and other external general and administrative services.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SG&amp;A expenses totaled approximately $2,585,000 in the first quarter of 2010 compared with $2,539,000 in the first quarter of 2009.</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i w:val="1"/>
          <w:iCs w:val="1"/>
          <w:color w:val="auto"/>
        </w:rPr>
        <w:t>First quarter ended March 31, 2010 versus first quarter ended March 31, 2009</w:t>
      </w:r>
      <w:r>
        <w:rPr>
          <w:rFonts w:ascii="Arial" w:cs="Arial" w:eastAsia="Arial" w:hAnsi="Arial"/>
          <w:sz w:val="18"/>
          <w:szCs w:val="18"/>
          <w:color w:val="auto"/>
        </w:rPr>
        <w:t>. The increase of approximately $46,000, or 2%, in SG&amp;A expenses from</w:t>
      </w:r>
      <w:r>
        <w:rPr>
          <w:rFonts w:ascii="Arial" w:cs="Arial" w:eastAsia="Arial" w:hAnsi="Arial"/>
          <w:sz w:val="18"/>
          <w:szCs w:val="18"/>
          <w:i w:val="1"/>
          <w:iCs w:val="1"/>
          <w:color w:val="auto"/>
        </w:rPr>
        <w:t xml:space="preserve"> </w:t>
      </w:r>
      <w:r>
        <w:rPr>
          <w:rFonts w:ascii="Arial" w:cs="Arial" w:eastAsia="Arial" w:hAnsi="Arial"/>
          <w:sz w:val="18"/>
          <w:szCs w:val="18"/>
          <w:color w:val="auto"/>
        </w:rPr>
        <w:t>2009 to 2010 was primarily attributable to (i) increased SG&amp;A expenses of approximately $224,000 at our acquired SCS operations, (ii) an increase in external services of approximately $180,000 mainly due to an increase in consultant, recruiting and investor relations expenses, and (iii) an increase of approximately $31,000 in other expenses. These increased expenses were partially offset by a decrease in legal fees of approximately $333,000, primarily attributable to the legal fees incurred in 2009 for our acquisition of the SCS operations and a decrease in stock-based compensation expense of approximately $56,000.</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Wind-down Expenses</w:t>
      </w:r>
    </w:p>
    <w:p>
      <w:pPr>
        <w:spacing w:after="0" w:line="217"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jc w:val="center"/>
        <w:ind w:left="91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Rhode Island</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$ 165,335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$ 205,436</w:t>
            </w: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Australia</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wind-down expenses</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$ 165,335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$ 205,436</w:t>
            </w: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Rhode Island</w:t>
      </w:r>
    </w:p>
    <w:p>
      <w:pPr>
        <w:spacing w:after="0" w:line="117"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The reserve was approximately $4,433,000 at December 31, 2009. Payments net of subtenant income of approximately $315,000 for the first quarter of 2010 were recorded against this reserve. At March 31, 2010, we re-evaluated the estimate and adjusted the reserve to approximately $4,231,000 by recording additional wind-down expenses of approximately $165,000. For the similar period in 2009, payments recorded against the reserve were approximately $331,000, and additional expenses recorded to adjust the reserve were approximately $206,000.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 See Note 7 “Wind-down expenses,” in the notes to condensed consolidated financial statements of Part I, Item 1 of this Form 10-Q for further information.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Australia</w:t>
      </w:r>
    </w:p>
    <w:p>
      <w:pPr>
        <w:spacing w:after="0" w:line="117"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On April 1, 2009, as part of our acquisition of the SCS operations, we acquired operations near Melbourne, Australia. In order to reduce operating complexity and expenses, we made the decision to close our site in Australia and consolidate personnel and programs to our Cambridge, U.K. and Palo Alto, California sites. U.S. GAAP requires that a liability for a cost associated with an exit or disposal activity be recognized when the liability is incurred. In accordance with U.S. GAAP requirements, at June 30, 2009, we established a short-term reserve of approximately $310,000 for the estimated costs to close down and exit our Australia operations. The reserve reflects the estimated cost to terminate our facility lease in Australia (with an original termination date of December 31, 2010), employee termination benefits and other liabilities associated with the wind-down and relocation of our operations in Australia. The facility lease agreement has been terminated and our operations in Australia have been relocated to Cambridge, U.K. and Palo Alto, California. We recorded actual expenses of approximately $6,000 and $236,000 against this reserve in 2010 and 2009 respectively. No further adjustments were made to the reserve balance as we believe that the estimated remaining balance of approximately $70,000 in our reserve at March 31, 2010, will be sufficient to cover any remaining exit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Other income totaled approximately $1,477,000 in the first quarter of 2010 compared with other expense of $2,358,000 in the same period of 2009.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380" w:type="dxa"/>
            <w:vAlign w:val="bottom"/>
            <w:gridSpan w:val="5"/>
          </w:tcPr>
          <w:p>
            <w:pPr>
              <w:ind w:left="400"/>
              <w:spacing w:after="0"/>
              <w:rPr>
                <w:sz w:val="20"/>
                <w:szCs w:val="20"/>
                <w:color w:val="auto"/>
              </w:rPr>
            </w:pPr>
            <w:r>
              <w:rPr>
                <w:rFonts w:ascii="Arial" w:cs="Arial" w:eastAsia="Arial" w:hAnsi="Arial"/>
                <w:sz w:val="14"/>
                <w:szCs w:val="14"/>
                <w:b w:val="1"/>
                <w:bCs w:val="1"/>
                <w:color w:val="auto"/>
              </w:rPr>
              <w:t>Change in 2010 versus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89"/>
              </w:rPr>
              <w:t>2009</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gridSpan w:val="2"/>
          </w:tcPr>
          <w:p>
            <w:pPr>
              <w:ind w:left="60"/>
              <w:spacing w:after="0"/>
              <w:rPr>
                <w:sz w:val="20"/>
                <w:szCs w:val="20"/>
                <w:color w:val="auto"/>
              </w:rPr>
            </w:pPr>
            <w:r>
              <w:rPr>
                <w:rFonts w:ascii="Arial" w:cs="Arial" w:eastAsia="Arial" w:hAnsi="Arial"/>
                <w:sz w:val="18"/>
                <w:szCs w:val="18"/>
                <w:color w:val="auto"/>
              </w:rPr>
              <w:t>Gain on sale of marketable securities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397,866</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 (397,866)</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Change in fair value of warrant liability</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1,516,349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(2,755,448)</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4,271,797</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gridSpan w:val="2"/>
          </w:tcPr>
          <w:p>
            <w:pPr>
              <w:ind w:left="60"/>
              <w:spacing w:after="0"/>
              <w:rPr>
                <w:sz w:val="20"/>
                <w:szCs w:val="20"/>
                <w:color w:val="auto"/>
              </w:rPr>
            </w:pPr>
            <w:r>
              <w:rPr>
                <w:rFonts w:ascii="Arial" w:cs="Arial" w:eastAsia="Arial" w:hAnsi="Arial"/>
                <w:sz w:val="18"/>
                <w:szCs w:val="18"/>
                <w:color w:val="auto"/>
              </w:rPr>
              <w:t>Interest income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68"/>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41,947</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(41,353)</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Interest expense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(25,500)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(28,175)</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2,675</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gridSpan w:val="2"/>
          </w:tcPr>
          <w:p>
            <w:pPr>
              <w:ind w:left="60"/>
              <w:spacing w:after="0"/>
              <w:rPr>
                <w:sz w:val="20"/>
                <w:szCs w:val="20"/>
                <w:color w:val="auto"/>
              </w:rPr>
            </w:pPr>
            <w:r>
              <w:rPr>
                <w:rFonts w:ascii="Arial" w:cs="Arial" w:eastAsia="Arial" w:hAnsi="Arial"/>
                <w:sz w:val="18"/>
                <w:szCs w:val="18"/>
                <w:color w:val="auto"/>
              </w:rPr>
              <w:t>Other expense,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08"/>
              <w:spacing w:after="0"/>
              <w:rPr>
                <w:sz w:val="20"/>
                <w:szCs w:val="20"/>
                <w:color w:val="auto"/>
              </w:rPr>
            </w:pPr>
            <w:r>
              <w:rPr>
                <w:rFonts w:ascii="Arial" w:cs="Arial" w:eastAsia="Arial" w:hAnsi="Arial"/>
                <w:sz w:val="18"/>
                <w:szCs w:val="18"/>
                <w:color w:val="auto"/>
              </w:rPr>
              <w:t>(14,438)</w:t>
            </w: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(14,210)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(228)</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1,477,005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(2,358,020)</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$ 3,835,025</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620" w:type="dxa"/>
            <w:vAlign w:val="bottom"/>
            <w:gridSpan w:val="2"/>
          </w:tcPr>
          <w:p>
            <w:pPr>
              <w:ind w:left="300"/>
              <w:spacing w:after="0"/>
              <w:rPr>
                <w:sz w:val="20"/>
                <w:szCs w:val="20"/>
                <w:color w:val="auto"/>
              </w:rPr>
            </w:pPr>
            <w:r>
              <w:rPr>
                <w:rFonts w:ascii="Arial" w:cs="Arial" w:eastAsia="Arial" w:hAnsi="Arial"/>
                <w:sz w:val="18"/>
                <w:szCs w:val="18"/>
                <w:color w:val="auto"/>
              </w:rPr>
              <w:t>Calculation is not meaningful.</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20" w:type="dxa"/>
            <w:vAlign w:val="bottom"/>
            <w:gridSpan w:val="2"/>
          </w:tcPr>
          <w:p>
            <w:pPr>
              <w:ind w:left="80"/>
              <w:spacing w:after="0"/>
              <w:rPr>
                <w:sz w:val="20"/>
                <w:szCs w:val="20"/>
                <w:color w:val="auto"/>
              </w:rPr>
            </w:pPr>
            <w:r>
              <w:rPr>
                <w:rFonts w:ascii="Arial" w:cs="Arial" w:eastAsia="Arial" w:hAnsi="Arial"/>
                <w:sz w:val="18"/>
                <w:szCs w:val="18"/>
                <w:i w:val="1"/>
                <w:iCs w:val="1"/>
                <w:color w:val="auto"/>
              </w:rPr>
              <w:t>Gain on Sale of Marketable Equity Securities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color w:val="auto"/>
        </w:rPr>
        <w:t>In the first quarter of 2009, we sold in aggregate 2,900,000 shares of ReNeuron and received proceeds of approximately $510,000. We recognized a realized gain of approximately $398,000 for that quarter. We did not sell any ReNeuron shares in the first quarter of 2010. We owned 1,921,924 ordinary shares of ReNeuron at March 31, 2010. See Note 2 “Financial Instruments” in the Notes to condensed consolidated financial statements of Part I, Item 1 of this Form 10-Q for further information.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117" w:lineRule="exact"/>
        <w:rPr>
          <w:sz w:val="20"/>
          <w:szCs w:val="20"/>
          <w:color w:val="auto"/>
        </w:rPr>
      </w:pPr>
    </w:p>
    <w:p>
      <w:pPr>
        <w:ind w:firstLine="215"/>
        <w:spacing w:after="0" w:line="289" w:lineRule="auto"/>
        <w:rPr>
          <w:sz w:val="20"/>
          <w:szCs w:val="20"/>
          <w:color w:val="auto"/>
        </w:rPr>
      </w:pPr>
      <w:r>
        <w:rPr>
          <w:rFonts w:ascii="Arial" w:cs="Arial" w:eastAsia="Arial" w:hAnsi="Arial"/>
          <w:sz w:val="16"/>
          <w:szCs w:val="16"/>
          <w:color w:val="auto"/>
        </w:rPr>
        <w:t>As part of both our November 2008 and November 2009 financings, we issued warrants with five year terms to purchase 10,344,828 and 4,000,000 shares of our common stock at $2.30 and $1.50 per share, respectively. As the contracts include the possibility of net-cash settlement, we are required to classify the fair value of the warrants issued as a liability, with subsequent changes in fair value to be recorded as income (loss) on change in fair value of warrant liability. The fair value of the warrants is determined using the Black-Scholes-Merton (Black-Scholes) option pricing model and is affected by changes in inputs to that model including our stock price, expected stock price volatility, the contractual term, and the risk-free interest rate. Our estimate of the expected volatility is based on historical volatility. The expected term of the warrants is based on the time to expiration of the warrants from the date of measurement. Risk-free interest rates are derived from the yield on U.S. Treasury debt securities. We will continue to classify the fair value of the warrants as a liability until the warrants are exercised, expire or are amended in a way that would no longer require these warrants to be classified as a liability. See Note 9 “Warrant Liability” in the Notes to condensed consolidated financial statements of Part I, Item 1 of this Form 10-Q for further information.</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Interest income in the first quarter of 2010 decreased by approximately $41,000, or 99% when compared to the same period in 2009. The decrease was primarily due to a lower average yield.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Interest expense for the first quarter of 2010, was relatively flat when compared to the similar period in 2009. Interest expense is primarily for outstanding debt and capital lease balances. See Note 8 “Commitment and Contingencies,” in the notes to condensed consolidated financial statements of Part I, Item 1 of this Form 10-Q for further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60" w:firstLine="225"/>
        <w:spacing w:after="0" w:line="277"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 from collaborative agreements, research grants, license fees, and interest income.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4"/>
              </w:rPr>
              <w:t>December 31,</w:t>
            </w:r>
          </w:p>
        </w:tc>
        <w:tc>
          <w:tcPr>
            <w:tcW w:w="1180" w:type="dxa"/>
            <w:vAlign w:val="bottom"/>
            <w:gridSpan w:val="3"/>
            <w:vMerge w:val="restart"/>
          </w:tcPr>
          <w:p>
            <w:pPr>
              <w:jc w:val="right"/>
              <w:ind w:right="259"/>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64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ind w:right="180"/>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76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9"/>
              </w:rPr>
              <w:t>$31,336,987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9"/>
              </w:rPr>
              <w:t>$38,617,977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2"/>
              </w:rPr>
              <w:t>$ (7,280,990)</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760" w:type="dxa"/>
            <w:vAlign w:val="bottom"/>
          </w:tcPr>
          <w:p>
            <w:pPr>
              <w:ind w:left="240"/>
              <w:spacing w:after="0"/>
              <w:rPr>
                <w:sz w:val="20"/>
                <w:szCs w:val="20"/>
                <w:color w:val="auto"/>
              </w:rPr>
            </w:pPr>
            <w:r>
              <w:rPr>
                <w:rFonts w:ascii="Arial" w:cs="Arial" w:eastAsia="Arial" w:hAnsi="Arial"/>
                <w:sz w:val="18"/>
                <w:szCs w:val="18"/>
                <w:color w:val="auto"/>
              </w:rPr>
              <w:t>In summary, our cash flows were:</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00" w:type="dxa"/>
            <w:vAlign w:val="bottom"/>
            <w:gridSpan w:val="9"/>
          </w:tcPr>
          <w:p>
            <w:pPr>
              <w:jc w:val="right"/>
              <w:ind w:right="6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0" w:type="dxa"/>
            <w:vAlign w:val="bottom"/>
            <w:gridSpan w:val="6"/>
          </w:tcPr>
          <w:p>
            <w:pPr>
              <w:jc w:val="right"/>
              <w:ind w:right="390"/>
              <w:spacing w:after="0"/>
              <w:rPr>
                <w:sz w:val="20"/>
                <w:szCs w:val="20"/>
                <w:color w:val="auto"/>
              </w:rPr>
            </w:pPr>
            <w:r>
              <w:rPr>
                <w:rFonts w:ascii="Arial" w:cs="Arial" w:eastAsia="Arial" w:hAnsi="Arial"/>
                <w:sz w:val="14"/>
                <w:szCs w:val="14"/>
                <w:b w:val="1"/>
                <w:bCs w:val="1"/>
                <w:color w:val="auto"/>
              </w:rPr>
              <w:t>Change in 2010 versus 2009</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339"/>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(7,808,286)</w:t>
            </w: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9"/>
              </w:rPr>
              <w:t>(5,781,631)</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(2,026,655)</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(78,871)</w:t>
            </w:r>
          </w:p>
        </w:tc>
        <w:tc>
          <w:tcPr>
            <w:tcW w:w="3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2,920,314</w:t>
            </w:r>
          </w:p>
        </w:tc>
        <w:tc>
          <w:tcPr>
            <w:tcW w:w="28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 (2,999,185)</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626,287</w:t>
            </w: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6,875,383</w:t>
            </w:r>
          </w:p>
        </w:tc>
        <w:tc>
          <w:tcPr>
            <w:tcW w:w="2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(6,249,096)</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Net cash used in operating activities in the first three months of 2010 increased by approximately $2,027,000 or 35% when compared to the same period of 2009. Cash used in operating activities is primarily driven by our net loss but operating cash flows differ from net loss due to non-cash charges or differences in the timing of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decrease of approximately $2,999,000 or 103% from 2009 to 2010 for net cash provided by (used in) investing activities, was primarily attributable to a higher number of marketable debt securities maturing in the first three months of 2009 as compared to the similar period in 2010 and the sale of 2,900,000 shares of ReNeuron for net proceeds of approximately $510,000 in the first quarter of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The decrease from 2009 to 2010 of approximately $6,249,000 for net cash provided by financing activities was primarily attributable to gross proceeds of approximately $6,999,000 from the sale of 3,325,000 shares of common stock at an average price of $2.10 per share in the first quarter of 2009, compared to gross proceeds of approximately $1,088,000 from the sale of approximately 882,200 shares of common stock at an average price of $1.23 per share in the first quarter of 2010. These shares were sold under sales agreements with Cantor Fitzgerald &amp; Co. (“Cantor”).</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Listed below are key financing transactions entered into by us in the last three years:</w:t>
      </w:r>
    </w:p>
    <w:p>
      <w:pPr>
        <w:spacing w:after="0" w:line="117" w:lineRule="exact"/>
        <w:rPr>
          <w:sz w:val="20"/>
          <w:szCs w:val="20"/>
          <w:color w:val="auto"/>
        </w:rPr>
      </w:pPr>
    </w:p>
    <w:p>
      <w:pPr>
        <w:jc w:val="both"/>
        <w:ind w:left="660" w:right="20" w:hanging="314"/>
        <w:spacing w:after="0" w:line="302" w:lineRule="auto"/>
        <w:tabs>
          <w:tab w:leader="none" w:pos="66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In November 2009, we sold 10,000,000 units to institutional investors at a price of $1.25 per unit, for gross proceeds of $12,500,000. The units, each of which consisted of one share of common stock and a warrant to purchase 0.4 shares of common stock at an exercise price of $1.50 per share, were offered as a registered direct offering under an effective shelf registration statement previously filed with and declared effective by the Securities and Exchange Commission. We received total proceeds net of offering expenses and placement agency fees of approximately $11,985,000.</w:t>
      </w:r>
    </w:p>
    <w:p>
      <w:pPr>
        <w:spacing w:after="0" w:line="59" w:lineRule="exact"/>
        <w:rPr>
          <w:rFonts w:ascii="Arial" w:cs="Arial" w:eastAsia="Arial" w:hAnsi="Arial"/>
          <w:sz w:val="16"/>
          <w:szCs w:val="16"/>
          <w:b w:val="1"/>
          <w:bCs w:val="1"/>
          <w:color w:val="auto"/>
        </w:rPr>
      </w:pPr>
    </w:p>
    <w:p>
      <w:pPr>
        <w:ind w:left="660" w:right="140" w:hanging="314"/>
        <w:spacing w:after="0" w:line="25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In June 2009, we filed a prospectus supplement that relates to the issuance and sale of up to $30,000,000 of our common stock, from time to time through a sales agreement with our sales agent Cantor. The prospectus is a part of a registration statement that we filed with the SEC on June 25, 2008, using a “shelf” registration process. Under this shelf registration process, we may offer to sell in one or more offerings up to a total dollar amount of $100,000,000. In 2009, we sold a total of 1,830,000 shares of our common stock under this June 2009 sales agreement with Cantor at an average price per share of $1.80 for gross proceeds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approximately $3,291,000. Cantor is paid compensation equal to 3.0% of the gross proceeds pursuant to the terms of the agreement.</w:t>
      </w:r>
    </w:p>
    <w:p>
      <w:pPr>
        <w:spacing w:after="0" w:line="131" w:lineRule="exact"/>
        <w:rPr>
          <w:sz w:val="20"/>
          <w:szCs w:val="20"/>
          <w:color w:val="auto"/>
        </w:rPr>
      </w:pPr>
    </w:p>
    <w:p>
      <w:pPr>
        <w:ind w:left="660" w:right="20" w:hanging="314"/>
        <w:spacing w:after="0" w:line="25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 November 2008, we sold 13,793,104 units to institutional investors at a price of $1.45 per unit, for gross proceeds of $20,000,000. The units, each of which consisted of one share of common stock and a warrant to purchase 0.75 shares of common stock at an exercise price of $2.30 per share, were offered as a registered direct offering under an effective shelf registration statement previously filed with and declared effective by the Securities and Exchange Commission. We received total proceeds net of offering expenses and placement agency fees of approximately $18,637,000.</w:t>
      </w:r>
    </w:p>
    <w:p>
      <w:pPr>
        <w:spacing w:after="0" w:line="93" w:lineRule="exact"/>
        <w:rPr>
          <w:rFonts w:ascii="Arial" w:cs="Arial" w:eastAsia="Arial" w:hAnsi="Arial"/>
          <w:sz w:val="18"/>
          <w:szCs w:val="18"/>
          <w:b w:val="1"/>
          <w:bCs w:val="1"/>
          <w:color w:val="auto"/>
        </w:rPr>
      </w:pPr>
    </w:p>
    <w:p>
      <w:pPr>
        <w:ind w:left="660" w:right="240" w:hanging="314"/>
        <w:spacing w:after="0" w:line="279" w:lineRule="auto"/>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In December 2006, we filed a prospectus supplement announcing the entry of a sales agreement with Cantor under which up to 10,000,000 shares may be sold from time to time under a shelf registration statement. In 2007, 2008 and 2009, we sold a total of 10,000,000 shares of our common stock under this agreement at an average price per share of $2.06 for gross proceeds of approximately $20,555,000. Cantor is paid compensation equal to 5.0% of the gross proceeds pursuant to the terms of the agreement.</w:t>
      </w:r>
    </w:p>
    <w:p>
      <w:pPr>
        <w:spacing w:after="0" w:line="63" w:lineRule="exact"/>
        <w:rPr>
          <w:sz w:val="20"/>
          <w:szCs w:val="20"/>
          <w:color w:val="auto"/>
        </w:rPr>
      </w:pPr>
    </w:p>
    <w:p>
      <w:pPr>
        <w:ind w:right="120" w:firstLine="222"/>
        <w:spacing w:after="0" w:line="254" w:lineRule="auto"/>
        <w:rPr>
          <w:sz w:val="20"/>
          <w:szCs w:val="20"/>
          <w:color w:val="auto"/>
        </w:rPr>
      </w:pPr>
      <w:r>
        <w:rPr>
          <w:rFonts w:ascii="Arial" w:cs="Arial" w:eastAsia="Arial" w:hAnsi="Arial"/>
          <w:sz w:val="18"/>
          <w:szCs w:val="18"/>
          <w:color w:val="auto"/>
        </w:rPr>
        <w:t>We have incurred significant operating losses and negative cash flows since inception. We have not achieved profitability and may not be able to realize sufficient revenue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selling,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w:t>
      </w:r>
    </w:p>
    <w:p>
      <w:pPr>
        <w:spacing w:after="0" w:line="84"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We intend to pursue opportunities to obtain additional financing in the future through equity and debt financings, grants and collaborative research arrangements. On June 25, 2008 we filed with the SEC a universal shelf registration statement, declared effective July 18, 2008, which permits us to issue up to $100 million worth of registered debt and equity securities. Under this effective shelf registration, we have the flexibility to issue registered securities, from time to time, in one or more separate offerings or other transactions with the size, price and terms to be determined at the time of issuance. Registered securities issued using this shelf may be used to raise additional capital to fund our working capital and other corporate needs, for future acquisitions of assets, programs or businesses, and for other corporate purposes. As of April 20, 2010, we had approximately $47 million under our universal shelf registration statement available for issuing debt or equity securities; approximately $30 million of this $47 million has been reserved for the potential exercise of the warrants issued in connection with our November 2008 and November 2009 financings.</w:t>
      </w:r>
    </w:p>
    <w:p>
      <w:pPr>
        <w:spacing w:after="0" w:line="71"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Lack of necessary funds may require us, among other things, to delay, scale back or eliminate some or all of our research and product development programs, planned clinical trials, and/or our capital expenditures or to license our potential products or technologies to third parties. In addition, the decline in economic activity, together with the deterioration of the credit and capital markets, could have an adverse impact on potential sources of future financing.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See Note 8, “Commitments and Contingencies” in the notes to condensed consolidated financial statements of Part I, Item 1 of this Form 10-Q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80" w:firstLine="222"/>
        <w:spacing w:after="0" w:line="286" w:lineRule="auto"/>
        <w:rPr>
          <w:sz w:val="20"/>
          <w:szCs w:val="20"/>
          <w:color w:val="auto"/>
        </w:rPr>
      </w:pPr>
      <w:r>
        <w:rPr>
          <w:rFonts w:ascii="Arial" w:cs="Arial" w:eastAsia="Arial" w:hAnsi="Arial"/>
          <w:sz w:val="17"/>
          <w:szCs w:val="17"/>
          <w:color w:val="auto"/>
        </w:rPr>
        <w:t>We have certain contractual arrangements that create potential risk for us and are not recognized in our Consolidated Balance Sheets. Discussed below are those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We lease various real properties under operating leases that generally require us to pay taxes, insurance, maintenance, and minimum lease payments. Some of our leases have options to renew.</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 — California</w:t>
      </w:r>
    </w:p>
    <w:p>
      <w:pPr>
        <w:spacing w:after="0" w:line="117" w:lineRule="exact"/>
        <w:rPr>
          <w:sz w:val="20"/>
          <w:szCs w:val="20"/>
          <w:color w:val="auto"/>
        </w:rPr>
      </w:pPr>
    </w:p>
    <w:p>
      <w:pPr>
        <w:ind w:right="180" w:firstLine="222"/>
        <w:spacing w:after="0" w:line="312" w:lineRule="auto"/>
        <w:rPr>
          <w:sz w:val="20"/>
          <w:szCs w:val="20"/>
          <w:color w:val="auto"/>
        </w:rPr>
      </w:pPr>
      <w:r>
        <w:rPr>
          <w:rFonts w:ascii="Arial" w:cs="Arial" w:eastAsia="Arial" w:hAnsi="Arial"/>
          <w:sz w:val="16"/>
          <w:szCs w:val="16"/>
          <w:color w:val="auto"/>
        </w:rPr>
        <w:t>We entered into and amended a lease agreement for an approximately 68,000 square foot facility located at the Stanford Research Park in Palo Alto, California. At March 31, 2010, we expect to pay in aggregate, approximately $2,622,000 in rent and estimated operating expenses, before receipt of sub-tenant income, for the remainder of 2010. At March 31, 2010, we had a space-sharing agreement covering approximately 10,451 square feet of this facility.</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 — Rhode Island</w:t>
      </w:r>
    </w:p>
    <w:p>
      <w:pPr>
        <w:spacing w:after="0" w:line="117"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We continue to have outstanding obligations in regard to our former facilities in Lincoln, Rhode Island. In 1997, we had entered into a fifteen-year lease for a scientific and administrative facility in a sale and leaseback arrangement. The lease includes escalating rent payments. At March 31, 2010, we expect to pay in aggregate, approximately $1,374,000 in rent and estimated operating expenses before receipt of sub-tenant income, for the remainder of 2010. At March 31, 2010, we expect to receive, in aggregate, approximately $214,000 in sub-tenant rent and operating expenses for the remainder of 2010. As a result of the above transactions, our estimated cash outlay net of sub-tenant rent for the facility will be approximately $1,160,000 for the remainder of 2010.</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 — United Kingdom</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On April 1, 2009, as part of our acquisition of the operations of SCS, we acquired operations in Cambridge, U.K.. As of April 2009, our wholly-owned subsidiary, Stem Cell Sciences (UK) Ltd, had two lease agreements for approximately 3,900 square feet of office and lab space in aggregate in two buildings of the Babraham Research Campus in Cambridge, U.K. One of these two leases, for approximately 2,000 square feet, expired by its terms on February 28, 2010. The second, for approximately 1,900 square feet, had an initial term until March 2011, with an option, at our election, to extend the term for an additional five years. In February 2010, in order to consolidate our operations into a single building at the research campus, we entered into a new lease agreement effective March 1, 2010, for approximately 3,240 square feet. The initial term of this new lease will continue until March 2011, with an option, at our election, to extend the term for an additional two years. The two currently effective Cambridge leases cover in aggregate approximately 5,000 square feet. At March 31, 2010, we expect to pay approximately 104,000 GBP as rental payments for the remainder of 2010 in aggregate for the Cambridge leases. StemCells, Inc. is a guarantor of Stem Cell Sciences (UK) Ltd’s obligations under both leases.</w:t>
      </w:r>
    </w:p>
    <w:p>
      <w:pPr>
        <w:spacing w:after="0" w:line="74" w:lineRule="exact"/>
        <w:rPr>
          <w:sz w:val="20"/>
          <w:szCs w:val="20"/>
          <w:color w:val="auto"/>
        </w:rPr>
      </w:pPr>
    </w:p>
    <w:p>
      <w:pPr>
        <w:ind w:right="140" w:firstLine="222"/>
        <w:spacing w:after="0" w:line="308" w:lineRule="auto"/>
        <w:rPr>
          <w:sz w:val="20"/>
          <w:szCs w:val="20"/>
          <w:color w:val="auto"/>
        </w:rPr>
      </w:pPr>
      <w:r>
        <w:rPr>
          <w:rFonts w:ascii="Arial" w:cs="Arial" w:eastAsia="Arial" w:hAnsi="Arial"/>
          <w:sz w:val="17"/>
          <w:szCs w:val="17"/>
          <w:color w:val="auto"/>
        </w:rPr>
        <w:t>With the exception of leases discussed above, we have not entered into any off balance sheet financial arrangements and have not established any special purpose entities. We have not guaranteed any debts or commitments of other entities or entered into any options on non-financial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During the first three months of 2010, we believe that there have been no significant changes in our payments due under contractual obligations, as disclosed in our Annual Report on Form 10-K for the year ended December 31,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 xml:space="preserve">In January 2010, the Financial Accounting Standards Board (FASB), issued new standards to update and amend existing standards on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and Disclosures. </w:t>
      </w:r>
      <w:r>
        <w:rPr>
          <w:rFonts w:ascii="Arial" w:cs="Arial" w:eastAsia="Arial" w:hAnsi="Arial"/>
          <w:sz w:val="16"/>
          <w:szCs w:val="16"/>
          <w:color w:val="auto"/>
        </w:rPr>
        <w:t>These standards require new disclosures on the amount and reason for transfers in and out of Level 1 and Level 2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measurements. The standards also require disclosure of activities in Level 3 fair value measurements that use significant unobservable inputs, including purchases, sales, issuances, and settlements. The standards also clarify existing disclosure requirements on levels of disaggregation, which requires fair value measurement disclosure for each class of assets and liabilities, and disclosures about valuation techniques and inputs used to measure fair value of recurring and non recurring fair value measurements that fall in ether Level 2 or Level 3. The new disclosures and clarifications of existing disclosures are effective for our interim and annual reporting periods beginning January 1, 2010, except for the disclosures about purchases, sales, issuances and settlements in the roll forward activity in Level 3 fair value measurements. Those disclosures are effective for our fiscal year beginning January 1, 2011. We do not expect the adoption of these new standards on January 1, 2011 to have a material effect on our consolidated financial condition and results of operations.</w:t>
      </w:r>
    </w:p>
    <w:p>
      <w:pPr>
        <w:spacing w:after="0" w:line="59" w:lineRule="exact"/>
        <w:rPr>
          <w:sz w:val="20"/>
          <w:szCs w:val="20"/>
          <w:color w:val="auto"/>
        </w:rPr>
      </w:pPr>
    </w:p>
    <w:p>
      <w:pPr>
        <w:ind w:right="100" w:firstLine="225"/>
        <w:spacing w:after="0" w:line="254" w:lineRule="auto"/>
        <w:rPr>
          <w:sz w:val="20"/>
          <w:szCs w:val="20"/>
          <w:color w:val="auto"/>
        </w:rPr>
      </w:pPr>
      <w:r>
        <w:rPr>
          <w:rFonts w:ascii="Arial" w:cs="Arial" w:eastAsia="Arial" w:hAnsi="Arial"/>
          <w:sz w:val="18"/>
          <w:szCs w:val="18"/>
          <w:color w:val="auto"/>
        </w:rPr>
        <w:t xml:space="preserve">In April 2010, FASB issued Accounting Standards Update (ASU), </w:t>
      </w:r>
      <w:r>
        <w:rPr>
          <w:rFonts w:ascii="Arial" w:cs="Arial" w:eastAsia="Arial" w:hAnsi="Arial"/>
          <w:sz w:val="18"/>
          <w:szCs w:val="18"/>
          <w:i w:val="1"/>
          <w:iCs w:val="1"/>
          <w:color w:val="auto"/>
        </w:rPr>
        <w:t>Revenue Recognition—Milestone Method,</w:t>
      </w:r>
      <w:r>
        <w:rPr>
          <w:rFonts w:ascii="Arial" w:cs="Arial" w:eastAsia="Arial" w:hAnsi="Arial"/>
          <w:sz w:val="18"/>
          <w:szCs w:val="18"/>
          <w:color w:val="auto"/>
        </w:rPr>
        <w:t xml:space="preserve"> which provides guidance on defining a milestone and determining when it may be appropriate to apply the milestone method of revenue recognition for research or development transactions. Research or development arrangements frequently include payment provisions whereby a portion or all of the consideration is contingent upon milestone events such as successful completion of phases in a study or achieving a specific result from the research or development efforts. The amendments in this ASU provide guidance on the criteria that should be met for determining whether the milestone method of revenue recognition is appropriate. The ASU is effective for fiscal years and interim periods within those years beginning on or after June 15, 2010, with early adoption permitted. This ASU is effective for our interim and annual reporting periods beginning January 1, 2011. We are currently evaluating the impact, if any on our financial condition and results of operations.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Our market risks at March 31, 2010 have not changed materially from those discussed in Item 7A of our Form 10-K for the year ended December 31, 2009 on file with the U.S. Securities and Exchange Commission.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also Note 2, “Financial Assets,” in the notes to condensed consolidated financial statements in Part I, Item 1 of this Form 10-Q.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In response to the requirement of the Sarbanes-Oxley Act of 2002, as of the end of the period covered by this report, our chief executive officer and chief financial officer, along with other members of management, reviewed the effectiveness of the design and operation of our disclosure controls and procedures. Such controls and 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chief financial officer have concluded that the Company’s disclosure controls and procedures are effective.</w:t>
      </w:r>
    </w:p>
    <w:p>
      <w:pPr>
        <w:spacing w:after="0" w:line="81"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During the most recent quarter, there were no changes in internal controls over financial reporting that occurred during the period covered by this report that have materially affected, or are reasonably likely to materially affect, these controls of the Company.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60" w:firstLine="225"/>
        <w:spacing w:after="0" w:line="289" w:lineRule="auto"/>
        <w:rPr>
          <w:sz w:val="20"/>
          <w:szCs w:val="20"/>
          <w:color w:val="auto"/>
        </w:rPr>
      </w:pPr>
      <w:r>
        <w:rPr>
          <w:rFonts w:ascii="Arial" w:cs="Arial" w:eastAsia="Arial" w:hAnsi="Arial"/>
          <w:sz w:val="16"/>
          <w:szCs w:val="16"/>
          <w:color w:val="auto"/>
        </w:rPr>
        <w:t>In July 2006, we filed suit against Neuralstem, Inc. in the Federal District Court for the District of Maryland, alleging that Neuralstem’s activities violate claims in four of the patents we exclusively licensed from NeuroSpheres. In December 2006, Neuralstem petitioned the U.S. Patent and Trademark Office (PTO) to reexamine two of the patents in our infringement action against Neuralstem, namely U.S. Patent No. 6,294,346 (claiming the use of human neural stem cells for drug screening) and U.S. Patent No. 7,101,709 (claiming the use of human neural stem cells for screening biological agents). In April 2007, Neuralstem petitioned the PTO to reexamine the remaining two patents in the suit, namely U.S. Patent No. 5,851,832 (claiming methods for proliferating human neural stem cells) and U.S. Patent No. 6,497,872 (claiming methods for transplanting human neural stem cells). These requests were granted by the PTO and, in June 2007, the parties voluntarily agreed to stay the pending litigation while the PTO considered these reexamination requests. In April 2008, the PTO upheld the ’832 and ’872 patents, as amended, and issued Notices of Intent to Issue an Ex Parte Reexamination Certificate for both. In May 2009, the PTO upheld the ’346 and ’709 patents, as amended, and issued Notices of Intent to Issue an Ex Parte Reexamination Certificate for both.</w:t>
      </w:r>
    </w:p>
    <w:p>
      <w:pPr>
        <w:spacing w:after="0" w:line="59"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In May 2008, we filed a second patent infringement suit against Neuralstem and its two founders, Karl Johe and Richard Garr. In this suit, which we filed in the Federal District Court for the Northern District of California, we allege that Neuralstem’s activities infringe claims in two patents we exclusively license from NeuroSpheres, specifically U.S. Patent No. 7,361,505 (claiming composition of matter of human neural stem cells derived from any source material) and U.S. Patent No. 7,115,418 (claiming methods for proliferating human neural stem cells). In addition, we allege various state law causes of action against Neuralstem arising out of its repeated derogatory statements to the public about our patent portfolio. Also in May 2008, Neuralstem filed suit against us and NeuroSpheres in the Federal District Court for the District of Maryland seeking a declaratory judgment that the ’505 and ’418 patents are either invalid or are not infringed by Neuralstem and that Neuralstem has not violated California state law. In August 2008, the California court transferred our lawsuit against Neuralstem to Maryland for resolution on the merits. In July 2009, the Maryland District Court granted our motion to consolidate these two cases with the litigation we initiated against Neuralstem in 2006. In August 2009, the Maryland District Court approved a scheduling order submitted by the parties for discovery and trial.</w:t>
      </w:r>
    </w:p>
    <w:p>
      <w:pPr>
        <w:spacing w:after="0" w:line="70" w:lineRule="exact"/>
        <w:rPr>
          <w:sz w:val="20"/>
          <w:szCs w:val="20"/>
          <w:color w:val="auto"/>
        </w:rPr>
      </w:pPr>
    </w:p>
    <w:p>
      <w:pPr>
        <w:ind w:right="220" w:firstLine="225"/>
        <w:spacing w:after="0" w:line="255" w:lineRule="auto"/>
        <w:rPr>
          <w:sz w:val="20"/>
          <w:szCs w:val="20"/>
          <w:color w:val="auto"/>
        </w:rPr>
      </w:pPr>
      <w:r>
        <w:rPr>
          <w:rFonts w:ascii="Arial" w:cs="Arial" w:eastAsia="Arial" w:hAnsi="Arial"/>
          <w:sz w:val="18"/>
          <w:szCs w:val="18"/>
          <w:color w:val="auto"/>
        </w:rPr>
        <w:t>In addition to the actions described above, in April 2008, we filed an opposition to Neuralstem’s European Patent No. 0 915 968 (methods of isolating, propagating and differentiating CNS stem cells), because the claimed invention is believed by us to be unpatentable over prior art, including the patents exclusively licensed by us from NeuroSpheres. Neuralstem has responded to this opposition and the parties are currently awaiting a hearing, expected to be held in 2010. In September 2009, we also filed a request with the PTO to reexamine Neuralstem’s U.S. Patent No. 5,753,506 (methods of isolating, propagating and differentiating CNS stem cells), which is the U.S. counterpart of Neuralstem’s ’968 patent in Europe. In January 2010, we filed a request with the PTO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reexamine Neuralstem’s U.S. Patent No. 7,544,511 (methods for immortalizing neural stem cells using a c-myc construct), which is a continuation in part of the ‘506 patent. The PTO granted the first reexamination request in October 2009 and the second in April 2010.</w:t>
      </w:r>
    </w:p>
    <w:p>
      <w:pPr>
        <w:spacing w:after="0" w:line="62"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Effective 2008, as part of an indemnification agreement with NeuroSpheres, we offset the annual $50,000 obligation against litigation costs incurred under that agreement. The estimated balance for future offsets is included under “Other assets, non-current” on our accompanying Consolidated Balance Sheets. We have concluded that the estimated balance of $750,000 as of March 31, 2010 is a fair estimate and realizable against future milestone and royalty payments to NeuroSpheres, and that litigation costs incurred above this amount will be expensed as incurred. Management will reevaluate this estimate on a quarterly basis based on actual costs and other relevant factors.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There have been no material change from the risk factors disclosed in Part I, Item 1A, of our Annual Report on Form 10-K for the fiscal year ended December 31,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3" w:lineRule="exact"/>
        <w:rPr>
          <w:sz w:val="20"/>
          <w:szCs w:val="20"/>
          <w:color w:val="auto"/>
        </w:rPr>
      </w:pPr>
    </w:p>
    <w:p>
      <w:pPr>
        <w:ind w:right="356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Rodney K. B. Young under Section 302 of the Sarbanes-Oxley Act of 2002</w:t>
      </w:r>
    </w:p>
    <w:p>
      <w:pPr>
        <w:spacing w:after="0" w:line="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STEMCELLS, INC.</w:t>
            </w:r>
          </w:p>
        </w:tc>
        <w:tc>
          <w:tcPr>
            <w:tcW w:w="170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(name of Registrant)</w:t>
            </w:r>
          </w:p>
        </w:tc>
        <w:tc>
          <w:tcPr>
            <w:tcW w:w="17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May 3,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Rodney K. B. Young</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Rodney K. B. Young</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spacing w:after="0"/>
              <w:rPr>
                <w:sz w:val="20"/>
                <w:szCs w:val="20"/>
                <w:color w:val="auto"/>
              </w:rPr>
            </w:pPr>
          </w:p>
        </w:tc>
      </w:tr>
      <w:tr>
        <w:trPr>
          <w:trHeight w:val="405"/>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31</w:t>
            </w:r>
          </w:p>
        </w:tc>
        <w:tc>
          <w:tcPr>
            <w:tcW w:w="1700" w:type="dxa"/>
            <w:vAlign w:val="bottom"/>
          </w:tcPr>
          <w:p>
            <w:pPr>
              <w:spacing w:after="0"/>
              <w:rPr>
                <w:sz w:val="24"/>
                <w:szCs w:val="24"/>
                <w:color w:val="auto"/>
              </w:rPr>
            </w:pPr>
          </w:p>
        </w:tc>
      </w:tr>
      <w:tr>
        <w:trPr>
          <w:trHeight w:val="226"/>
        </w:trPr>
        <w:tc>
          <w:tcPr>
            <w:tcW w:w="550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Index</w:t>
      </w:r>
    </w:p>
    <w:p>
      <w:pPr>
        <w:spacing w:after="0" w:line="113" w:lineRule="exact"/>
        <w:rPr>
          <w:sz w:val="20"/>
          <w:szCs w:val="20"/>
          <w:color w:val="auto"/>
        </w:rPr>
      </w:pPr>
    </w:p>
    <w:p>
      <w:pPr>
        <w:ind w:right="356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Rodney K. B. Young under Section 302 of the Sarbanes-Oxley Act of 2002</w:t>
      </w:r>
    </w:p>
    <w:p>
      <w:pPr>
        <w:spacing w:after="0" w:line="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419" w:right="3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Martin McGlynn, certify that:</w:t>
      </w:r>
    </w:p>
    <w:p>
      <w:pPr>
        <w:spacing w:after="0" w:line="117" w:lineRule="exact"/>
        <w:rPr>
          <w:sz w:val="20"/>
          <w:szCs w:val="20"/>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660" w:right="280" w:hanging="314"/>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314"/>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jc w:val="both"/>
        <w:ind w:left="660" w:right="280" w:hanging="314"/>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80" w:firstLine="1"/>
        <w:spacing w:after="0" w:line="264" w:lineRule="auto"/>
        <w:tabs>
          <w:tab w:leader="none" w:pos="116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60" w:firstLine="1"/>
        <w:spacing w:after="0" w:line="264" w:lineRule="auto"/>
        <w:tabs>
          <w:tab w:leader="none" w:pos="117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80" w:firstLine="1"/>
        <w:spacing w:after="0" w:line="342" w:lineRule="auto"/>
        <w:tabs>
          <w:tab w:leader="none" w:pos="1165"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60" w:firstLine="1"/>
        <w:spacing w:after="0" w:line="264" w:lineRule="auto"/>
        <w:tabs>
          <w:tab w:leader="none" w:pos="117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314"/>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20" w:right="820" w:firstLine="1"/>
        <w:spacing w:after="0" w:line="342" w:lineRule="auto"/>
        <w:tabs>
          <w:tab w:leader="none" w:pos="1165"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20" w:right="500" w:firstLine="1"/>
        <w:spacing w:after="0" w:line="277" w:lineRule="auto"/>
        <w:tabs>
          <w:tab w:leader="none" w:pos="117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3,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Rodney K. B. Young, certify that:</w:t>
      </w:r>
    </w:p>
    <w:p>
      <w:pPr>
        <w:spacing w:after="0" w:line="117" w:lineRule="exact"/>
        <w:rPr>
          <w:sz w:val="20"/>
          <w:szCs w:val="20"/>
          <w:color w:val="auto"/>
        </w:rPr>
      </w:pPr>
    </w:p>
    <w:p>
      <w:pPr>
        <w:ind w:left="660" w:hanging="31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660" w:right="280" w:hanging="314"/>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314"/>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jc w:val="both"/>
        <w:ind w:left="660" w:right="280" w:hanging="314"/>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80" w:firstLine="1"/>
        <w:spacing w:after="0" w:line="264" w:lineRule="auto"/>
        <w:tabs>
          <w:tab w:leader="none" w:pos="116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60" w:firstLine="1"/>
        <w:spacing w:after="0" w:line="264" w:lineRule="auto"/>
        <w:tabs>
          <w:tab w:leader="none" w:pos="117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80" w:firstLine="1"/>
        <w:spacing w:after="0" w:line="342" w:lineRule="auto"/>
        <w:tabs>
          <w:tab w:leader="none" w:pos="1165"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60" w:firstLine="1"/>
        <w:spacing w:after="0" w:line="264" w:lineRule="auto"/>
        <w:tabs>
          <w:tab w:leader="none" w:pos="117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314"/>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20" w:right="820" w:firstLine="1"/>
        <w:spacing w:after="0" w:line="342" w:lineRule="auto"/>
        <w:tabs>
          <w:tab w:leader="none" w:pos="1165"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20" w:right="500" w:firstLine="1"/>
        <w:spacing w:after="0" w:line="277" w:lineRule="auto"/>
        <w:tabs>
          <w:tab w:leader="none" w:pos="117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3,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10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StemCells, Inc. (the “Company”) quarterly report on Form 10-Q for the period ending March 31, 2010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3,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StemCells, Inc. (the “Company”) quarterly report on Form 10-Q for the period ending March 31, 2010 as filed with the Securities and Exchange Commission on the date hereof (the “Report”), I, Rodney K. B. Young, Chief Financial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660" w:right="120" w:hanging="314"/>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 signed original of this written statement required by Section 906 has been provided to StemCells, Inc. and will be retained by StemCells, Inc. and furnished to the Securities and Exchange Commission or its staff upon request.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Date: May 3,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lowerRoman"/>
      <w:start w:val="3"/>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lowerRoman"/>
      <w:start w:val="2"/>
    </w:lvl>
  </w:abstractNum>
  <w:abstractNum w:abstractNumId="7">
    <w:nsid w:val="1F16E9E8"/>
    <w:multiLevelType w:val="hybridMultilevel"/>
    <w:lvl w:ilvl="0">
      <w:lvlJc w:val="left"/>
      <w:lvlText w:val="(%1)"/>
      <w:numFmt w:val="lowerRoman"/>
      <w:start w:val="2"/>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2019-12-10T10:31:51Z</dcterms:created>
  <dcterms:modified xsi:type="dcterms:W3CDTF">2019-12-10T10:31:51Z</dcterms:modified>
</cp:coreProperties>
</file>