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333-275634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December 4,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1219200"/>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$39,230,691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The Market Offering Agreement, or sales agreement, with H.C. Wainwright &amp; Co., LLC, or Wainwright, dated June 10, 2021, as amended on July 1, 2024, relating to the sale of shares of our common stock offered by this prospectus supplement and the accompanying prospectus. In accordance with the terms of the sales agreement, we may offer and sell shares of our common stock having an aggregate offering price of up to $39,230,691 from time to time through Wainwright, acting as sales agent, under this prospectus supplement and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On April 8, 2026, the last reported sale price of our common stock on The Nasdaq Capital Market was $2.35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our delivery of a placement notice and subject to the terms and conditions of the sales agreement, Wainwright may sell shares of our common stock, if any, under this prospectus supplement and the accompanying prospectus by any method permitted that is deemed an “at the market offering” as defined in Rule 415 under the Securities Act of 1933, as amended, or the Securities Act, </w:t>
      </w:r>
      <w:r>
        <w:rPr>
          <w:rFonts w:ascii="Times New Roman;Times;Serif" w:hAnsi="Times New Roman;Times;Serif"/>
          <w:b w:val="false"/>
          <w:i w:val="false"/>
          <w:caps w:val="false"/>
          <w:smallCaps w:val="false"/>
          <w:sz w:val="20"/>
          <w:shd w:fill="FFFFFF" w:val="clear"/>
        </w:rPr>
        <w:t>including sales made directly on or through the Nasdaq Capital Market, the existing trading market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w:t>
      </w:r>
      <w:r>
        <w:rPr>
          <w:rFonts w:ascii="Times New Roman;Times;Serif" w:hAnsi="Times New Roman;Times;Serif"/>
          <w:b w:val="false"/>
          <w:i w:val="false"/>
          <w:caps w:val="false"/>
          <w:smallCaps w:val="false"/>
          <w:sz w:val="20"/>
        </w:rPr>
        <w:t>. If we sell shares of common stock to Wainwright, as principal, we will enter into a separate terms agreement with Wainwright, and we will describe the agreement in a separate prospectus supplement or pricing supplement. Wainwright is not required to sell any specific number or dollar amount of securities, but will act as our sales agent using commercially reasonable efforts consistent with its normal trading and sales practices. There is no arrangement for funds to be received in any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Wainwright a commission of 3.0% of the gross proceeds of the sales price per share sold. In connection with the sale of common stock on our behalf pursuant to this prospectus supplement and the accompanying prospectus, Wainwright will be deemed to be an “underwriter” within the meaning of the Securities Act and the compensation of Wainwright will be deemed to be underwriting commissions or discounts. We have also agreed to provide indemnification and contribution to Wainwright against certain civil liabilities, including liabilities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certain risks. See “Risk Factors” beginning on page S-7 of this prospectus supplement and page 6 of the accompanying base prospectus and the risks and uncertainties described in the documents we file with the Securities and Exchange Commission that are incorporated by reference in this prospectus supplement for certain risks and uncertainties relating to an investment in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w:t>
      </w:r>
      <w:r>
        <w:rPr>
          <w:rFonts w:ascii="Times New Roman;Times;Serif" w:hAnsi="Times New Roman;Times;Serif"/>
          <w:b w:val="false"/>
          <w:i w:val="false"/>
          <w:caps w:val="false"/>
          <w:smallCaps w:val="false"/>
          <w:sz w:val="20"/>
        </w:rPr>
        <w:t xml:space="preserve">these </w:t>
      </w:r>
      <w:r>
        <w:rPr>
          <w:rFonts w:ascii="Times New Roman;Times;Serif" w:hAnsi="Times New Roman;Times;Serif"/>
          <w:b/>
          <w:i w:val="false"/>
          <w:caps w:val="false"/>
          <w:smallCaps w:val="false"/>
          <w:sz w:val="20"/>
        </w:rPr>
        <w:t>securities or passed upon the adequacy or accuracy of this prospectus supplement or the accompanying base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H.C. Wainwright &amp; 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April 10,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5765"/>
        <w:gridCol w:w="575"/>
      </w:tblGrid>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6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1">
              <w:r>
                <w:rPr>
                  <w:rStyle w:val="InternetLink"/>
                  <w:rFonts w:ascii="Times New Roman;Times;Serif" w:hAnsi="Times New Roman;Times;Serif"/>
                  <w:b w:val="false"/>
                  <w:i w:val="false"/>
                  <w:caps w:val="false"/>
                  <w:smallCaps w:val="false"/>
                  <w:sz w:val="20"/>
                </w:rPr>
                <w:t>ABOUT THIS PROSPECTUS SUPPLEMENT</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3">
              <w:r>
                <w:rPr>
                  <w:rStyle w:val="InternetLink"/>
                  <w:rFonts w:ascii="Times New Roman;Times;Serif" w:hAnsi="Times New Roman;Times;Serif"/>
                  <w:b w:val="false"/>
                  <w:i w:val="false"/>
                  <w:caps w:val="false"/>
                  <w:smallCaps w:val="false"/>
                  <w:sz w:val="20"/>
                </w:rPr>
                <w:t>PROSPECTUS SUPPLEMENT SUMMARY</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4">
              <w:r>
                <w:rPr>
                  <w:rStyle w:val="InternetLink"/>
                  <w:rFonts w:ascii="Times New Roman;Times;Serif" w:hAnsi="Times New Roman;Times;Serif"/>
                  <w:b w:val="false"/>
                  <w:i w:val="false"/>
                  <w:caps w:val="false"/>
                  <w:smallCaps w:val="false"/>
                  <w:sz w:val="20"/>
                </w:rPr>
                <w:t>THE OFFERING</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5">
              <w:r>
                <w:rPr>
                  <w:rStyle w:val="InternetLink"/>
                  <w:rFonts w:ascii="Times New Roman;Times;Serif" w:hAnsi="Times New Roman;Times;Serif"/>
                  <w:b w:val="false"/>
                  <w:i w:val="false"/>
                  <w:caps w:val="false"/>
                  <w:smallCaps w:val="false"/>
                  <w:sz w:val="20"/>
                </w:rPr>
                <w:t>RISK FACTORS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6">
              <w:r>
                <w:rPr>
                  <w:rStyle w:val="InternetLink"/>
                  <w:rFonts w:ascii="Times New Roman;Times;Serif" w:hAnsi="Times New Roman;Times;Serif"/>
                  <w:b w:val="false"/>
                  <w:i w:val="false"/>
                  <w:caps w:val="false"/>
                  <w:smallCaps w:val="false"/>
                  <w:sz w:val="20"/>
                </w:rPr>
                <w:t>USE OF PROCEEDS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7">
              <w:r>
                <w:rPr>
                  <w:rStyle w:val="InternetLink"/>
                  <w:rFonts w:ascii="Times New Roman;Times;Serif" w:hAnsi="Times New Roman;Times;Serif"/>
                  <w:b w:val="false"/>
                  <w:i w:val="false"/>
                  <w:caps w:val="false"/>
                  <w:smallCaps w:val="false"/>
                  <w:sz w:val="20"/>
                </w:rPr>
                <w:t>DILUTION</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8">
              <w:r>
                <w:rPr>
                  <w:rStyle w:val="InternetLink"/>
                  <w:rFonts w:ascii="Times New Roman;Times;Serif" w:hAnsi="Times New Roman;Times;Serif"/>
                  <w:b w:val="false"/>
                  <w:i w:val="false"/>
                  <w:caps w:val="false"/>
                  <w:smallCaps w:val="false"/>
                  <w:sz w:val="20"/>
                </w:rPr>
                <w:t>PLAN OF DISTRIBUTION</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S-12</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09">
              <w:r>
                <w:rPr>
                  <w:rStyle w:val="InternetLink"/>
                  <w:rFonts w:ascii="Times New Roman;Times;Serif" w:hAnsi="Times New Roman;Times;Serif"/>
                  <w:b w:val="false"/>
                  <w:i w:val="false"/>
                  <w:caps w:val="false"/>
                  <w:smallCaps w:val="false"/>
                  <w:sz w:val="20"/>
                </w:rPr>
                <w:t>LEGAL MATTERS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10">
              <w:r>
                <w:rPr>
                  <w:rStyle w:val="InternetLink"/>
                  <w:rFonts w:ascii="Times New Roman;Times;Serif" w:hAnsi="Times New Roman;Times;Serif"/>
                  <w:b w:val="false"/>
                  <w:i w:val="false"/>
                  <w:caps w:val="false"/>
                  <w:smallCaps w:val="false"/>
                  <w:sz w:val="20"/>
                </w:rPr>
                <w:t>EXPERTS</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11">
              <w:r>
                <w:rPr>
                  <w:rStyle w:val="InternetLink"/>
                  <w:rFonts w:ascii="Times New Roman;Times;Serif" w:hAnsi="Times New Roman;Times;Serif"/>
                  <w:b w:val="false"/>
                  <w:i w:val="false"/>
                  <w:caps w:val="false"/>
                  <w:smallCaps w:val="false"/>
                  <w:sz w:val="20"/>
                </w:rPr>
                <w:t>WHERE YOU CAN FIND ADDITIONAL INFORMATION</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57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pPr>
            <w:hyperlink w:anchor="VK_012">
              <w:r>
                <w:rPr>
                  <w:rStyle w:val="InternetLink"/>
                  <w:rFonts w:ascii="Times New Roman;Times;Serif" w:hAnsi="Times New Roman;Times;Serif"/>
                  <w:b w:val="false"/>
                  <w:i w:val="false"/>
                  <w:caps w:val="false"/>
                  <w:smallCaps w:val="false"/>
                  <w:sz w:val="20"/>
                </w:rPr>
                <w:t>INCORPORATION OF CERTAIN INFORMATION BY REFERENCE</w:t>
              </w:r>
            </w:hyperlink>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245"/>
        <w:gridCol w:w="530"/>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PROSPECTUS SUMMARY</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USE OF PROCEEDS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DESCRIPTION OF COMMON STOCK</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PREFERRED STOCK</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WARRANTS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DEBT SECURITIES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RIGHTS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UNITS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INCORPORATION OF CERTAIN INFORMATION BY REFERENCE</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hanging="0"/>
        <w:jc w:val="center"/>
        <w:rPr>
          <w:caps/>
        </w:rPr>
      </w:pPr>
      <w:r>
        <w:rPr>
          <w:caps/>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VK_001"/>
      <w:bookmarkEnd w:id="2"/>
      <w:r>
        <w:rPr>
          <w:rFonts w:ascii="Times New Roman;Times;Serif" w:hAnsi="Times New Roman;Times;Serif"/>
          <w:b/>
          <w:i w:val="false"/>
          <w:caps/>
          <w:sz w:val="20"/>
        </w:rPr>
        <w:t>ABOUT THIS PROSPECTUS SUPPLEMENT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the offering of our common stock. Before buying any of the common stock that we are offering, you should carefully read the accompanying base prospectus, this prospectus supplement, any supplement to this prospectus supplement, the information and documents incorporated herein by reference and the additional information under the heading “Where You Can Find Additional Information” and “Incorporation of Certain Information by Reference.” These documents contain important information that you should consider when making your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of our common stock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this prospectus supplement and the information incorporated or deemed to be incorporated by reference in this prospectus supplement or in any free writing prospectuses we provide you. We have not, and Wainwright has not, authorized anyone to provide you with information that is in addition to, or different from, that contained or incorporated by reference in this prospectus supplement. If anyone provides you with different or inconsistent information, you should not rely on it. We are not, and Wainwright is not, offering to sell securities in any jurisdiction where the offer or sale is not permitted. You should not assume that the information contained or incorporated by reference in this prospectus supplement is accurate as of any date other than as of the date of this prospectus supplement or in the case of the documents incorporated by reference, the date of such documents regardless of the time of delivery of this prospectus supplement or any sale of our common stock. Our business, financial condition, liquidity,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prospectus supplement, the terms “Microbot,” “we,” “our” and “us” refer to Microbot Medical Inc. and its consolidated subsidiaries, unless otherwise specified.</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VK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any future applications or products; uncertainty as to whether the regulatory authorities other than the FDA will clear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or any other of our proposed products for commercialization and sale or if the FDA will clear our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device for other uses;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any other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and neighboring countries, such as employees of Microbot and its vendors and business partners being called to active military duty; and other risks to which we are subject.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4" w:name="VK_003"/>
      <w:bookmarkEnd w:id="4"/>
      <w:r>
        <w:rPr>
          <w:rFonts w:ascii="Times New Roman;Times;Serif" w:hAnsi="Times New Roman;Times;Serif"/>
          <w:b/>
          <w:i w:val="false"/>
          <w:caps/>
          <w:sz w:val="20"/>
          <w:bdr w:val="single" w:sz="8" w:space="1" w:color="000000"/>
        </w:rPr>
        <w:t>PROSPECTUS SUPPLEMENT SUMMARY</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Microbot is a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Using its LIBERTY</w:t>
      </w:r>
      <w:r>
        <w:rPr>
          <w:rFonts w:ascii="Times New Roman;Times;Serif" w:hAnsi="Times New Roman;Times;Serif"/>
          <w:b w:val="false"/>
          <w:i w:val="false"/>
          <w:caps w:val="false"/>
          <w:smallCaps w:val="false"/>
          <w:position w:val="7"/>
          <w:sz w:val="16"/>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technological platform, Microbot has developed the first-ever fully disposable robot for various endovascular interventional procedures. The LIBERTY</w:t>
      </w:r>
      <w:r>
        <w:rPr>
          <w:rFonts w:ascii="Times New Roman;Times;Serif" w:hAnsi="Times New Roman;Times;Serif"/>
          <w:b w:val="false"/>
          <w:i w:val="false"/>
          <w:caps w:val="false"/>
          <w:smallCaps w:val="false"/>
          <w:position w:val="7"/>
          <w:sz w:val="16"/>
          <w:sz w:val="20"/>
          <w:bdr w:val="single" w:sz="8" w:space="1" w:color="000000"/>
        </w:rPr>
        <w:t>®</w:t>
      </w:r>
      <w:r>
        <w:rPr>
          <w:rFonts w:ascii="Times New Roman;Times;Serif" w:hAnsi="Times New Roman;Times;Serif"/>
          <w:b w:val="false"/>
          <w:i w:val="false"/>
          <w:caps w:val="false"/>
          <w:smallCaps w:val="false"/>
          <w:sz w:val="20"/>
          <w:bdr w:val="single" w:sz="8" w:space="1" w:color="00000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Israel-Hamas War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October 7, 2023, the State of Israel, where Microbot’s research and development and other operations are primarily based, suffered a surprise attack by hostile forces from Gaza, which led to Israeli military operations at first in Gaza and then in Lebanon. Since that time, the hostilities have escalated into a regional armed conflict involving Iran, Israel, and the United States, including direct military operations and retaliatory actions, as well as engagement by Iran-supported groups across multiple fronts. These developments have included military activity in Syria following the collapse of the Assad regime and Israel’s subsequent military operations in Syria, intensified hostilities by and against the Houthis in Yemen, and continued exchanges involving Iranian-aligned forces throughout the region. This regional armed conflict and related hostilities remain ongoing as of the date of this prospectus supplement. Although there have been temporary cease-fires and periods of reduced military activity from time to time, these have been limited in duration and scope and have not resulted in a sustained reduction in regional hostilities or overall security risks.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considered various ongoing risks relating to the military operations and related matters, including: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Microbot’s Israeli subcontractors, vendors, suppliers and other companies on which it relies may not be fully active and operational, as instructed by the relevant authorities or due to security conditions, workforce mobilization, or disruptions arising from expanded regional hostilities;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to international air travel and cargo transportation in and out of Israel, including the suspension or reduction of service by certain commercial airlines, flight cancellations, delays, increased costs, and logistical constraints;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decreasing international regard for Israeli-based companies in certain quarters, including as a result of the Israeli government’s policies in Gaza and the West Bank, the recent conflict with Iran and heightened regional geopolitical tensions;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and actual boycotts of Israel and Israeli-based companies, which may adversely affect Microbot’s ability to do business in certain jurisdictions or with certain industry groups or potential customers, among others.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Microbot is closely monitoring how the military operations and related activities could adversely affect its anticipated milestones and its Israel-based activities to support future clinical and regulatory milestones, including its ability to import materials that are required to construct its devices and to ship them outside of Israel. In addition, Microbot is also monitoring how negative international reaction to the events in Gaza, the West Bank and elsewhere in the Middle East or any further escalation of hostilities involving Iran could create a corresponding negative perception of companies based in Israel, which if broad enough, could negatively impact our business.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of the date of this prospectus supplement, Microbot has determined that there have not been any materially adverse effects on its business or operations as a result of the ongoing regional armed conflict involving Israel, Iran, and the United States. However, the company continues to closely monitor the situation, as the current conflict remains fluid and subject to further escalation or expansion. Any material intensification or broadening of hostilities, including additional direct or indirect actions involving Iran or Iran-supported groups, the collapse of any cease-fire or de-escalation efforts, or other changes in the security environment could result in a material adverse effect on the ability of Microbot’s Israeli office to support its clinical, regulatory, and other operational activities. Microbot currently does not have any specific contingency plans in place in the event of any such escalation or change in circumstances.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Additional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additional information related to our business and operations, please refer to the reports incorporated herein by reference, including our Annual Report on Form 10-K for the year ended December 31, 2025, as described under the caption “</w:t>
      </w:r>
      <w:r>
        <w:rPr>
          <w:rFonts w:ascii="Times New Roman;Times;Serif" w:hAnsi="Times New Roman;Times;Serif"/>
          <w:b w:val="false"/>
          <w:i/>
          <w:caps w:val="false"/>
          <w:smallCaps w:val="false"/>
          <w:sz w:val="20"/>
          <w:bdr w:val="single" w:sz="8" w:space="1" w:color="000000"/>
        </w:rPr>
        <w:t>Incorporation of Certain Information by Reference</w:t>
      </w:r>
      <w:r>
        <w:rPr>
          <w:rFonts w:ascii="Times New Roman;Times;Serif" w:hAnsi="Times New Roman;Times;Serif"/>
          <w:b w:val="false"/>
          <w:i w:val="false"/>
          <w:caps w:val="false"/>
          <w:smallCaps w:val="false"/>
          <w:sz w:val="20"/>
          <w:bdr w:val="single" w:sz="8" w:space="1" w:color="000000"/>
        </w:rPr>
        <w:t>” on page S-14 of this prospectus supplement.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executive offices are located at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 Smaller Reporting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We are a “smaller reporting company” as defined in the Securities Exchange Act of 1934, as amended, or the Exchange Act, and have elected to take advantage of certain of the scaled disclosures available to smaller reporting companies, including certain of the reduced disclosure </w:t>
      </w:r>
      <w:r>
        <w:rPr>
          <w:rFonts w:ascii="Times New Roman;Times;Serif" w:hAnsi="Times New Roman;Times;Serif"/>
          <w:b w:val="false"/>
          <w:i/>
          <w:caps w:val="false"/>
          <w:smallCaps w:val="false"/>
          <w:sz w:val="20"/>
          <w:bdr w:val="single" w:sz="8" w:space="1" w:color="000000"/>
        </w:rPr>
        <w:t>obligations</w:t>
      </w:r>
      <w:r>
        <w:rPr>
          <w:rFonts w:ascii="Times New Roman;Times;Serif" w:hAnsi="Times New Roman;Times;Serif"/>
          <w:b w:val="false"/>
          <w:i w:val="false"/>
          <w:caps w:val="false"/>
          <w:smallCaps w:val="false"/>
          <w:sz w:val="20"/>
          <w:bdr w:val="single" w:sz="8" w:space="1" w:color="000000"/>
        </w:rPr>
        <w:t xml:space="preserve"> in the registration statement of which this prospectus supplement is a part.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sz w:val="20"/>
          <w:bdr w:val="single" w:sz="8" w:space="1" w:color="000000"/>
        </w:rPr>
      </w:pPr>
      <w:bookmarkStart w:id="5" w:name="VK_004"/>
      <w:bookmarkEnd w:id="5"/>
      <w:r>
        <w:rPr>
          <w:rFonts w:ascii="Times New Roman;Times;Serif" w:hAnsi="Times New Roman;Times;Serif"/>
          <w:b/>
          <w:i w:val="false"/>
          <w:caps/>
          <w:sz w:val="20"/>
          <w:bdr w:val="single" w:sz="8" w:space="1" w:color="000000"/>
        </w:rPr>
        <w:t>THE OFFERING</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87"/>
        <w:gridCol w:w="60"/>
        <w:gridCol w:w="8558"/>
      </w:tblGrid>
      <w:tr>
        <w:trPr/>
        <w:tc>
          <w:tcPr>
            <w:tcW w:w="158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having an aggregate offering price of up to $39,230,691.</w:t>
            </w:r>
          </w:p>
        </w:tc>
      </w:tr>
      <w:tr>
        <w:trPr/>
        <w:tc>
          <w:tcPr>
            <w:tcW w:w="15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8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to be outstanding immediately after this offering</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83,851,955 shares (as more fully described in the notes following this table), after giving effect to the assumed sale of 16,693,911 shares of our common stock at an assumed price of $2.35 per share, which was the closing price of our common stock on the Nasdaq Capital Market on April 8, 2026. The actual number of shares issued will vary depending on the price at which shares may be sold from time to time during this offering.</w:t>
            </w:r>
          </w:p>
        </w:tc>
      </w:tr>
      <w:tr>
        <w:trPr/>
        <w:tc>
          <w:tcPr>
            <w:tcW w:w="15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8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offering</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the accompanying prospectus may be made by any method permitted by law deemed to be an “at-the-market” offering as defined in Rule 415 of the Securities Act, including without limitation sales made directly on Nasdaq, on any other existing trading market for the common stock in the United States, and directly to Wainwright as principal. Wainwright is not required to sell any certain number of shares or dollar amount of our common stock, but will act as a sales agent and use commercially reasonable efforts to sell on our behalf all of the shares of common stock requested to be sold by us, consistent with its normal trading and sales practices, subject to the terms of the sales agreement. See “Plan of Distribution” on page S-12.</w:t>
            </w:r>
          </w:p>
        </w:tc>
      </w:tr>
      <w:tr>
        <w:trPr/>
        <w:tc>
          <w:tcPr>
            <w:tcW w:w="15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8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net proceeds from the sales of shares pursuant to this offering will be used for the continued development, commercialization and regulatory activities for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Robotic System, expansion and development of additional applications derived from our existing intellectual property portfolio, potential acquisitions of complementary or ancillary intellectual property, technologies or products, and for working capital and other general corporate purposes. See “Use of Proceeds.”</w:t>
            </w:r>
          </w:p>
        </w:tc>
      </w:tr>
      <w:tr>
        <w:trPr/>
        <w:tc>
          <w:tcPr>
            <w:tcW w:w="15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8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beginning on page S-7 of this prospectus supplement and the other information included in, or incorporated by reference into, this prospectus supplement for a discussion of certain factors you should carefully consider before deciding to invest in shares of our common stock.</w:t>
            </w:r>
          </w:p>
        </w:tc>
      </w:tr>
      <w:tr>
        <w:trPr/>
        <w:tc>
          <w:tcPr>
            <w:tcW w:w="15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8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 symbol</w:t>
            </w:r>
          </w:p>
        </w:tc>
        <w:tc>
          <w:tcPr>
            <w:tcW w:w="60" w:type="dxa"/>
            <w:tcBorders/>
            <w:vAlign w:val="center"/>
          </w:tcPr>
          <w:p>
            <w:pPr>
              <w:pStyle w:val="TableContents"/>
              <w:bidi w:val="0"/>
              <w:spacing w:before="0" w:after="283"/>
              <w:jc w:val="left"/>
              <w:rPr/>
            </w:pPr>
            <w:r>
              <w:rPr/>
              <w:t> </w:t>
            </w:r>
          </w:p>
        </w:tc>
        <w:tc>
          <w:tcPr>
            <w:tcW w:w="8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number of shares of common stock to be outstanding immediately after this offering is based on 67,158,044 shares of our common stock outstanding as of December 31, 2025 and excludes the following securities outstanding on December 31, 2025:</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June 2028,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28,102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71,750 shares of our common stock issuable upon the exercise of outstanding placement agent preferred investment options expiring in January 2027, at an exercise price per share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189,428 shares of our common stock issuable upon the exercise of outstanding placement agent preferred investment options expiring in January 2027, at an exercise price of $2.8375;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outstanding placement agent preferred investment options expiring in July 2030,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109,478 shares of our common stock issuable upon the exercise of outstanding placement agent preferred investment options expiring in June 2027, at an exercise price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10,362 shares of our common stock issuable upon the exercise of outstanding placement agent preferred investment options expiring in March 2028,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31,429 shares of our common stock issuable upon the exercise of outstanding placement agent preferred investment options expiring in March 2028, at an exercise price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138,906 shares of our common stock issuable upon the exercise of outstanding placement agent preferred investment options expiring in March 2028,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422,535 shares of our common stock issuable upon the exercise of outstanding placement agent preferred investment options expiring in March 2028, at an exercise price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 shares of our common stock issuable upon the exercise of outstanding placement agent preferred investment options expiring in March 2028,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53,758 shares of our common stock issuable upon the exercise of outstanding placement agent preferred investment options expiring in March 2031,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146,306 shares of our common stock issuable upon the exercise of outstanding placement agent preferred investment options expiring in September 2027,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368,572 shares of our common stock issuable upon the exercise of outstanding placement agent preferred investment options expiring in September 2027, at an exercise price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143,723 shares of our common stock issuable upon the exercise of outstanding placement agent preferred investment options expiring in September 2027,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187,794 shares of our common stock issuable upon the exercise of outstanding placement agent preferred investment options expiring in September 2027, at an exercise price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66,224 shares of our common stock issuable upon the exercise of outstanding placement agent preferred investment options expiring in April 2028,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12,664,627 shares of our common stock issuable upon the exercise of outstanding series J preferred investment options expiring in March 2028, at an exercise price per share of $4.5;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1,324,488 shares of our common stock issuable upon the exercise of outstanding series J preferred investment options expiring in April 2028, at an exercise price per share of $4.5;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3,105,615 shares of our common stock issuable upon the exercise of outstanding stock options granted to employees, directors and consultants, with exercise prices ranging from approximately $0.005 to $15.75 and having a weighted-average exercise price of $4.18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2,587,548 shares of our common stock reserved for future grant under our 2020 Omnibus Performance Award Plan.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shd w:fill="FFFFFF" w:val="clear"/>
        </w:rPr>
        <w:t>Unless otherwise stated, information in this prospectus supplement assumes no exercise of outstanding options, warrants or preferred investment options,</w:t>
      </w:r>
      <w:r>
        <w:rPr>
          <w:rFonts w:ascii="Times New Roman;Times;Serif" w:hAnsi="Times New Roman;Times;Serif"/>
          <w:b w:val="false"/>
          <w:i w:val="false"/>
          <w:caps w:val="false"/>
          <w:smallCaps w:val="false"/>
          <w:sz w:val="20"/>
          <w:bdr w:val="single" w:sz="8" w:space="1" w:color="000000"/>
        </w:rPr>
        <w:t xml:space="preserve"> or further issuances under the 2017 Equity Incentive Plan or 2020 Omnibus Performance Award Plan, </w:t>
      </w:r>
      <w:r>
        <w:rPr>
          <w:rFonts w:ascii="Times New Roman;Times;Serif" w:hAnsi="Times New Roman;Times;Serif"/>
          <w:b w:val="false"/>
          <w:i w:val="false"/>
          <w:caps w:val="false"/>
          <w:smallCaps w:val="false"/>
          <w:sz w:val="20"/>
          <w:bdr w:val="single" w:sz="8" w:space="1" w:color="000000"/>
          <w:shd w:fill="FFFFFF" w:val="clear"/>
        </w:rPr>
        <w:t xml:space="preserve">subsequent to </w:t>
      </w:r>
      <w:r>
        <w:rPr>
          <w:rFonts w:ascii="Times New Roman;Times;Serif" w:hAnsi="Times New Roman;Times;Serif"/>
          <w:b w:val="false"/>
          <w:i w:val="false"/>
          <w:caps w:val="false"/>
          <w:smallCaps w:val="false"/>
          <w:sz w:val="20"/>
          <w:bdr w:val="single" w:sz="8" w:space="1" w:color="000000"/>
        </w:rPr>
        <w:t>December 31, 2025</w:t>
      </w:r>
      <w:r>
        <w:rPr>
          <w:rFonts w:ascii="Times New Roman;Times;Serif" w:hAnsi="Times New Roman;Times;Serif"/>
          <w:b w:val="false"/>
          <w:i w:val="false"/>
          <w:caps w:val="false"/>
          <w:smallCaps w:val="false"/>
          <w:sz w:val="20"/>
          <w:bdr w:val="single" w:sz="8" w:space="1" w:color="000000"/>
          <w:shd w:fill="FFFFFF" w:val="clear"/>
        </w:rPr>
        <w: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VK_005"/>
      <w:bookmarkEnd w:id="6"/>
      <w:r>
        <w:rPr>
          <w:rFonts w:ascii="Times New Roman;Times;Serif" w:hAnsi="Times New Roman;Times;Serif"/>
          <w:b/>
          <w:i w:val="false"/>
          <w:caps/>
          <w:sz w:val="20"/>
        </w:rPr>
        <w:t>RISK FACTORS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Securities and Exchange Commission, and in other documents incorporated by reference to our filings with the Securities and Exchange Commission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over the use of the net proceeds from this offering, you may not agree with how we use the proceeds, and the proceeds may not be invested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as to the use of the net proceeds from any offering by us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Microbot.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significant number of shares of our common stock in the public markets, or the perception that such sales could occur, could depress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markets could depress the market price of our common stock and impair our ability to raise capital through the sale of additional equity securities. We cannot predict the effect that future sales of our common stock would have on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any cash dividends on our common stock in the foreseeable future and, therefore, any return on your investment in our common stock must come from increases in the fair market value and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time, we intend to use available funds to finance our operations. Accordingly, we have no present intention of paying any cash dividends on our common stock in the foreseeable future. Therefore, any return on your investment in our common stock must come from increases in the fair market value and trading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shares of common stock offered under this prospectus supplement and the accompanying base prospectus may be sold in “at the market” offerings,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under this prospectus supplement and the accompanying base prospectus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sales notice to Wainwright at any time throughout the term of the sales agreement. The number of shares that are sold by Wainwright after we deliver a sales notice will fluctuate based on the market price of the common stock during the sales period and limits we set with Wainwright. Because the price per share of each share sold will fluctuate based on the market price of our common stock during the sales period, it is not possible at this stage to predict the number of shares, if any, that will ultimately be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issue adverse or misleading opinions regarding our common stock, the price of our common stock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the performance of our common stock, or if our operating results fail to meet the expectations of analysts, the price of our common stock would likely decline. If one or more of these analysts cease coverage of us or fail to publish reports on us regularly, we could lose visibility in the financial markets, which in turn could cause the price of our common stock or trading volume to decline.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suffer immediate and substantial dilution in the net tangible book value per share of the common stock that you purchase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sold in this offering, if any, will be sold from time to time at various prices; however, the assumed public offering price of our common stock is substantially higher than the as adjusted net tangible book value per share of our common stock after giving effect to this offering. Therefore, investors purchasing shares of our common stock in this offering will pay a price per share that substantially exceeds the as adjusted net tangible book value per share after this offering. Assuming that an aggregate of 16,693,911 shares of our common stock are sold at an assumed public offering price of $2.35 per share, the last reported sale price of our common stock on The Nasdaq Capital Market on April 8, 2026 and based on our as adjusted net tangible book value as of December 31, 2025, for aggregate gross proceeds of approximately $39,230,691, and after deducting commissions and estimated offering expenses payable by us, new investors in this offering will experience immediate dilution of $0.97 per share, representing the difference between the assumed public offering price and our as adjusted net tangible book value per share after giving effect to this offering. See “Dilution” for a more detailed discussion of the dilution you would incur if you purchase shares of common stock in this offering.</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VK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sell shares of our common stock pursuant to the sales agreement with Wainwright, which may result in aggregate gross proceeds of up to $39,230,691, or approximately $37.8 million in proceeds net of Wainwright’s fee and other offering expenses payable by the Company, assuming the sale of all shares offered hereunder. Because there is no minimum amount of shares of our common stock that must be sold pursuant to our sales agreement with Wainwright, the actual number of shares of our common stock sold and aggregate net proceeds to us are not presently determinable and may be substantially less than the amounts set forth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the continued development, commercialization and regulatory activities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System, expansion and development of additional applications derived from our existing intellectual property portfolio, potential acquisitions of complementary or ancillary intellectual property, technologies or products,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pStyle w:val="TextBody"/>
        <w:bidi w:val="0"/>
        <w:spacing w:before="0" w:after="0"/>
        <w:ind w:left="0" w:right="0" w:firstLine="36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VK_007"/>
      <w:bookmarkEnd w:id="8"/>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shares of common stock, your interest in our common stock will be diluted immediately to the extent of the difference between the public offering price and the as adjusted net tangible book value per share of our common stock after this offering. Net tangible book value on December 31, 2025, was approximately $77.55 million or $1.15 per share. “Net tangible book value” is total assets minus the sum of liabilities and intangible assets. “Net tangible book value per share” is net tangible book value divided by the total number of shares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by us in this offering of 16,693,911 shares of common stock at an assumed public offering price of $2.35 per share (the closing price of our common stock as quoted on The Nasdaq Capital Market on April 8, 2026), and after deducting the estimated commissions and estimated offering expenses that we will pay, our as adjusted net tangible book value as of December 31, 2025 would have been approximately $115.3 million, or $1.38 per share of common stock. This amount represents an immediate increase in net tangible book value of $0.23 per share to existing stockholders and an immediate dilution of $0.97 per share to purchasers in this offering.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90"/>
        <w:gridCol w:w="60"/>
        <w:gridCol w:w="140"/>
        <w:gridCol w:w="440"/>
        <w:gridCol w:w="60"/>
        <w:gridCol w:w="60"/>
        <w:gridCol w:w="140"/>
        <w:gridCol w:w="440"/>
        <w:gridCol w:w="75"/>
      </w:tblGrid>
      <w:tr>
        <w:trPr/>
        <w:tc>
          <w:tcPr>
            <w:tcW w:w="8790" w:type="dxa"/>
            <w:tcBorders/>
            <w:shd w:fill="CCEEFF" w:val="clear"/>
            <w:vAlign w:val="center"/>
          </w:tcPr>
          <w:p>
            <w:pPr>
              <w:pStyle w:val="TableContents"/>
              <w:bidi w:val="0"/>
              <w:spacing w:before="0" w:after="283"/>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2.35</w:t>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left"/>
              <w:rPr/>
            </w:pPr>
            <w:r>
              <w:rPr/>
              <w:t>Historical Net tangible book value per share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left"/>
              <w:rPr/>
            </w:pPr>
            <w:r>
              <w:rPr/>
              <w:t>Increase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790" w:type="dxa"/>
            <w:tcBorders/>
            <w:shd w:fill="FFFFFF" w:val="clear"/>
            <w:vAlign w:val="center"/>
          </w:tcPr>
          <w:p>
            <w:pPr>
              <w:pStyle w:val="TableContents"/>
              <w:bidi w:val="0"/>
              <w:spacing w:before="0" w:after="283"/>
              <w:jc w:val="left"/>
              <w:rPr/>
            </w:pPr>
            <w:r>
              <w:rPr/>
              <w:t>As adjusted net tangible book value per share as of December 31, 2025 after giving effect to the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left"/>
              <w:rPr/>
            </w:pPr>
            <w:r>
              <w:rPr/>
              <w:t>Dilution per share to new investors in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r>
              <w:rPr/>
              <w:t>0.97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table are based on 67,158,044 actual and 83,851,955 as adjusted shares of our common stock outstanding as of December 31, 2025 and exclude the following as of that date: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June 2028,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28,102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71,750 shares of our common stock issuable upon the exercise of outstanding placement agent preferred investment options expiring in January 2027, at an exercise price per share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189,428 shares of our common stock issuable upon the exercise of outstanding placement agent preferred investment options expiring in January 2027, at an exercise price of $2.8375;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outstanding placement agent preferred investment options expiring in July 2030,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109,478 shares of our common stock issuable upon the exercise of outstanding placement agent preferred investment options expiring in June 2027, at an exercise price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10,362 shares of our common stock issuable upon the exercise of outstanding placement agent preferred investment options expiring in March 2028,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31,429 shares of our common stock issuable upon the exercise of outstanding placement agent preferred investment options expiring in March 2028, at an exercise price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138,906 shares of our common stock issuable upon the exercise of outstanding placement agent preferred investment options expiring in March 2028,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422,535 shares of our common stock issuable upon the exercise of outstanding placement agent preferred investment options expiring in March 2028, at an exercise price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 shares of our common stock issuable upon the exercise of outstanding placement agent preferred investment options expiring in March 2028, at an exercise price of $2.625;</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53,758 shares of our common stock issuable upon the exercise of outstanding placement agent preferred investment options expiring in March 2031,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146,306 shares of our common stock issuable upon the exercise of outstanding placement agent preferred investment options expiring in September 2027, at an exercise price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368,572 shares of our common stock issuable upon the exercise of outstanding placement agent preferred investment options expiring in September 2027, at an exercise price of $2.1875;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143,723 shares of our common stock issuable upon the exercise of outstanding placement agent preferred investment options expiring in September 2027,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187,794 shares of our common stock issuable upon the exercise of outstanding placement agent preferred investment options expiring in September 2027, at an exercise price of $2.6625;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66,224 shares of our common stock issuable upon the exercise of outstanding placement agent preferred investment options expiring in April 2028, at an exercise price of $2.625;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12,664,627 shares of our common stock issuable upon the exercise of outstanding series J preferred investment options expiring in March 2028, at an exercise price per share of $4.5;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1,324,488 shares of our common stock issuable upon the exercise of outstanding series J preferred investment options expiring in April 2028, at an exercise price per share of $4.5;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3,105,615 shares of our common stock issuable upon the exercise of outstanding stock options granted to employees, directors and consultants, with exercise prices ranging from approximately $0.005 to $15.75 and having a weighted-average exercise price of $4.18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2,587,548 shares of our common stock reserved for future grant under our 2020 Omnibus Performance Award Plan.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table does not give effect to the exercise of any of the outstanding options, the exercise of outstanding warrants, the exercise of any preferred investment options, or further issuances under the 2017 Equity Incentive Plan or 2020 Omnibus Performance Award Plan. </w:t>
      </w:r>
      <w:r>
        <w:rPr>
          <w:rFonts w:ascii="Times New Roman;Times;Serif" w:hAnsi="Times New Roman;Times;Serif"/>
          <w:b w:val="false"/>
          <w:i w:val="false"/>
          <w:caps w:val="false"/>
          <w:smallCaps w:val="false"/>
          <w:sz w:val="20"/>
          <w:shd w:fill="FFFFFF" w:val="clear"/>
        </w:rPr>
        <w:t xml:space="preserve">To the extent that any of the foregoing has occurred, or will or has occur, subsequent to </w:t>
      </w:r>
      <w:r>
        <w:rPr>
          <w:rFonts w:ascii="Times New Roman;Times;Serif" w:hAnsi="Times New Roman;Times;Serif"/>
          <w:b w:val="false"/>
          <w:i w:val="false"/>
          <w:caps w:val="false"/>
          <w:smallCaps w:val="false"/>
          <w:sz w:val="20"/>
        </w:rPr>
        <w:t>December 31, 2025</w:t>
      </w:r>
      <w:r>
        <w:rPr>
          <w:rFonts w:ascii="Times New Roman;Times;Serif" w:hAnsi="Times New Roman;Times;Serif"/>
          <w:b w:val="false"/>
          <w:i w:val="false"/>
          <w:caps w:val="false"/>
          <w:smallCaps w:val="false"/>
          <w:sz w:val="20"/>
          <w:shd w:fill="FFFFFF" w:val="clear"/>
        </w:rPr>
        <w:t>, there will be further dilution to new investors.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VK_008"/>
      <w:bookmarkEnd w:id="9"/>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our sales agreement, as amended, with Wainwright, we may sell an aggregate of up to $39,230,691 of shares of our common stock from time to time through Wainwright as our agent for the offer and sale of the common stock pursuant to this prospectus supplement and the accompanying prospectus. The actual dollar amount and number of shares of common stock we sell pursuant to the sales agreement will be dependent on, among other things, market conditions and our capital requirements. Wainwright may sell the common stock by any method deemed to be an “at the market offering” as defined in Rule 415 of the Securities Act, </w:t>
      </w:r>
      <w:r>
        <w:rPr>
          <w:rFonts w:ascii="Times New Roman;Times;Serif" w:hAnsi="Times New Roman;Times;Serif"/>
          <w:b w:val="false"/>
          <w:i w:val="false"/>
          <w:caps w:val="false"/>
          <w:smallCaps w:val="false"/>
          <w:sz w:val="20"/>
          <w:shd w:fill="FFFFFF" w:val="clear"/>
        </w:rPr>
        <w:t>including sales made directly on or through the Nasdaq Capital Market, the existing trading market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w:t>
      </w:r>
      <w:r>
        <w:rPr>
          <w:rFonts w:ascii="Times New Roman;Times;Serif" w:hAnsi="Times New Roman;Times;Serif"/>
          <w:b w:val="false"/>
          <w:i w:val="false"/>
          <w:caps w:val="false"/>
          <w:smallCaps w:val="false"/>
          <w:sz w:val="20"/>
        </w:rPr>
        <w:t>. If we sell shares of common stock to Wainwright, as principal, we will enter into a separate terms agreement with Wainwright, and we will describe the agreement in a separate prospectus supplement or pricing supplement. We may instruct Wainwright not to sell our common stock if the sales cannot be effected at or above the price designated by us from time to time. We or Wainwright may suspend the offering of our common stock upon notice and subject to other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wish to sell common stock under the sales agreement, we will provide Wainwright with a placement notice describing the number of shares to be issued, the time period during which sales are requested to be made, any limitation on the number of shares that may be sold in any one day, any minimum price below which sales may not be made and other sales parameters as we deem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 placement notice from us, and subject to the terms and conditions of the sales agreement, Wainwright has agreed to use its commercially reasonable efforts consistent with its normal trading and sales practices to sell such shares up to the amount specified. The settlement between us and Wainwright of each sale will occur on the first trading day following the date on which the sale was made (or such shorter settlement cycle that is in effect under Exchange Act Rule 15c6-1 from time to time) or on such other date that is agreed upon by us and Wainwright in connection with a particular transaction. The obligation of Wainwright under the sales agreement to sell our common stock pursuant to a placement notice is subject to a number of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pay Wainwright commissions for its services in acting as agent in the sale of our common stock. Wainwright will be entitled to compensation at a commission rate of 3.0% of the gross proceeds of the sales price per share sold. In addition, we have agreed to reimburse Wainwright for fees and disbursements of its legal counsel in an amount not to exceed $50,000, which fee was previously paid, </w:t>
      </w:r>
      <w:r>
        <w:rPr>
          <w:rFonts w:ascii="Times New Roman;Times;Serif" w:hAnsi="Times New Roman;Times;Serif"/>
          <w:b w:val="false"/>
          <w:i w:val="false"/>
          <w:caps w:val="false"/>
          <w:smallCaps w:val="false"/>
          <w:sz w:val="20"/>
          <w:shd w:fill="FFFFFF" w:val="clear"/>
        </w:rPr>
        <w:t>in addition to up to $2,500 per due diligence update session for Wainwright’s counsel’s fees and up to $50,000 for due diligence expenses in connection with this prospectus supplement.</w:t>
      </w:r>
      <w:r>
        <w:rPr>
          <w:rFonts w:ascii="Times New Roman;Times;Serif" w:hAnsi="Times New Roman;Times;Serif"/>
          <w:b w:val="false"/>
          <w:i w:val="false"/>
          <w:caps w:val="false"/>
          <w:smallCaps w:val="false"/>
          <w:sz w:val="20"/>
        </w:rPr>
        <w:t xml:space="preserve"> Assuming the sale of all of the shares in the offering, we estimate that the total expenses for the offering, excluding compensation and reimbursements payable to Wainwright under the terms of the sales agreement, will be approximately $250,000.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on our behalf pursuant to this prospectus supplement and the accompanying prospectus, Wainwright will be deemed to be an “underwriter” within the meaning of the Securities Act and the compensation paid to Wainwright will be deemed to be underwriting commissions or discounts. We have agreed to provide indemnification and contribution to Wainwright against certain civil liabilities, including liabilities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the extent required by Regulation M, Wainwright will not engage in any market making activities involving our shares of common stock while the offering is ongoing under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will report at least quarterly the number of shares of our common stock sold through Wainwright, as our agent, in this offering and, to the extent applicable, the number of shares of our common stock issued upon settlement of any placement notice, and the net proceeds to us in connection with such sales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common stock pursuant to the sales agreement will terminate on the earlier of (i) the sale of all of our common stock pursuant to this prospectus supplement, or (ii) termination of the sales agreement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Wainwright and its affiliates have and may provide in the future various advisory, investment and commercial banking and other services to us and our affiliates in the ordinary course of business, for which they have received and may continue to receive customary fees and commissions. In addition, in the ordinary course of its various business activities, Wainwright and its affiliates may make or hold a broad array of investments and actively trade debt and equity securities (or related derivative securities) and financial instruments (which may include bank loans) for their own account and for the accounts of their customers. Such investments and securities activities may involve securities and/or instruments of ours or our affiliates. Wainwright or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Except as disclosed in this prospectus supplement, we have no present arrangements with the placement agent for any further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original sales agreement is included as an exhibit to our Current Report on Form 8-K filed with the SEC on June 10, 2021. A copy of the first amendment to the original sales agreement is included as an exhibit to our Current Report on Form 8-K filed with the SEC on July 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in electronic format may be made available on a website maintained by Wainwright and Wainwright may distribute this prospectus electronically.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common stock is listed on the Nasdaq Capital Market under the symbol “MBOT.”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VK_009"/>
      <w:bookmarkEnd w:id="10"/>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shares of common stock offered by this prospectus supplement have been passed upon for us by Mintz, Levin, Cohn, Ferris, Glovsky and Popeo, P.C., Boston, Massachusetts. Wainwright is being represented in connection with this offering by Ellenoff Grossman &amp; Schole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VK_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2025 and 2024, and for each of the two years in the period ended December 31, 2025, incorporated by reference in this prospectus supplement, have been audited by Brightman Almagor Zohar &amp; Co., a Firm in the Deloitte Global Network, an independent registered public accounting firm, as stated in their reports. Such consolidated financial statements are incorporated by reference in reliance upon the reports of such firm given their authority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2" w:name="VK_011"/>
      <w:bookmarkEnd w:id="12"/>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Securities and Exchange Commission a registration statement on Form S-3 under the Securities Act, and the rules and regulations promulgated under the Securities Act, with respect to the securities offered under this prospectus supplement. This prospectus supplement, which constitutes a part of the registration statement, does not contain all of the information contained in the registration statement and the exhibits and schedules to the registration statement. Many of the contracts and documents described in this prospectus supplement are filed as exhibits to the registration statements and you may review the full text of these contracts and documents by referring to these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with respect to us and the securities offered under this prospectus supplement, reference is made to the registration statement and its exhibits and schedules. We file reports, including annual reports on Form 10-K, quarterly reports on Form 10-Q and current reports on Form 8-K with the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and Exchange Commission maintains an Internet web site that contains reports, proxy and information statements and other information regarding issuers, including Microbot, that file electronically with the Securities and Exchange Commission. The Securities and Exchange Commission’s Internet website address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website at www.microbotmedical.com, through which you can access our SEC filings. The information set forth on our website is not part of this prospectus supplement or the accompanying prospectus.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3" w:name="VK_012"/>
      <w:bookmarkEnd w:id="13"/>
      <w:r>
        <w:rPr>
          <w:rFonts w:ascii="Times New Roman;Times;Serif" w:hAnsi="Times New Roman;Times;Serif"/>
          <w:b/>
          <w:i w:val="false"/>
          <w:caps/>
          <w:sz w:val="20"/>
        </w:rPr>
        <w:t>INCORPORATION OF CERTAIN INFORMATION BY REFERENCE</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allows us to “incorporate by reference” the information we file with the Securities and Exchange Commission. This means that we can disclose important information to you by referring you to another filed document. Any information referred to in this way is considered part of this prospectus supplement from the date we file that document. Any reports filed by us with the Securities and Exchange Commission after the date of this prospectus supplement and before the date that the offering of the securities by means of this prospectus supplement is terminated will automatically update and, where applicable, supersede any information contained in this prospectus supplement or incorporated by reference in this prospectus supplement. Accordingly, we incorporate by reference the following documents or information filed with the Securities and Exchange Commission: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March 26,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(except for the information furnished under Items 2.02 or 7.01 and the exhibits furnished thereto) on </w:t>
            </w:r>
            <w:hyperlink r:id="rId4">
              <w:r>
                <w:rPr>
                  <w:rStyle w:val="InternetLink"/>
                  <w:rFonts w:ascii="Times New Roman;Times;Serif" w:hAnsi="Times New Roman;Times;Serif"/>
                  <w:b w:val="false"/>
                  <w:i w:val="false"/>
                  <w:caps w:val="false"/>
                  <w:smallCaps w:val="false"/>
                  <w:sz w:val="20"/>
                </w:rPr>
                <w:t>January 12,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April 10,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filed August 3, 1998, under the Exchange Act, including any amendment or report filed for the purpose of updating such description.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175 Derby St., Bld. 27, Hingham, MA 02043. You may also telephone us at (781) 875-3605.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24175" cy="1466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2924175" cy="1466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to you, through agents designated from time to time or to or through underwriters or dealers. For additional information on the methods of sale, you should refer to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deciding whether to invest in our securities, you should consider carefully the risks that we have described on page 6 of this prospectus under the caption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We may include specific risk factors in supplements to this prospectus under the caption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This prospectus may not be used to sell our securities unless accompanied by a prospectus supplement.</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5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December 4,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PROSPECTUS SUMMARY</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RISK FACTORS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USE OF PROCEEDS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DESCRIPTION OF COMMON STOCK</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DESCRIPTION OF PREFERRED STOCK</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6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DESCRIPTION OF WARRANTS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DESCRIPTION OF DEBT SECURITIES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6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DESCRIPTION OF RIGHTS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DESCRIPTION OF UNITS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LEGAL MATTERS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i w:val="false"/>
                  <w:caps w:val="false"/>
                  <w:smallCaps w:val="false"/>
                  <w:sz w:val="20"/>
                </w:rPr>
                <w:t>EXPERTS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Core-Business Focus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2023, the Board of Directors of the Company authorized, and the Company commenced, a core-business focus program while the Company seeks to raise additional capital to continue development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Reduction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First-In-Human Clinical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considered various ongoing risks relating to the military operation and related matters, including: </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some of the Company’s Israeli subcontractors, vendors, suppliers and other companies in which the Company relies, are currently only partially active, as instructed by the relevant authorities; and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slowdown in the number of international flights in and out of Israel.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LIBERTY</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LIBERTY’s addressable markets are the Interventional Cardiology, Interventional Radiology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and only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Can be made compatible with Microbot’s NitiLoop’s NovaCross products or possibly other guidewire/microcatheter technologies, that combines guidewire and microcatheter into a single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rotational and tip control of its guidewire, as well as linear motion for an additional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the need for heavy lead vests otherwise to be worn during procedures, as well as reducing the exposure to Hospital Acquired Infections (HAI).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LIBERTY’s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supporting tele-catheterization, carried out remotely by highly trained specialists.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we achieved design freeze of the LIBERTY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NovaCross</w:t>
      </w:r>
      <w:r>
        <w:rPr>
          <w:rFonts w:ascii="Times New Roman;Times;Serif" w:hAnsi="Times New Roman;Times;Serif"/>
          <w:b/>
          <w:i w:val="false"/>
          <w:caps w:val="false"/>
          <w:smallCaps w:val="false"/>
          <w:position w:val="7"/>
          <w:sz w:val="16"/>
          <w:sz w:val="20"/>
        </w:rPr>
        <w:t>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Technologies and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related to our business and operations, please refer to the reports incorporated herein by reference, including our Annual Report on Form 10-K for the year ended December 31, 2022 and our Quarterly Reports on Form 10-Q for the three months ended March 31, 2023, June 30, 2023 and September 30, 2023, as described under the caption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xml:space="preserve">” on page </w:t>
      </w: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xml:space="preserve">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Offerings Under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70"/>
        <w:gridCol w:w="47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designation or classification;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or aggregate offering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if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rates and times of payment of interest or dividends,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or conversion terms,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or other rights,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7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or exercise prices, if any.</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those agents or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fees, discounts and commissions to be paid to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over-allotment options,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A SALE OF ANY SECURITIES UNLESS IT IS ACCOMPANIED BY A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02"/>
      <w:bookmarkEnd w:id="1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a_004"/>
      <w:bookmarkEnd w:id="1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the prevailing market prices;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firstLine="27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by an institution of the securities covered under that contract shall not at the time of delivery be prohibited under the laws of the jurisdiction to which that institution is subject;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w:t>
      </w:r>
      <w:r>
        <w:rPr>
          <w:rFonts w:ascii="Times New Roman;Times;Serif" w:hAnsi="Times New Roman;Times;Serif"/>
          <w:b w:val="false"/>
          <w:i w:val="false"/>
          <w:caps w:val="false"/>
          <w:smallCaps w:val="false"/>
          <w:sz w:val="20"/>
          <w:shd w:fill="FFFFFF" w:val="clear"/>
        </w:rPr>
        <w:t>copies of which are on file with the SEC as exhibits to previous SEC filings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Please refer to “</w:t>
      </w:r>
      <w:r>
        <w:rPr>
          <w:rFonts w:ascii="Times New Roman;Times;Serif" w:hAnsi="Times New Roman;Times;Serif"/>
          <w:b w:val="false"/>
          <w:i/>
          <w:caps w:val="false"/>
          <w:smallCaps w:val="false"/>
          <w:sz w:val="20"/>
          <w:shd w:fill="FFFFFF" w:val="clear"/>
        </w:rPr>
        <w:t>Where You Can Find More Information</w:t>
      </w:r>
      <w:r>
        <w:rPr>
          <w:rFonts w:ascii="Times New Roman;Times;Serif" w:hAnsi="Times New Roman;Times;Serif"/>
          <w:b w:val="false"/>
          <w:i w:val="false"/>
          <w:caps w:val="false"/>
          <w:smallCaps w:val="false"/>
          <w:sz w:val="20"/>
          <w:shd w:fill="FFFFFF" w:val="clear"/>
        </w:rPr>
        <w:t xml:space="preserve">” below for directions on obtaining these documents. </w:t>
      </w:r>
      <w:r>
        <w:rPr>
          <w:rFonts w:ascii="Times New Roman;Times;Serif" w:hAnsi="Times New Roman;Times;Serif"/>
          <w:b w:val="false"/>
          <w:i w:val="false"/>
          <w:caps w:val="false"/>
          <w:smallCaps w:val="false"/>
          <w:sz w:val="20"/>
        </w:rPr>
        <w:t>The summary below is also qualified by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for quotation on the Nasdaq Capital Market under the symbol “MBOT.”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DESCRIPTION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authority to issue 1,000,000 shares of preferred stock, par value $0.01 per share. As of the date of this prospectus, no shares of our preferred stock were outstanding or designated.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summary of certain provisions of our preferred stock does not purport to be complete. You should refer to our certificate of incorporation and by-laws, as amended to date, </w:t>
      </w:r>
      <w:r>
        <w:rPr>
          <w:rFonts w:ascii="Times New Roman;Times;Serif" w:hAnsi="Times New Roman;Times;Serif"/>
          <w:b w:val="false"/>
          <w:i w:val="false"/>
          <w:caps w:val="false"/>
          <w:smallCaps w:val="false"/>
          <w:sz w:val="20"/>
          <w:shd w:fill="FFFFFF" w:val="clear"/>
        </w:rPr>
        <w:t>copies of which are on file with the SEC as exhibits to previous SEC filings. Please refer to “</w:t>
      </w:r>
      <w:r>
        <w:rPr>
          <w:rFonts w:ascii="Times New Roman;Times;Serif" w:hAnsi="Times New Roman;Times;Serif"/>
          <w:b w:val="false"/>
          <w:i/>
          <w:caps w:val="false"/>
          <w:smallCaps w:val="false"/>
          <w:sz w:val="20"/>
          <w:shd w:fill="FFFFFF" w:val="clear"/>
        </w:rPr>
        <w:t>Where You Can Find More Information</w:t>
      </w:r>
      <w:r>
        <w:rPr>
          <w:rFonts w:ascii="Times New Roman;Times;Serif" w:hAnsi="Times New Roman;Times;Serif"/>
          <w:b w:val="false"/>
          <w:i w:val="false"/>
          <w:caps w:val="false"/>
          <w:smallCaps w:val="false"/>
          <w:sz w:val="20"/>
          <w:shd w:fill="FFFFFF" w:val="clear"/>
        </w:rPr>
        <w:t>” below for directions on obtaining these documents.</w:t>
      </w:r>
      <w:r>
        <w:rPr>
          <w:rFonts w:ascii="Times New Roman;Times;Serif" w:hAnsi="Times New Roman;Times;Serif"/>
          <w:b w:val="false"/>
          <w:i w:val="false"/>
          <w:caps w:val="false"/>
          <w:smallCaps w:val="false"/>
          <w:sz w:val="20"/>
        </w:rPr>
        <w:t xml:space="preserve"> The summary below is also qualified by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stated value;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offered, the liquidation preference per share and the purchase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rate(s), period(s) and/or payment date(s), or method(s) of calculation for such dividends;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dividends will be cumulative or non-cumulative and, if cumulative, the date from which dividends will accumulate;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any auction and remarketing,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a sinking fund,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for redemption, if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listing of the preferred stock on any securities exchange or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convertible into our common stock, and, if applicable, the conversion price (or how it will be calculated) and conversion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stock will be exchangeable into debt securities, and, if applicable, the exchange price (or how it will be calculated) and exchange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if any, of the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and/or special U.S. federal income tax considerations applicable to the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ranking and preferences of the preferred stock as to dividend rights and rights upon liquidation, dissolution or winding up of the affairs of the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limitations on issuance of any class or series of preferred stock ranking senior to or on a parity with the series of preferred stock as to dividend rights and rights upon liquidation, dissolution or winding up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offered by this prospectus will, when issued, be fully paid and nonassessable and will not have, or be subject to, any preemptive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series or class of preferred stock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designation and aggregate number of, and the price at which we will issue,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amount and terms of the securities purchasable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exercise price for shares of our common stock and the number of shares of common stock to be received upon exercise of the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exercise price for shares of our preferred stock, the number of shares of preferred stock to be received upon exercise, and a description of that series of our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exercise price for our debt securities, the amount of debt securities to be received upon exercise, and a description of that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material U.S. federal income tax consequences;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the warrant agent for the warrants and of any other depositaries, execution or paying agents, transfer agents, registrars or other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listing, if any, of the warrants or any securities purchasable upon exercise of the warrants on any securities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from and after which the warrants and the common stock, preferred stock and/or debt securities will be separately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the warrants that may be exercised at any one time;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anti-dilution provisions of the warrants,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or call provisions;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warrants are to be sold separately or with other securities as parts of units;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warrants, including terms, procedures and limitations relating to the exchange and exercise of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29, 2023,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June 2028,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350,878 shares of our common stock issuable upon the exercise of outstanding series C preferred investment options expiring in December 2028, at an exercise price per share of $2.075;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312,309 shares of our common stock issuable upon the exercise of outstanding series D preferred investment options expiring in December 2028, at an exercise price per share of $3.19;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will be set forth in the applicable prospectus supplement.</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09"/>
      <w:bookmarkEnd w:id="22"/>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or designation;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and any limit on the amount that may be issued;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issue the series of debt securities in global form, the terms of any global securities and who the depositary will be;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the date or dates on which principal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subordination of any series of subordinated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payments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after which, and the price at which, we may, at our option, redeem the series of debt securities pursuant to any optional redemption provisions;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which, and the price at which we are obligated, pursuant to any mandatory sinking fund provisions or otherwise, to redeem, or at the holder’s option to purchase, the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restrict our ability to pay dividends, or will require us to maintain any asset ratios or reserves;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be restricted from incurring any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on any material or special U.S. federal income tax considerations applicable to a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 No Protection in Event of a Change of Control or Highly Leveraged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
        <w:gridCol w:w="170"/>
        <w:gridCol w:w="9900"/>
      </w:tblGrid>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interest when due and our failure continues for 90 days and the time for payment has not been extended or deferred;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or premium, if any, when due and the time for payment has not been extended or delayed;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 as to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previously has given written notice to the debenture trustee of a continuing event of default with respect to that series;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fix any ambiguity, defect or inconsistency in the indenture;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anything that does not materially adversely affect the interests of any holder of debt securities of any series issued pursuant to such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the series of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any premium payable upon the redemption of any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of discount securities payable upon acceleration of maturity;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the principal of or premium or interest on any debt security payable in currency other than that stated in the debt security;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or exchange of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trustee;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Debenture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a_010"/>
      <w:bookmarkEnd w:id="23"/>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a prospectus supplement the following terms of the rights being issued: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stockholders entitled to the rights distribution;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preferred stock or other securities purchasable upon exercise of the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rights are transferrable and the date, if any, on and after which the rights may be separately transferred;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 to exercise the rights will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by which holders of rights will be entitled to exercise;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the completion of the offering,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withdrawal, termination and cancellation rights,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there are any backstop or standby purchaser or purchasers and the terms of their commitment,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stockholders are entitled to oversubscription rights,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material U.S. federal income tax considerations;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rights, including terms, procedures and limitations relating to the distribution, exchange and exercise of the rights, as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rights we offer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a_011"/>
      <w:bookmarkEnd w:id="24"/>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of the governing unit agreement that differ from those described below;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set forth in any prospectus supplement or as described under “</w:t>
      </w:r>
      <w:r>
        <w:rPr>
          <w:rFonts w:ascii="Times New Roman;Times;Serif" w:hAnsi="Times New Roman;Times;Serif"/>
          <w:b w:val="false"/>
          <w:i/>
          <w:caps w:val="false"/>
          <w:smallCaps w:val="false"/>
          <w:sz w:val="20"/>
        </w:rPr>
        <w:t>Description of Common Stock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Preferred Stock</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Debt Securities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Rights</w:t>
      </w:r>
      <w:r>
        <w:rPr>
          <w:rFonts w:ascii="Times New Roman;Times;Serif" w:hAnsi="Times New Roman;Times;Serif"/>
          <w:b w:val="false"/>
          <w:i w:val="false"/>
          <w:caps w:val="false"/>
          <w:smallCaps w:val="false"/>
          <w:sz w:val="20"/>
        </w:rPr>
        <w:t>” will apply to each unit, as applicable, and to any common stock, preferred stock, debt security, warrant or right included in each unit,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w:t>
        <w:br/>
        <w:t>INCORPORATION AND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firstLine="72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35"/>
        <w:gridCol w:w="170"/>
        <w:gridCol w:w="9110"/>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 w:name="a_012"/>
      <w:bookmarkEnd w:id="2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will be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a_013"/>
      <w:bookmarkEnd w:id="2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4"/>
      <w:bookmarkEnd w:id="2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a_015"/>
      <w:bookmarkEnd w:id="28"/>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2022 filed with the SEC on </w:t>
            </w:r>
            <w:hyperlink r:id="rId8">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March 31, 2023, June 30, 2023 and September 30, 2023 that we filed with the SEC on </w:t>
            </w:r>
            <w:hyperlink r:id="rId9">
              <w:r>
                <w:rPr>
                  <w:rStyle w:val="InternetLink"/>
                  <w:rFonts w:ascii="Times New Roman;Times;Serif" w:hAnsi="Times New Roman;Times;Serif"/>
                  <w:b w:val="false"/>
                  <w:i w:val="false"/>
                  <w:caps w:val="false"/>
                  <w:smallCaps w:val="false"/>
                  <w:sz w:val="20"/>
                </w:rPr>
                <w:t>May 17, 2023</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August 14, 2023</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November 14,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12">
              <w:r>
                <w:rPr>
                  <w:rStyle w:val="InternetLink"/>
                  <w:rFonts w:ascii="Times New Roman;Times;Serif" w:hAnsi="Times New Roman;Times;Serif"/>
                  <w:b w:val="false"/>
                  <w:i w:val="false"/>
                  <w:caps w:val="false"/>
                  <w:smallCaps w:val="false"/>
                  <w:sz w:val="20"/>
                </w:rPr>
                <w:t>January 23, 2023</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May 18, 2023</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May 22, 2023</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May 23, 2023</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24, 2023</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May 25, 2023</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May 31, 2023</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June 2, 2023</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June 6, 2023</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16, 2023</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June 22, 2023</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June 29, 2023</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September 5, 2023</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October 17, 2023</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October 19, 2023</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October 24, 2023</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October 31, 2023</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November 6, 2023</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November 8, 2023,</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November 13, 2023</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November 14, 2023</w:t>
              </w:r>
            </w:hyperlink>
            <w:r>
              <w:rPr>
                <w:rFonts w:ascii="Times New Roman;Times;Serif" w:hAnsi="Times New Roman;Times;Serif"/>
                <w:b w:val="false"/>
                <w:i w:val="false"/>
                <w:caps w:val="false"/>
                <w:smallCaps w:val="false"/>
                <w:sz w:val="20"/>
              </w:rPr>
              <w:t xml:space="preserve"> and </w:t>
            </w:r>
            <w:hyperlink r:id="rId33">
              <w:r>
                <w:rPr>
                  <w:rStyle w:val="InternetLink"/>
                  <w:rFonts w:ascii="Times New Roman;Times;Serif" w:hAnsi="Times New Roman;Times;Serif"/>
                  <w:b w:val="false"/>
                  <w:i w:val="false"/>
                  <w:caps w:val="false"/>
                  <w:smallCaps w:val="false"/>
                  <w:sz w:val="20"/>
                </w:rPr>
                <w:t>November 21, 2023</w:t>
              </w:r>
            </w:hyperlink>
            <w:r>
              <w:rPr>
                <w:rFonts w:ascii="Times New Roman;Times;Serif" w:hAnsi="Times New Roman;Times;Serif"/>
                <w:b w:val="false"/>
                <w:i w:val="false"/>
                <w:caps w:val="false"/>
                <w:smallCaps w:val="false"/>
                <w:sz w:val="20"/>
              </w:rPr>
              <w:t xml:space="preserve"> (except in each case for information contained therein which is furnished rather than filed);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on </w:t>
            </w:r>
            <w:hyperlink r:id="rId34">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SEC on September 19, 2023 (but only with respect to information required by Part III of our Annual Report on </w:t>
            </w:r>
            <w:hyperlink r:id="rId3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2022, which information shall update and supersede information included in Part III of our Annual Report on Form 10-K for the fiscal year ended December 31, 2022);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August 3, 1998, under the Exchange Act, including any amendment or report filed for the purpose of updating such description;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after the date of this prospectus and prior to the termination of this offering.</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$39,230,691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3333750" cy="1219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6"/>
                    <a:stretch>
                      <a:fillRect/>
                    </a:stretch>
                  </pic:blipFill>
                  <pic:spPr bwMode="auto">
                    <a:xfrm>
                      <a:off x="0" y="0"/>
                      <a:ext cx="3333750" cy="12192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H.C. Wainwright &amp; Co.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April 10,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49315226012935/form10-k.htm" TargetMode="External"/><Relationship Id="rId4" Type="http://schemas.openxmlformats.org/officeDocument/2006/relationships/hyperlink" Target="https://www.sec.gov/Archives/edgar/data/883975/000149315226001234/form8-k.htm" TargetMode="External"/><Relationship Id="rId5" Type="http://schemas.openxmlformats.org/officeDocument/2006/relationships/hyperlink" Target="https://www.sec.gov/Archives/edgar/data/883975/000149315226007827/form8-k.htm" TargetMode="External"/><Relationship Id="rId6" Type="http://schemas.openxmlformats.org/officeDocument/2006/relationships/hyperlink" Target="https://www.sec.gov/Archives/edgar/data/883975/000149315226016198/form8-k.htm" TargetMode="External"/><Relationship Id="rId7" Type="http://schemas.openxmlformats.org/officeDocument/2006/relationships/image" Target="media/image1.jpeg"/><Relationship Id="rId8" Type="http://schemas.openxmlformats.org/officeDocument/2006/relationships/hyperlink" Target="https://www.sec.gov/Archives/edgar/data/883975/000149315223010223/form10-k.htm" TargetMode="External"/><Relationship Id="rId9" Type="http://schemas.openxmlformats.org/officeDocument/2006/relationships/hyperlink" Target="https://www.sec.gov/Archives/edgar/data/883975/000149315223017966/form10-q.htm" TargetMode="External"/><Relationship Id="rId10" Type="http://schemas.openxmlformats.org/officeDocument/2006/relationships/hyperlink" Target="https://www.sec.gov/Archives/edgar/data/883975/000149315223028081/form10-q.htm" TargetMode="External"/><Relationship Id="rId11" Type="http://schemas.openxmlformats.org/officeDocument/2006/relationships/hyperlink" Target="https://www.sec.gov/ix?doc=/Archives/edgar/data/883975/000149315223041069/form10-q.htm" TargetMode="External"/><Relationship Id="rId12" Type="http://schemas.openxmlformats.org/officeDocument/2006/relationships/hyperlink" Target="https://www.sec.gov/ix?doc=/Archives/edgar/data/883975/000149315223002202/form8-k.htm" TargetMode="External"/><Relationship Id="rId13" Type="http://schemas.openxmlformats.org/officeDocument/2006/relationships/hyperlink" Target="https://www.sec.gov/ix?doc=/Archives/edgar/data/883975/000149315223018050/form8-k.htm" TargetMode="External"/><Relationship Id="rId14" Type="http://schemas.openxmlformats.org/officeDocument/2006/relationships/hyperlink" Target="https://www.sec.gov/ix?doc=/Archives/edgar/data/883975/000149315223018456/form8-k.htm" TargetMode="External"/><Relationship Id="rId15" Type="http://schemas.openxmlformats.org/officeDocument/2006/relationships/hyperlink" Target="https://www.sec.gov/ix?doc=/Archives/edgar/data/883975/000149315223018718/form8-k.htm" TargetMode="External"/><Relationship Id="rId16" Type="http://schemas.openxmlformats.org/officeDocument/2006/relationships/hyperlink" Target="https://www.sec.gov/ix?doc=/Archives/edgar/data/883975/000149315223018932/form8-k.htm" TargetMode="External"/><Relationship Id="rId17" Type="http://schemas.openxmlformats.org/officeDocument/2006/relationships/hyperlink" Target="https://www.sec.gov/ix?doc=/Archives/edgar/data/883975/000149315223019000/form8-k.htm" TargetMode="External"/><Relationship Id="rId18" Type="http://schemas.openxmlformats.org/officeDocument/2006/relationships/hyperlink" Target="https://www.sec.gov/ix?doc=/Archives/edgar/data/883975/000149315223019537/form8-k.htm" TargetMode="External"/><Relationship Id="rId19" Type="http://schemas.openxmlformats.org/officeDocument/2006/relationships/hyperlink" Target="https://www.sec.gov/ix?doc=/Archives/edgar/data/883975/000149315223019871/form8-k.htm" TargetMode="External"/><Relationship Id="rId20" Type="http://schemas.openxmlformats.org/officeDocument/2006/relationships/hyperlink" Target="https://www.sec.gov/ix?doc=/Archives/edgar/data/883975/000149315223020309/form8-k.htm" TargetMode="External"/><Relationship Id="rId21" Type="http://schemas.openxmlformats.org/officeDocument/2006/relationships/hyperlink" Target="https://www.sec.gov/ix?doc=/Archives/edgar/data/883975/000149315223021553/form8-k.htm" TargetMode="External"/><Relationship Id="rId22" Type="http://schemas.openxmlformats.org/officeDocument/2006/relationships/hyperlink" Target="https://www.sec.gov/ix?doc=/Archives/edgar/data/883975/000149315223022078/form8-k.htm" TargetMode="External"/><Relationship Id="rId23" Type="http://schemas.openxmlformats.org/officeDocument/2006/relationships/hyperlink" Target="https://www.sec.gov/ix?doc=/Archives/edgar/data/883975/000149315223022844/form8-k.htm" TargetMode="External"/><Relationship Id="rId24" Type="http://schemas.openxmlformats.org/officeDocument/2006/relationships/hyperlink" Target="https://www.sec.gov/ix?doc=/Archives/edgar/data/883975/000149315223031689/form8-k.htm" TargetMode="External"/><Relationship Id="rId25" Type="http://schemas.openxmlformats.org/officeDocument/2006/relationships/hyperlink" Target="https://www.sec.gov/ix?doc=/Archives/edgar/data/883975/000149315223037454/form8-k.htm" TargetMode="External"/><Relationship Id="rId26" Type="http://schemas.openxmlformats.org/officeDocument/2006/relationships/hyperlink" Target="https://www.sec.gov/ix?doc=/Archives/edgar/data/883975/000149315223037676/form8-k.htm" TargetMode="External"/><Relationship Id="rId27" Type="http://schemas.openxmlformats.org/officeDocument/2006/relationships/hyperlink" Target="https://www.sec.gov/ix?doc=/Archives/edgar/data/883975/000149315223038050/form8-k.htm" TargetMode="External"/><Relationship Id="rId28" Type="http://schemas.openxmlformats.org/officeDocument/2006/relationships/hyperlink" Target="https://www.sec.gov/ix?doc=/Archives/edgar/data/883975/000149315223038792/form8-k.htm" TargetMode="External"/><Relationship Id="rId29" Type="http://schemas.openxmlformats.org/officeDocument/2006/relationships/hyperlink" Target="https://www.sec.gov/ix?doc=/Archives/edgar/data/883975/000149315223039509/form8-k.htm" TargetMode="External"/><Relationship Id="rId30" Type="http://schemas.openxmlformats.org/officeDocument/2006/relationships/hyperlink" Target="https://www.sec.gov/ix?doc=/Archives/edgar/data/883975/000149315223039834/form8-k.htm" TargetMode="External"/><Relationship Id="rId31" Type="http://schemas.openxmlformats.org/officeDocument/2006/relationships/hyperlink" Target="https://www.sec.gov/ix?doc=/Archives/edgar/data/883975/000149315223040331/form8-k.htm" TargetMode="External"/><Relationship Id="rId32" Type="http://schemas.openxmlformats.org/officeDocument/2006/relationships/hyperlink" Target="https://www.sec.gov/ix?doc=/Archives/edgar/data/883975/000149315223041009/form8-k.htm" TargetMode="External"/><Relationship Id="rId33" Type="http://schemas.openxmlformats.org/officeDocument/2006/relationships/hyperlink" Target="https://www.sec.gov/Archives/edgar/data/883975/000149315223042204/form8-k.htm" TargetMode="External"/><Relationship Id="rId34" Type="http://schemas.openxmlformats.org/officeDocument/2006/relationships/hyperlink" Target="https://www.sec.gov/Archives/edgar/data/883975/000149315223033004/formdef14a.htm" TargetMode="External"/><Relationship Id="rId35" Type="http://schemas.openxmlformats.org/officeDocument/2006/relationships/hyperlink" Target="https://www.sec.gov/Archives/edgar/data/883975/000149315223010223/form10-k.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26012</Words>
  <Characters>138238</Characters>
  <CharactersWithSpaces>164609</CharactersWithSpaces>
  <Paragraphs>2082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