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18,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18, 2022, Microbot Medical Inc. (the “Company”) issued a press release announcing that it has submitted the anticipated follow up pre-submission package for the LIBERTY® Robotic System to ensure the Company remains fully aligned with the U.S. Food and Drug Administration (FDA) as it prepares for its Investigational Device Exemption (IDE) submission and first-in-human clinical trial with the system in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press release, which is filed as Exhibit 99.1 to this Current Report on Form 8-K,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720" w:type="dxa"/>
            <w:vAlign w:val="bottom"/>
          </w:tcPr>
          <w:p>
            <w:pPr>
              <w:spacing w:after="0"/>
              <w:rPr>
                <w:sz w:val="20"/>
                <w:szCs w:val="20"/>
                <w:color w:val="auto"/>
              </w:rPr>
            </w:pPr>
          </w:p>
        </w:tc>
        <w:tc>
          <w:tcPr>
            <w:tcW w:w="742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72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7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October 18, 2022</w:t>
            </w:r>
          </w:p>
        </w:tc>
        <w:tc>
          <w:tcPr>
            <w:tcW w:w="742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Accomplishes the Next-Step in the Regulatory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Robotic System</w:t>
      </w:r>
    </w:p>
    <w:p>
      <w:pPr>
        <w:spacing w:after="0" w:line="13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HINGHAM, Mass., October 18, 2022 </w:t>
      </w:r>
      <w:r>
        <w:rPr>
          <w:rFonts w:ascii="Times New Roman" w:cs="Times New Roman" w:eastAsia="Times New Roman" w:hAnsi="Times New Roman"/>
          <w:sz w:val="18"/>
          <w:szCs w:val="18"/>
          <w:color w:val="auto"/>
        </w:rPr>
        <w:t>– Microbot Medical Inc. (Nasdaq: MBOT), announced that it has submitted the anticipated follow-up pre-submission package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to ensure the Company remains fully aligned with the U.S. Food and Drug Administration (FDA) as it prepares for its Investigational Device Exemption (IDE) submission and first-in-human clinical trial with the system in 2023.</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had a positive experience with the FDA to date, and we believe the continued dialogue and level of engagement is very constructive and encouraging as we prepare for our next regulatory steps in the USA for the LIBERTY Robotic System,” commented Harel Gadot, Chairman, CEO and President. “This planned submission is another critical step we needed to secure as we make our first-in-human preparations, and we believe the outcome of the continued dialogue will ensure that we are prepared for the expected regulatory process moving forward.”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and other existing and future technologies, any failure or inability to recruit physicians and clinicians to serve as primary investigators to conduct the first-in-human clinical trial of LIBERTY, which could adversely affect or delay such trial, uncertainty in the results of pre-clinical studies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2022-10-18T07:50:18Z</dcterms:created>
  <dcterms:modified xsi:type="dcterms:W3CDTF">2022-10-18T07:50:18Z</dcterms:modified>
</cp:coreProperties>
</file>