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jc w:val="center"/>
        <w:ind w:right="-1220"/>
        <w:spacing w:after="0"/>
        <w:rPr>
          <w:sz w:val="20"/>
          <w:szCs w:val="20"/>
          <w:color w:val="auto"/>
        </w:rPr>
      </w:pPr>
      <w:r>
        <w:rPr>
          <w:rFonts w:ascii="Arial" w:cs="Arial" w:eastAsia="Arial" w:hAnsi="Arial"/>
          <w:sz w:val="24"/>
          <w:szCs w:val="24"/>
          <w:b w:val="1"/>
          <w:bCs w:val="1"/>
          <w:color w:val="auto"/>
        </w:rPr>
        <w:t>SECURITIES AND EXCHANGE COMMISSION</w:t>
      </w:r>
    </w:p>
    <w:p>
      <w:pPr>
        <w:spacing w:after="0" w:line="225" w:lineRule="exact"/>
        <w:rPr>
          <w:sz w:val="20"/>
          <w:szCs w:val="20"/>
          <w:color w:val="auto"/>
        </w:rPr>
      </w:pPr>
    </w:p>
    <w:p>
      <w:pPr>
        <w:ind w:left="46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148590</wp:posOffset>
            </wp:positionV>
            <wp:extent cx="146621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161290</wp:posOffset>
            </wp:positionV>
            <wp:extent cx="1466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Pursuant to Section 13 or 15(d) of</w:t>
      </w:r>
    </w:p>
    <w:p>
      <w:pPr>
        <w:spacing w:after="0" w:line="21"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3" w:lineRule="exact"/>
        <w:rPr>
          <w:sz w:val="20"/>
          <w:szCs w:val="20"/>
          <w:color w:val="auto"/>
        </w:rPr>
      </w:pPr>
    </w:p>
    <w:p>
      <w:pPr>
        <w:jc w:val="center"/>
        <w:ind w:right="-1220"/>
        <w:spacing w:after="0"/>
        <w:rPr>
          <w:sz w:val="20"/>
          <w:szCs w:val="20"/>
          <w:color w:val="auto"/>
        </w:rPr>
      </w:pPr>
      <w:r>
        <w:rPr>
          <w:rFonts w:ascii="Arial" w:cs="Arial" w:eastAsia="Arial" w:hAnsi="Arial"/>
          <w:sz w:val="16"/>
          <w:szCs w:val="16"/>
          <w:color w:val="auto"/>
        </w:rPr>
        <w:t xml:space="preserve">Date of Report (Date of earliest event reported) </w:t>
      </w:r>
      <w:r>
        <w:rPr>
          <w:rFonts w:ascii="Arial" w:cs="Arial" w:eastAsia="Arial" w:hAnsi="Arial"/>
          <w:sz w:val="16"/>
          <w:szCs w:val="16"/>
          <w:b w:val="1"/>
          <w:bCs w:val="1"/>
          <w:color w:val="auto"/>
        </w:rPr>
        <w:t>October 15, 2003</w:t>
      </w:r>
    </w:p>
    <w:p>
      <w:pPr>
        <w:spacing w:after="0" w:line="219" w:lineRule="exact"/>
        <w:rPr>
          <w:sz w:val="20"/>
          <w:szCs w:val="20"/>
          <w:color w:val="auto"/>
        </w:rPr>
      </w:pPr>
    </w:p>
    <w:p>
      <w:pPr>
        <w:ind w:left="3840"/>
        <w:spacing w:after="0"/>
        <w:rPr>
          <w:sz w:val="20"/>
          <w:szCs w:val="20"/>
          <w:color w:val="auto"/>
        </w:rPr>
      </w:pPr>
      <w:r>
        <w:rPr>
          <w:rFonts w:ascii="Arial" w:cs="Arial" w:eastAsia="Arial" w:hAnsi="Arial"/>
          <w:sz w:val="43"/>
          <w:szCs w:val="43"/>
          <w:b w:val="1"/>
          <w:bCs w:val="1"/>
          <w:color w:val="auto"/>
        </w:rPr>
        <w:t>STEMCELLS, INC.</w:t>
      </w:r>
    </w:p>
    <w:p>
      <w:pPr>
        <w:spacing w:after="0" w:line="25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0219"/>
          </w:cols>
          <w:pgMar w:left="240" w:top="122" w:right="1440" w:bottom="1440" w:gutter="0" w:footer="0" w:header="0"/>
        </w:sectPr>
      </w:pPr>
    </w:p>
    <w:p>
      <w:pPr>
        <w:spacing w:after="0" w:line="246"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Delaware</w:t>
      </w:r>
    </w:p>
    <w:p>
      <w:pPr>
        <w:spacing w:after="0" w:line="21" w:lineRule="exact"/>
        <w:rPr>
          <w:sz w:val="20"/>
          <w:szCs w:val="20"/>
          <w:color w:val="auto"/>
        </w:rPr>
      </w:pPr>
    </w:p>
    <w:p>
      <w:pPr>
        <w:ind w:left="1880"/>
        <w:spacing w:after="0"/>
        <w:rPr>
          <w:sz w:val="20"/>
          <w:szCs w:val="20"/>
          <w:color w:val="auto"/>
        </w:rPr>
      </w:pPr>
      <w:r>
        <w:rPr>
          <w:rFonts w:ascii="Arial" w:cs="Arial" w:eastAsia="Arial" w:hAnsi="Arial"/>
          <w:sz w:val="16"/>
          <w:szCs w:val="16"/>
          <w:color w:val="auto"/>
        </w:rPr>
        <w:t>(State or other jurisdiction of</w:t>
      </w:r>
    </w:p>
    <w:p>
      <w:pPr>
        <w:spacing w:after="0" w:line="32"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incorporation)</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0-19871</w:t>
      </w:r>
    </w:p>
    <w:p>
      <w:pPr>
        <w:spacing w:after="0" w:line="21" w:lineRule="exact"/>
        <w:rPr>
          <w:sz w:val="20"/>
          <w:szCs w:val="20"/>
          <w:color w:val="auto"/>
        </w:rPr>
      </w:pPr>
    </w:p>
    <w:p>
      <w:pPr>
        <w:jc w:val="center"/>
        <w:ind w:right="460"/>
        <w:spacing w:after="0"/>
        <w:rPr>
          <w:sz w:val="20"/>
          <w:szCs w:val="20"/>
          <w:color w:val="auto"/>
        </w:rPr>
      </w:pPr>
      <w:r>
        <w:rPr>
          <w:rFonts w:ascii="Arial" w:cs="Arial" w:eastAsia="Arial" w:hAnsi="Arial"/>
          <w:sz w:val="16"/>
          <w:szCs w:val="16"/>
          <w:color w:val="auto"/>
        </w:rPr>
        <w:t>(Commission File Number)</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jc w:val="center"/>
        <w:ind w:right="779"/>
        <w:spacing w:after="0"/>
        <w:rPr>
          <w:sz w:val="20"/>
          <w:szCs w:val="20"/>
          <w:color w:val="auto"/>
        </w:rPr>
      </w:pPr>
      <w:r>
        <w:rPr>
          <w:rFonts w:ascii="Arial" w:cs="Arial" w:eastAsia="Arial" w:hAnsi="Arial"/>
          <w:sz w:val="18"/>
          <w:szCs w:val="18"/>
          <w:b w:val="1"/>
          <w:bCs w:val="1"/>
          <w:color w:val="auto"/>
        </w:rPr>
        <w:t>95-3078125</w:t>
      </w:r>
    </w:p>
    <w:p>
      <w:pPr>
        <w:spacing w:after="0" w:line="21" w:lineRule="exact"/>
        <w:rPr>
          <w:sz w:val="20"/>
          <w:szCs w:val="20"/>
          <w:color w:val="auto"/>
        </w:rPr>
      </w:pPr>
    </w:p>
    <w:p>
      <w:pPr>
        <w:jc w:val="center"/>
        <w:ind w:right="779"/>
        <w:spacing w:after="0"/>
        <w:rPr>
          <w:sz w:val="20"/>
          <w:szCs w:val="20"/>
          <w:color w:val="auto"/>
        </w:rPr>
      </w:pPr>
      <w:r>
        <w:rPr>
          <w:rFonts w:ascii="Arial" w:cs="Arial" w:eastAsia="Arial" w:hAnsi="Arial"/>
          <w:sz w:val="18"/>
          <w:szCs w:val="18"/>
          <w:color w:val="auto"/>
        </w:rPr>
        <w:t>(IRS Employer</w:t>
      </w:r>
    </w:p>
    <w:p>
      <w:pPr>
        <w:spacing w:after="0" w:line="9" w:lineRule="exact"/>
        <w:rPr>
          <w:sz w:val="20"/>
          <w:szCs w:val="20"/>
          <w:color w:val="auto"/>
        </w:rPr>
      </w:pPr>
    </w:p>
    <w:p>
      <w:pPr>
        <w:jc w:val="center"/>
        <w:ind w:right="779"/>
        <w:spacing w:after="0"/>
        <w:rPr>
          <w:sz w:val="20"/>
          <w:szCs w:val="20"/>
          <w:color w:val="auto"/>
        </w:rPr>
      </w:pPr>
      <w:r>
        <w:rPr>
          <w:rFonts w:ascii="Arial" w:cs="Arial" w:eastAsia="Arial" w:hAnsi="Arial"/>
          <w:sz w:val="16"/>
          <w:szCs w:val="16"/>
          <w:color w:val="auto"/>
        </w:rPr>
        <w:t>Identification No.)</w:t>
      </w:r>
    </w:p>
    <w:p>
      <w:pPr>
        <w:spacing w:after="0" w:line="222" w:lineRule="exact"/>
        <w:rPr>
          <w:sz w:val="20"/>
          <w:szCs w:val="20"/>
          <w:color w:val="auto"/>
        </w:rPr>
      </w:pPr>
    </w:p>
    <w:p>
      <w:pPr>
        <w:sectPr>
          <w:pgSz w:w="11900" w:h="16838" w:orient="portrait"/>
          <w:cols w:equalWidth="0" w:num="3">
            <w:col w:w="4300" w:space="720"/>
            <w:col w:w="2400" w:space="720"/>
            <w:col w:w="2079"/>
          </w:cols>
          <w:pgMar w:left="240" w:top="122" w:right="1440" w:bottom="1440" w:gutter="0" w:footer="0" w:header="0"/>
          <w:type w:val="continuous"/>
        </w:sectPr>
      </w:pPr>
    </w:p>
    <w:p>
      <w:pPr>
        <w:spacing w:after="0" w:line="13"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3155 Porter Drive</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Palo Alto, California 94304</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(Address of principal executive offices, including zip code)</w:t>
      </w:r>
    </w:p>
    <w:p>
      <w:pPr>
        <w:spacing w:after="0" w:line="236"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(650) 475-3100</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(Registrant’s telephone number, including area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431165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2" w:right="1440" w:bottom="1440" w:gutter="0" w:footer="0" w:header="0"/>
          <w:type w:val="continuous"/>
        </w:sectPr>
      </w:pPr>
    </w:p>
    <w:bookmarkStart w:id="2" w:name="page3"/>
    <w:bookmarkEnd w:id="2"/>
    <w:p>
      <w:pPr>
        <w:ind w:left="3980"/>
        <w:spacing w:after="0"/>
        <w:rPr>
          <w:sz w:val="20"/>
          <w:szCs w:val="20"/>
          <w:color w:val="auto"/>
        </w:rPr>
      </w:pPr>
      <w:r>
        <w:rPr>
          <w:rFonts w:ascii="Arial" w:cs="Arial" w:eastAsia="Arial" w:hAnsi="Arial"/>
          <w:sz w:val="21"/>
          <w:szCs w:val="21"/>
          <w:b w:val="1"/>
          <w:bCs w:val="1"/>
          <w:u w:val="single" w:color="auto"/>
          <w:color w:val="auto"/>
        </w:rPr>
        <w:t>TABLE OF CONTENTS</w:t>
      </w:r>
    </w:p>
    <w:p>
      <w:pPr>
        <w:spacing w:after="0" w:line="224" w:lineRule="exact"/>
        <w:rPr>
          <w:sz w:val="20"/>
          <w:szCs w:val="20"/>
          <w:color w:val="auto"/>
        </w:rPr>
      </w:pPr>
    </w:p>
    <w:p>
      <w:pPr>
        <w:ind w:left="320"/>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4. Changes in Registrant’s Certifying Accountant</w:t>
        </w:r>
      </w:hyperlink>
    </w:p>
    <w:p>
      <w:pPr>
        <w:spacing w:after="0" w:line="238"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Signature</w:t>
        </w:r>
      </w:hyperlink>
    </w:p>
    <w:p>
      <w:pPr>
        <w:spacing w:after="0" w:line="230"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Exhibit Index</w:t>
        </w:r>
      </w:hyperlink>
    </w:p>
    <w:p>
      <w:pPr>
        <w:spacing w:after="0" w:line="1"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00EE"/>
        </w:rPr>
        <w:t>EXHIBIT 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Changes in Registrant’s Certifying Accountant</w:t>
      </w:r>
    </w:p>
    <w:p>
      <w:pPr>
        <w:spacing w:after="0" w:line="231" w:lineRule="exact"/>
        <w:rPr>
          <w:sz w:val="20"/>
          <w:szCs w:val="20"/>
          <w:color w:val="auto"/>
        </w:rPr>
      </w:pPr>
    </w:p>
    <w:p>
      <w:pPr>
        <w:ind w:firstLine="220"/>
        <w:spacing w:after="0" w:line="294" w:lineRule="auto"/>
        <w:rPr>
          <w:sz w:val="20"/>
          <w:szCs w:val="20"/>
          <w:color w:val="auto"/>
        </w:rPr>
      </w:pPr>
      <w:r>
        <w:rPr>
          <w:rFonts w:ascii="Arial" w:cs="Arial" w:eastAsia="Arial" w:hAnsi="Arial"/>
          <w:sz w:val="16"/>
          <w:szCs w:val="16"/>
          <w:color w:val="auto"/>
        </w:rPr>
        <w:t>On October 15, 2003, Ernst &amp; Young LLP (“Ernst”) notified StemCells, Inc. (the “Company”) of its intent to resign as the Company’s independent public accountants after the filing of the Company’s third quarterly report for 2003. The Audit Committee of the Company’s Board of Directors met on October 22, 2003 and accepted Ernst’s resignation. Ernst’s reports on the financial statements for the past two fiscal years contained no adverse opinion or disclaimer of opinion and were not qualified or modified as to uncertainty, audit scope or accounting principle, except that Ernst’s report on the financial statements for the year ended December 31, 2002 contained an explanatory paragraph expressing substantial doubt in the Company’s ability to continue as a going concern.</w:t>
      </w:r>
    </w:p>
    <w:p>
      <w:pPr>
        <w:spacing w:after="0" w:line="170" w:lineRule="exact"/>
        <w:rPr>
          <w:sz w:val="20"/>
          <w:szCs w:val="20"/>
          <w:color w:val="auto"/>
        </w:rPr>
      </w:pPr>
    </w:p>
    <w:p>
      <w:pPr>
        <w:ind w:firstLine="220"/>
        <w:spacing w:after="0" w:line="298" w:lineRule="auto"/>
        <w:rPr>
          <w:sz w:val="20"/>
          <w:szCs w:val="20"/>
          <w:color w:val="auto"/>
        </w:rPr>
      </w:pPr>
      <w:r>
        <w:rPr>
          <w:rFonts w:ascii="Arial" w:cs="Arial" w:eastAsia="Arial" w:hAnsi="Arial"/>
          <w:sz w:val="16"/>
          <w:szCs w:val="16"/>
          <w:color w:val="auto"/>
        </w:rPr>
        <w:t>During the Company’s two most recent fiscal years ended December 31, 2002 and the subsequent interim periods through October 15, 2003, there were no disagreements between the Company and Ernst on any matter of accounting principles or practices, financial statement disclosure, or auditing scope or procedure, which disagreements, if not resolved to Ernst’s satisfaction, would have caused them to make reference to the subject matter of the disagreement in connection with their reports; and there were no reportable events as described in Item 304(a)(1)(v) of Regulation S-K.</w:t>
      </w:r>
    </w:p>
    <w:p>
      <w:pPr>
        <w:spacing w:after="0" w:line="167" w:lineRule="exact"/>
        <w:rPr>
          <w:sz w:val="20"/>
          <w:szCs w:val="20"/>
          <w:color w:val="auto"/>
        </w:rPr>
      </w:pPr>
    </w:p>
    <w:p>
      <w:pPr>
        <w:ind w:right="160" w:firstLine="216"/>
        <w:spacing w:after="0" w:line="268" w:lineRule="auto"/>
        <w:rPr>
          <w:sz w:val="20"/>
          <w:szCs w:val="20"/>
          <w:color w:val="auto"/>
        </w:rPr>
      </w:pPr>
      <w:r>
        <w:rPr>
          <w:rFonts w:ascii="Arial" w:cs="Arial" w:eastAsia="Arial" w:hAnsi="Arial"/>
          <w:sz w:val="18"/>
          <w:szCs w:val="18"/>
          <w:color w:val="auto"/>
        </w:rPr>
        <w:t>The Company provided Ernst with a copy of the foregoing disclosures. Attached, as Exhibit 16.1 is a copy of Ernst’s letter regarding the change in certifying accountant.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Signature</w:t>
      </w:r>
    </w:p>
    <w:p>
      <w:pPr>
        <w:spacing w:after="0" w:line="231" w:lineRule="exact"/>
        <w:rPr>
          <w:sz w:val="20"/>
          <w:szCs w:val="20"/>
          <w:color w:val="auto"/>
        </w:rPr>
      </w:pPr>
    </w:p>
    <w:p>
      <w:pPr>
        <w:ind w:firstLine="22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29"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StemCells, Inc.</w:t>
      </w:r>
    </w:p>
    <w:p>
      <w:pPr>
        <w:spacing w:after="0" w:line="225" w:lineRule="exact"/>
        <w:rPr>
          <w:sz w:val="20"/>
          <w:szCs w:val="20"/>
          <w:color w:val="auto"/>
        </w:rPr>
      </w:pPr>
    </w:p>
    <w:p>
      <w:pPr>
        <w:ind w:left="4880"/>
        <w:spacing w:after="0"/>
        <w:tabs>
          <w:tab w:leader="none" w:pos="54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Martin McGlynn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80010</wp:posOffset>
            </wp:positionV>
            <wp:extent cx="24872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21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Martin McGlynn</w:t>
      </w:r>
    </w:p>
    <w:p>
      <w:pPr>
        <w:spacing w:after="0" w:line="1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Date: October 22, 2003</w:t>
      </w:r>
    </w:p>
    <w:p>
      <w:pPr>
        <w:spacing w:after="0" w:line="21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419" w:right="4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200"/>
        <w:spacing w:after="0"/>
        <w:rPr>
          <w:sz w:val="20"/>
          <w:szCs w:val="20"/>
          <w:color w:val="auto"/>
        </w:rPr>
      </w:pPr>
      <w:r>
        <w:rPr>
          <w:rFonts w:ascii="Arial" w:cs="Arial" w:eastAsia="Arial" w:hAnsi="Arial"/>
          <w:sz w:val="16"/>
          <w:szCs w:val="16"/>
          <w:b w:val="1"/>
          <w:bCs w:val="1"/>
          <w:color w:val="auto"/>
        </w:rPr>
        <w:t>Exhibit Index</w:t>
      </w:r>
    </w:p>
    <w:p>
      <w:pPr>
        <w:spacing w:after="0" w:line="254" w:lineRule="exact"/>
        <w:rPr>
          <w:sz w:val="20"/>
          <w:szCs w:val="20"/>
          <w:color w:val="auto"/>
        </w:rPr>
      </w:pPr>
    </w:p>
    <w:p>
      <w:pPr>
        <w:ind w:left="220"/>
        <w:spacing w:after="0"/>
        <w:rPr>
          <w:sz w:val="20"/>
          <w:szCs w:val="20"/>
          <w:color w:val="auto"/>
        </w:rPr>
      </w:pPr>
      <w:r>
        <w:rPr>
          <w:rFonts w:ascii="Arial" w:cs="Arial" w:eastAsia="Arial" w:hAnsi="Arial"/>
          <w:sz w:val="16"/>
          <w:szCs w:val="16"/>
          <w:color w:val="auto"/>
        </w:rPr>
        <w:t>(16.1) Letter of Ernst &amp; Young LLP regarding change in certifying accountant</w:t>
      </w:r>
    </w:p>
    <w:p>
      <w:pPr>
        <w:spacing w:after="0" w:line="24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19"/>
          </w:cols>
          <w:pgMar w:left="240" w:top="419" w:right="1440"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16.1</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October 22, 2003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450 Fifth Street, N.W.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Gentlemen:</w:t>
      </w:r>
    </w:p>
    <w:p>
      <w:pPr>
        <w:spacing w:after="0" w:line="21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read Item 4 of Form 8-K dated October 22, 2003, of StemCells, Inc. and are in agreement with the statements contained in the first and third sentences of the first paragraph, the second paragraph and the first sentence of the third paragraph on page 2 therein. We have no basis to agree or disagree with other statements of the registrant contained therein.</w:t>
      </w:r>
    </w:p>
    <w:p>
      <w:pPr>
        <w:spacing w:after="0" w:line="19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Ernst &amp; Young LLP</w:t>
      </w:r>
    </w:p>
    <w:sectPr>
      <w:pgSz w:w="11900" w:h="16838" w:orient="portrait"/>
      <w:cols w:equalWidth="0" w:num="1">
        <w:col w:w="11420"/>
      </w:cols>
      <w:pgMar w:left="240" w:top="93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2019-12-13T21:51:47Z</dcterms:created>
  <dcterms:modified xsi:type="dcterms:W3CDTF">2019-12-13T21:51:47Z</dcterms:modified>
</cp:coreProperties>
</file>