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8,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December 8, 2022, Microbot Medical Inc. issued a press release announcing that it continues to strengthen its intellectual property (IP) portfolio, while advancing and securing its global commercialization strategy. It has been granted a third patent in Israel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covering the core capabilities of the system, such as a compact robotic device for driving movement of two or more surgical devices and having motors and actuation assemblies encased within the same volume.</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780" w:type="dxa"/>
            <w:vAlign w:val="bottom"/>
          </w:tcPr>
          <w:p>
            <w:pPr>
              <w:spacing w:after="0"/>
              <w:rPr>
                <w:sz w:val="20"/>
                <w:szCs w:val="20"/>
                <w:color w:val="auto"/>
              </w:rPr>
            </w:pPr>
          </w:p>
        </w:tc>
        <w:tc>
          <w:tcPr>
            <w:tcW w:w="73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8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December 8, 2022</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Medical’s Proprietary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Robotic System Receives Third Patent Allowance in Israel</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Pace of Jurisdictional Allowances Parallels Pre-Clinical and Regulatory Progress</w:t>
      </w:r>
    </w:p>
    <w:p>
      <w:pPr>
        <w:spacing w:after="0" w:line="22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HINGHAM, Mass., December 8, 2022 </w:t>
      </w:r>
      <w:r>
        <w:rPr>
          <w:rFonts w:ascii="Times New Roman" w:cs="Times New Roman" w:eastAsia="Times New Roman" w:hAnsi="Times New Roman"/>
          <w:sz w:val="18"/>
          <w:szCs w:val="18"/>
          <w:color w:val="auto"/>
        </w:rPr>
        <w:t>– Microbot Medical Inc. (Nasdaq: MBOT) continues to strengthen its intellectual property (IP) portfolio,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advancing and securing its global commercialization strategy. It has been granted a third patent in Israel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covering the core capabilities of the system, such as a compact robotic device for driving movement of two or more surgical devices and having motors and actuation assemblies encased within the same volume.</w:t>
      </w:r>
    </w:p>
    <w:p>
      <w:pPr>
        <w:spacing w:after="0" w:line="20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expansion of our intellectual property portfolio remains a critically important strategic objective, and this latest allowance represents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global patent for the LIBERTY Robotic System to secure a competitive advantage in key markets,” commented Harel Gadot, Chairman, President, and CEO. “We’ve made significant progress towards the regulatory approval, and commercialization of the system, and will continue to secure additional patents to ensure our hard work is protected.”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w:t>
      </w:r>
    </w:p>
    <w:p>
      <w:pPr>
        <w:spacing w:after="0" w:line="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technologies, the outcome of its studies to evaluate LIBERTY, the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technologies and other existing and future technologies, any failure or inability to recruit physicians and clinicians to serve as primary investigators to conduct regulatory studies which could adversely affect or delay such studies, uncertainty in the results of pre-clinical studies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2022-12-08T06:13:08Z</dcterms:created>
  <dcterms:modified xsi:type="dcterms:W3CDTF">2022-12-08T06:13:08Z</dcterms:modified>
</cp:coreProperties>
</file>