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September 29,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(Former Name or Former Address, if Changed Since Last Report)</w:t>
            </w:r>
          </w:p>
        </w:tc>
        <w:tc>
          <w:tcPr>
            <w:tcW w:w="1660" w:type="dxa"/>
            <w:vAlign w:val="bottom"/>
          </w:tcPr>
          <w:p>
            <w:pPr>
              <w:spacing w:after="0"/>
              <w:rPr>
                <w:sz w:val="24"/>
                <w:szCs w:val="24"/>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6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Trading Symbol(s)</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40" w:type="dxa"/>
            <w:vAlign w:val="bottom"/>
          </w:tcPr>
          <w:p>
            <w:pPr>
              <w:spacing w:after="0"/>
              <w:rPr>
                <w:sz w:val="20"/>
                <w:szCs w:val="20"/>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Annual Meeting of Stockholders (the “Annual Meeting”) of Microbot Medical Inc. (the “Company”) was held on September 29, 2021. At the Annual Meeting, the Company’s stockholders voted on the following two proposals and cast their votes as described below. The proposals are described in more detail in the Company’s Definitive Proxy Statement on Schedule 14A filed with the U.S. Securities and Exchange Commission on August 18, 2021 (the “Proxy Statement”).</w:t>
      </w:r>
    </w:p>
    <w:p>
      <w:pPr>
        <w:spacing w:after="0" w:line="187" w:lineRule="exact"/>
        <w:rPr>
          <w:sz w:val="20"/>
          <w:szCs w:val="20"/>
          <w:color w:val="auto"/>
        </w:rPr>
      </w:pPr>
    </w:p>
    <w:p>
      <w:pPr>
        <w:jc w:val="both"/>
        <w:ind w:left="980" w:hanging="971"/>
        <w:spacing w:after="0" w:line="277" w:lineRule="auto"/>
        <w:tabs>
          <w:tab w:leader="none" w:pos="960" w:val="left"/>
        </w:tabs>
        <w:rPr>
          <w:sz w:val="20"/>
          <w:szCs w:val="20"/>
          <w:color w:val="auto"/>
        </w:rPr>
      </w:pPr>
      <w:r>
        <w:rPr>
          <w:rFonts w:ascii="Arial" w:cs="Arial" w:eastAsia="Arial" w:hAnsi="Arial"/>
          <w:sz w:val="18"/>
          <w:szCs w:val="18"/>
          <w:color w:val="auto"/>
        </w:rPr>
        <w:t>Proposal 1:</w:t>
        <w:tab/>
        <w:t>Election of the two nominees listed below to serve as Class III Directors on the Board of Directors of the Company until the 2024 Annual Meeting of Shareholders and until their respective successors have been duly elected and qualified: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Number of Votes</w:t>
            </w:r>
          </w:p>
        </w:tc>
        <w:tc>
          <w:tcPr>
            <w:tcW w:w="17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Number of Votes</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Number of Votes</w:t>
            </w:r>
          </w:p>
        </w:tc>
        <w:tc>
          <w:tcPr>
            <w:tcW w:w="1340" w:type="dxa"/>
            <w:vAlign w:val="bottom"/>
          </w:tcPr>
          <w:p>
            <w:pPr>
              <w:spacing w:after="0"/>
              <w:rPr>
                <w:sz w:val="18"/>
                <w:szCs w:val="18"/>
                <w:color w:val="auto"/>
              </w:rPr>
            </w:pPr>
          </w:p>
        </w:tc>
      </w:tr>
      <w:tr>
        <w:trPr>
          <w:trHeight w:val="230"/>
        </w:trPr>
        <w:tc>
          <w:tcPr>
            <w:tcW w:w="4840" w:type="dxa"/>
            <w:vAlign w:val="bottom"/>
            <w:gridSpan w:val="2"/>
          </w:tcPr>
          <w:p>
            <w:pPr>
              <w:ind w:left="2040"/>
              <w:spacing w:after="0"/>
              <w:rPr>
                <w:sz w:val="20"/>
                <w:szCs w:val="20"/>
                <w:color w:val="auto"/>
              </w:rPr>
            </w:pPr>
            <w:r>
              <w:rPr>
                <w:rFonts w:ascii="Arial" w:cs="Arial" w:eastAsia="Arial" w:hAnsi="Arial"/>
                <w:sz w:val="18"/>
                <w:szCs w:val="18"/>
                <w:color w:val="auto"/>
              </w:rPr>
              <w:t>Name</w:t>
            </w: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Cast in Favor</w:t>
            </w: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Cast Against</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Abstained</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Broker Non-Votes</w:t>
            </w: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Yoseph Bornstein</w:t>
            </w:r>
          </w:p>
        </w:tc>
        <w:tc>
          <w:tcPr>
            <w:tcW w:w="3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1,969,567</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21,189</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9,976</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1,654,746</w:t>
            </w: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Prattipati Laxminarain</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1,928,492</w:t>
            </w:r>
          </w:p>
        </w:tc>
        <w:tc>
          <w:tcPr>
            <w:tcW w:w="3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60,821</w:t>
            </w:r>
          </w:p>
        </w:tc>
        <w:tc>
          <w:tcPr>
            <w:tcW w:w="340" w:type="dxa"/>
            <w:vAlign w:val="bottom"/>
          </w:tcPr>
          <w:p>
            <w:pPr>
              <w:spacing w:after="0"/>
              <w:rPr>
                <w:sz w:val="20"/>
                <w:szCs w:val="20"/>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11,419</w:t>
            </w:r>
          </w:p>
        </w:tc>
        <w:tc>
          <w:tcPr>
            <w:tcW w:w="3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1,654,746</w:t>
            </w:r>
          </w:p>
        </w:tc>
      </w:tr>
    </w:tbl>
    <w:p>
      <w:pPr>
        <w:spacing w:after="0" w:line="187" w:lineRule="exact"/>
        <w:rPr>
          <w:sz w:val="20"/>
          <w:szCs w:val="20"/>
          <w:color w:val="auto"/>
        </w:rPr>
      </w:pPr>
    </w:p>
    <w:p>
      <w:pPr>
        <w:jc w:val="both"/>
        <w:ind w:left="980" w:right="20" w:hanging="971"/>
        <w:spacing w:after="0" w:line="277" w:lineRule="auto"/>
        <w:tabs>
          <w:tab w:leader="none" w:pos="960" w:val="left"/>
        </w:tabs>
        <w:rPr>
          <w:sz w:val="20"/>
          <w:szCs w:val="20"/>
          <w:color w:val="auto"/>
        </w:rPr>
      </w:pPr>
      <w:r>
        <w:rPr>
          <w:rFonts w:ascii="Arial" w:cs="Arial" w:eastAsia="Arial" w:hAnsi="Arial"/>
          <w:sz w:val="18"/>
          <w:szCs w:val="18"/>
          <w:color w:val="auto"/>
        </w:rPr>
        <w:t>Proposal 2:</w:t>
        <w:tab/>
        <w:t>The ratification of Brightman Almagor Zohar &amp; Co., a Member of Deloitte Touche Tohmatsu Limited, or its U.S. affiliate, as the Company’s independent registered public accounting firm for the year ending December 31,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2980" w:type="dxa"/>
            <w:vAlign w:val="bottom"/>
            <w:gridSpan w:val="5"/>
          </w:tcPr>
          <w:p>
            <w:pPr>
              <w:jc w:val="center"/>
              <w:ind w:right="1540"/>
              <w:spacing w:after="0"/>
              <w:rPr>
                <w:sz w:val="20"/>
                <w:szCs w:val="20"/>
                <w:color w:val="auto"/>
              </w:rPr>
            </w:pPr>
            <w:r>
              <w:rPr>
                <w:rFonts w:ascii="Arial" w:cs="Arial" w:eastAsia="Arial" w:hAnsi="Arial"/>
                <w:sz w:val="18"/>
                <w:szCs w:val="18"/>
                <w:color w:val="auto"/>
                <w:w w:val="91"/>
              </w:rPr>
              <w:t>Number of Votes</w:t>
            </w:r>
          </w:p>
        </w:tc>
        <w:tc>
          <w:tcPr>
            <w:tcW w:w="2180" w:type="dxa"/>
            <w:vAlign w:val="bottom"/>
            <w:gridSpan w:val="2"/>
          </w:tcPr>
          <w:p>
            <w:pPr>
              <w:jc w:val="center"/>
              <w:ind w:right="840"/>
              <w:spacing w:after="0"/>
              <w:rPr>
                <w:sz w:val="20"/>
                <w:szCs w:val="20"/>
                <w:color w:val="auto"/>
              </w:rPr>
            </w:pPr>
            <w:r>
              <w:rPr>
                <w:rFonts w:ascii="Arial" w:cs="Arial" w:eastAsia="Arial" w:hAnsi="Arial"/>
                <w:sz w:val="18"/>
                <w:szCs w:val="18"/>
                <w:color w:val="auto"/>
                <w:w w:val="90"/>
              </w:rPr>
              <w:t>Number of Votes</w:t>
            </w:r>
          </w:p>
        </w:tc>
        <w:tc>
          <w:tcPr>
            <w:tcW w:w="2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Number of Votes</w:t>
            </w:r>
          </w:p>
        </w:tc>
        <w:tc>
          <w:tcPr>
            <w:tcW w:w="2580" w:type="dxa"/>
            <w:vAlign w:val="bottom"/>
          </w:tcPr>
          <w:p>
            <w:pPr>
              <w:jc w:val="center"/>
              <w:spacing w:after="0"/>
              <w:rPr>
                <w:sz w:val="20"/>
                <w:szCs w:val="20"/>
                <w:color w:val="auto"/>
              </w:rPr>
            </w:pPr>
            <w:r>
              <w:rPr>
                <w:rFonts w:ascii="Arial" w:cs="Arial" w:eastAsia="Arial" w:hAnsi="Arial"/>
                <w:sz w:val="18"/>
                <w:szCs w:val="18"/>
                <w:color w:val="auto"/>
                <w:w w:val="94"/>
              </w:rPr>
              <w:t>Broker</w:t>
            </w:r>
          </w:p>
        </w:tc>
      </w:tr>
      <w:tr>
        <w:trPr>
          <w:trHeight w:val="230"/>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4"/>
          </w:tcPr>
          <w:p>
            <w:pPr>
              <w:jc w:val="center"/>
              <w:ind w:right="1760"/>
              <w:spacing w:after="0"/>
              <w:rPr>
                <w:sz w:val="20"/>
                <w:szCs w:val="20"/>
                <w:color w:val="auto"/>
              </w:rPr>
            </w:pPr>
            <w:r>
              <w:rPr>
                <w:rFonts w:ascii="Arial" w:cs="Arial" w:eastAsia="Arial" w:hAnsi="Arial"/>
                <w:sz w:val="18"/>
                <w:szCs w:val="18"/>
                <w:color w:val="auto"/>
                <w:w w:val="89"/>
              </w:rPr>
              <w:t>Cast in Favor</w:t>
            </w:r>
          </w:p>
        </w:tc>
        <w:tc>
          <w:tcPr>
            <w:tcW w:w="218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Cast Against</w:t>
            </w:r>
          </w:p>
        </w:tc>
        <w:tc>
          <w:tcPr>
            <w:tcW w:w="2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Abstained</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Non-Votes</w:t>
            </w:r>
          </w:p>
        </w:tc>
      </w:tr>
      <w:tr>
        <w:trPr>
          <w:trHeight w:val="210"/>
        </w:trPr>
        <w:tc>
          <w:tcPr>
            <w:tcW w:w="700" w:type="dxa"/>
            <w:vAlign w:val="bottom"/>
            <w:tcBorders>
              <w:top w:val="single" w:sz="8" w:color="auto"/>
            </w:tcBorders>
            <w:shd w:val="clear" w:color="auto" w:fill="CCEEFF"/>
          </w:tcPr>
          <w:p>
            <w:pPr>
              <w:spacing w:after="0"/>
              <w:rPr>
                <w:sz w:val="18"/>
                <w:szCs w:val="18"/>
                <w:color w:val="auto"/>
              </w:rPr>
            </w:pPr>
          </w:p>
        </w:tc>
        <w:tc>
          <w:tcPr>
            <w:tcW w:w="2120" w:type="dxa"/>
            <w:vAlign w:val="bottom"/>
            <w:tcBorders>
              <w:top w:val="single" w:sz="8" w:color="auto"/>
            </w:tcBorders>
            <w:gridSpan w:val="3"/>
            <w:shd w:val="clear" w:color="auto" w:fill="CCEEFF"/>
          </w:tcPr>
          <w:p>
            <w:pPr>
              <w:jc w:val="center"/>
              <w:ind w:right="590"/>
              <w:spacing w:after="0"/>
              <w:rPr>
                <w:sz w:val="20"/>
                <w:szCs w:val="20"/>
                <w:color w:val="auto"/>
              </w:rPr>
            </w:pPr>
            <w:r>
              <w:rPr>
                <w:rFonts w:ascii="Arial" w:cs="Arial" w:eastAsia="Arial" w:hAnsi="Arial"/>
                <w:sz w:val="18"/>
                <w:szCs w:val="18"/>
                <w:color w:val="auto"/>
                <w:w w:val="89"/>
              </w:rPr>
              <w:t>3,544,023</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center"/>
              <w:ind w:right="550"/>
              <w:spacing w:after="0"/>
              <w:rPr>
                <w:sz w:val="20"/>
                <w:szCs w:val="20"/>
                <w:color w:val="auto"/>
              </w:rPr>
            </w:pPr>
            <w:r>
              <w:rPr>
                <w:rFonts w:ascii="Arial" w:cs="Arial" w:eastAsia="Arial" w:hAnsi="Arial"/>
                <w:sz w:val="18"/>
                <w:szCs w:val="18"/>
                <w:color w:val="auto"/>
                <w:w w:val="90"/>
              </w:rPr>
              <w:t>38,318</w:t>
            </w:r>
          </w:p>
        </w:tc>
        <w:tc>
          <w:tcPr>
            <w:tcW w:w="2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73,137</w:t>
            </w:r>
          </w:p>
        </w:tc>
        <w:tc>
          <w:tcPr>
            <w:tcW w:w="22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r>
      <w:tr>
        <w:trPr>
          <w:trHeight w:val="432"/>
        </w:trPr>
        <w:tc>
          <w:tcPr>
            <w:tcW w:w="3680" w:type="dxa"/>
            <w:vAlign w:val="bottom"/>
            <w:gridSpan w:val="6"/>
          </w:tcPr>
          <w:p>
            <w:pPr>
              <w:spacing w:after="0"/>
              <w:rPr>
                <w:sz w:val="20"/>
                <w:szCs w:val="20"/>
                <w:color w:val="auto"/>
              </w:rPr>
            </w:pPr>
            <w:r>
              <w:rPr>
                <w:rFonts w:ascii="Arial" w:cs="Arial" w:eastAsia="Arial" w:hAnsi="Arial"/>
                <w:sz w:val="18"/>
                <w:szCs w:val="18"/>
                <w:b w:val="1"/>
                <w:bCs w:val="1"/>
                <w:color w:val="auto"/>
                <w:w w:val="95"/>
              </w:rPr>
              <w:t>Item 9.01   Financial Statements and Exhibits</w:t>
            </w: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80" w:type="dxa"/>
            <w:vAlign w:val="bottom"/>
          </w:tcPr>
          <w:p>
            <w:pPr>
              <w:spacing w:after="0"/>
              <w:rPr>
                <w:sz w:val="24"/>
                <w:szCs w:val="24"/>
                <w:color w:val="auto"/>
              </w:rPr>
            </w:pPr>
          </w:p>
        </w:tc>
      </w:tr>
      <w:tr>
        <w:trPr>
          <w:trHeight w:val="453"/>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c>
          <w:tcPr>
            <w:tcW w:w="1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52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2580" w:type="dxa"/>
            <w:vAlign w:val="bottom"/>
          </w:tcPr>
          <w:p>
            <w:pPr>
              <w:spacing w:after="0"/>
              <w:rPr>
                <w:sz w:val="20"/>
                <w:szCs w:val="20"/>
                <w:color w:val="auto"/>
              </w:rPr>
            </w:pPr>
          </w:p>
        </w:tc>
      </w:tr>
      <w:tr>
        <w:trPr>
          <w:trHeight w:val="425"/>
        </w:trPr>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2021-10-04T15:36:45Z</dcterms:created>
  <dcterms:modified xsi:type="dcterms:W3CDTF">2021-10-04T15:36:45Z</dcterms:modified>
</cp:coreProperties>
</file>