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424(b)(3)</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333-277190</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047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1,005,965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sale or other disposition from time to time of up to 1,005,965 shares of our common stock, $0.01 par value per share, representing shares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April 2, 2024, the last reported closing price of our common stock on the Nasdaq Capital Market was $1.22.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April 3, 2024.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70" w:type="dxa"/>
            <w:tcBorders/>
            <w:shd w:fill="CCEEFF" w:val="clear"/>
            <w:vAlign w:val="center"/>
          </w:tcPr>
          <w:p>
            <w:pPr>
              <w:pStyle w:val="TableContents"/>
              <w:bidi w:val="0"/>
              <w:spacing w:before="0" w:after="283"/>
              <w:jc w:val="both"/>
              <w:rPr/>
            </w:pPr>
            <w:hyperlink w:anchor="nd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nd_002">
              <w:r>
                <w:rPr>
                  <w:rStyle w:val="InternetLink"/>
                  <w:rFonts w:ascii="Times New Roman;Times;Serif" w:hAnsi="Times New Roman;Times;Serif"/>
                  <w:b w:val="false"/>
                  <w:i w:val="false"/>
                  <w:caps w:val="false"/>
                  <w:smallCaps w:val="false"/>
                  <w:sz w:val="20"/>
                </w:rPr>
                <w:t>RISK FACTOR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70" w:type="dxa"/>
            <w:tcBorders/>
            <w:shd w:fill="CCEEFF" w:val="clear"/>
            <w:vAlign w:val="center"/>
          </w:tcPr>
          <w:p>
            <w:pPr>
              <w:pStyle w:val="TableContents"/>
              <w:bidi w:val="0"/>
              <w:spacing w:before="0" w:after="283"/>
              <w:jc w:val="both"/>
              <w:rPr/>
            </w:pPr>
            <w:hyperlink w:anchor="nd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70" w:type="dxa"/>
            <w:tcBorders/>
            <w:shd w:fill="FFFFFF" w:val="clear"/>
            <w:vAlign w:val="center"/>
          </w:tcPr>
          <w:p>
            <w:pPr>
              <w:pStyle w:val="TableContents"/>
              <w:bidi w:val="0"/>
              <w:spacing w:before="0" w:after="283"/>
              <w:jc w:val="both"/>
              <w:rPr/>
            </w:pPr>
            <w:hyperlink w:anchor="nd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both"/>
              <w:rPr/>
            </w:pPr>
            <w:hyperlink w:anchor="nd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470" w:type="dxa"/>
            <w:tcBorders/>
            <w:shd w:fill="FFFFFF" w:val="clear"/>
            <w:vAlign w:val="center"/>
          </w:tcPr>
          <w:p>
            <w:pPr>
              <w:pStyle w:val="TableContents"/>
              <w:bidi w:val="0"/>
              <w:spacing w:before="0" w:after="283"/>
              <w:jc w:val="both"/>
              <w:rPr/>
            </w:pPr>
            <w:hyperlink w:anchor="nd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70" w:type="dxa"/>
            <w:tcBorders/>
            <w:shd w:fill="CCEEFF" w:val="clear"/>
            <w:vAlign w:val="center"/>
          </w:tcPr>
          <w:p>
            <w:pPr>
              <w:pStyle w:val="TableContents"/>
              <w:bidi w:val="0"/>
              <w:spacing w:before="0" w:after="283"/>
              <w:jc w:val="both"/>
              <w:rPr/>
            </w:pPr>
            <w:hyperlink w:anchor="nd_007">
              <w:r>
                <w:rPr>
                  <w:rStyle w:val="InternetLink"/>
                  <w:rFonts w:ascii="Times New Roman;Times;Serif" w:hAnsi="Times New Roman;Times;Serif"/>
                  <w:b w:val="false"/>
                  <w:i w:val="false"/>
                  <w:caps w:val="false"/>
                  <w:smallCaps w:val="false"/>
                  <w:sz w:val="20"/>
                </w:rPr>
                <w:t>MARKET FOR COMMON STOCK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70" w:type="dxa"/>
            <w:tcBorders/>
            <w:shd w:fill="FFFFFF" w:val="clear"/>
            <w:vAlign w:val="center"/>
          </w:tcPr>
          <w:p>
            <w:pPr>
              <w:pStyle w:val="TableContents"/>
              <w:bidi w:val="0"/>
              <w:spacing w:before="0" w:after="283"/>
              <w:jc w:val="both"/>
              <w:rPr/>
            </w:pPr>
            <w:hyperlink w:anchor="nd_008">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70" w:type="dxa"/>
            <w:tcBorders/>
            <w:shd w:fill="CCEEFF" w:val="clear"/>
            <w:vAlign w:val="center"/>
          </w:tcPr>
          <w:p>
            <w:pPr>
              <w:pStyle w:val="TableContents"/>
              <w:bidi w:val="0"/>
              <w:spacing w:before="0" w:after="283"/>
              <w:jc w:val="both"/>
              <w:rPr/>
            </w:pPr>
            <w:hyperlink w:anchor="nd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70" w:type="dxa"/>
            <w:tcBorders/>
            <w:shd w:fill="FFFFFF" w:val="clear"/>
            <w:vAlign w:val="center"/>
          </w:tcPr>
          <w:p>
            <w:pPr>
              <w:pStyle w:val="TableContents"/>
              <w:bidi w:val="0"/>
              <w:spacing w:before="0" w:after="283"/>
              <w:jc w:val="both"/>
              <w:rPr/>
            </w:pPr>
            <w:hyperlink w:anchor="QUA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70" w:type="dxa"/>
            <w:tcBorders/>
            <w:shd w:fill="CCEEFF" w:val="clear"/>
            <w:vAlign w:val="center"/>
          </w:tcPr>
          <w:p>
            <w:pPr>
              <w:pStyle w:val="TableContents"/>
              <w:bidi w:val="0"/>
              <w:spacing w:before="0" w:after="283"/>
              <w:jc w:val="both"/>
              <w:rPr/>
            </w:pPr>
            <w:hyperlink w:anchor="nd_011">
              <w:r>
                <w:rPr>
                  <w:rStyle w:val="InternetLink"/>
                  <w:rFonts w:ascii="Times New Roman;Times;Serif" w:hAnsi="Times New Roman;Times;Serif"/>
                  <w:b w:val="false"/>
                  <w:i w:val="false"/>
                  <w:caps w:val="false"/>
                  <w:smallCaps w:val="false"/>
                  <w:sz w:val="20"/>
                </w:rPr>
                <w:t>BUSINESS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70" w:type="dxa"/>
            <w:tcBorders/>
            <w:shd w:fill="FFFF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BOARD OF DIRECTORS AND MANAGEMENT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47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EXECUTIVE COMPENSATION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470"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CERTAIN RELATIONSHIPS AND RELATED TRANSACTIONS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47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470"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SELLING STOCKHOLDERS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7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both"/>
              <w:rPr/>
            </w:pPr>
            <w:hyperlink w:anchor="z_001">
              <w:r>
                <w:rPr>
                  <w:rStyle w:val="InternetLink"/>
                  <w:rFonts w:ascii="Times New Roman;Times;Serif" w:hAnsi="Times New Roman;Times;Serif"/>
                  <w:b w:val="false"/>
                  <w:i w:val="false"/>
                  <w:caps w:val="false"/>
                  <w:smallCaps w:val="false"/>
                  <w:sz w:val="20"/>
                </w:rPr>
                <w:t>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nd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carefully read this prospectus and any prospectus supplement, together with the information as described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U.S. federal trademark registrations and applications, and unregistered trademarks and servicemarks, including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nd_002"/>
      <w:bookmarkEnd w:id="3"/>
      <w:r>
        <w:rPr>
          <w:rFonts w:ascii="Times New Roman;Times;Serif" w:hAnsi="Times New Roman;Times;Serif"/>
          <w:b/>
          <w:i w:val="false"/>
          <w:caps w:val="false"/>
          <w:smallCaps w:val="false"/>
          <w:sz w:val="20"/>
        </w:rPr>
        <w:t>RISK FACTOR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that could adversely affect our business, operations, and financial results. A more thorough discussion of these and other risks are listed under the section entitled “Risk Factors” commencing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regarding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outside of being a research and development-stage company, which may make it difficult to evaluate the prospects for the Company’s future viability.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need additional funding. If Microbot is unable to raise capital when needed, it could be forced to delay, reduce or eliminate its product development programs or commercialization efforts.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Unsuccessful animal studies, clinical trials or procedures relating to product candidates under development could have a material adverse effect on Microbot’s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depends heavily on the success of its sole lead product candidate,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If Microbot is unable to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experiences significant delays in doing so, Microbot’s business will be materially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Microbot’s research and development efforts are uncertain and there can be no assurance of the commercial success of Microbot’s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not meet its development and commercialization objectives in a timely manner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expand its technology platforms for other uses may be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Microbot does not know the extent of the clinical trial that the FDA will require it to submit in support of its future marketing applications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which creates uncertainty for Microbot as well as the possibility of increased product development costs and time to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technology acquired from CardioSert and part of its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 is subject to a buy-back clause which was triggered, thus causing us to lose rights to the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commercial opportunity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any other commercial products that may be developed by Microbot is smaller than Microbot anticipates, Microbot’s future revenue from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such other products will be adversely affected and Microbot’s business will suffer.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will be unlikely to buy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candidates unless Microbot can demonstrate that they can be produced for sale to consumers at attractive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relied on, and intends to continue to rely on, third-party manufacturers to produce its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product candidates are not considered to be a safe and effective alternative to existing technologies, Microbot will not be commercially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be subject to penalties and may be precluded from marketing its product candidates if Microbot fails to comply with extensive governmental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outcome studies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may not provide sufficient data to make Microbot’s product candidates the standard of care.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products may in the future be subject to mandatory product recalls that could harm its reputation, business and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exposed to significant liability claims if Microbot is unable to obtain insurance at acceptable costs and adequate levels or otherwise protect itself against potential product liability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retain certain of its key personnel and attract and retain additional qualified personnel, Microbot might not be able to pursue its growth strategy effectively.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obtain regulatory clearances in other countries for its product candidates under development, Microbot will not be able to commercialize these product candidates in those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operations in international markets involve inherent risks that Microbot may not be able to 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litigation and infringement claims could cause Microbot to incur significant expenses or prevent Microbot from selling certain of its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and therefore, political conditions in Israel may affect Microbot’s operations and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relations could limit Microbot’s ability to sell or buy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economy may become unstable.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between the U.S. dollar and the NIS currencies may negatively affect Microbot’s operating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and other benefits provided by Israeli government programs may be terminated or reduced in the future and the terms of such funding may have a significant impact on future corporate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Microbot’s employees are obligated to perform military reserve duty in Israel.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Risks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outstanding warrants and options could cause immediate and substantial dilution to existing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nd_003"/>
      <w:bookmarkEnd w:id="4"/>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we are developing the first ever fully disposable robot for various endovascular interventional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Plaintiffs filed a stipulation discontinuing the Lawsuit with prejudice.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Investment Option Inducement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This core-business focus program includes the cessation of research and development activities not related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we submitted an Investigational Device Exemption (IDE) application with the U.S. Food and Drug Administration, in order to commence our pivotal clinical trial in humans, and as of the date of this prospectus, we are continuing our interaction with the FDA regarding our IDE submission process. See “Business–Government Regulation–U.S. Regulation–Description of the IDE process”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 - Can be made compatible with Microbot’s NitiLoop’s NovaCross® 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pivotal study was conducted by three leading interventional radiologists that utilized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were used in the study. All 6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“–Government Regulation–U.S. Regulation–Description of the IDE process”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described above,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nd_0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1,005,965 shares of our common stock, issued to the Plaintiffs pursuant to the settlement of the Empery/Hudson Bay Lawsuit. See “ Prospectus Summary–Recent Developments–Settlement of Lawsuit” above.</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4160"/>
        <w:gridCol w:w="60"/>
        <w:gridCol w:w="1505"/>
      </w:tblGrid>
      <w:tr>
        <w:trPr/>
        <w:tc>
          <w:tcPr>
            <w:tcW w:w="4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offered by the selling stockholders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1,005,965 shares</w:t>
            </w:r>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before the offering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14,398,964 shares</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14,398,964 shares</w:t>
            </w:r>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5410" w:type="dxa"/>
        <w:jc w:val="left"/>
        <w:tblInd w:w="0" w:type="dxa"/>
        <w:tblLayout w:type="fixed"/>
        <w:tblCellMar>
          <w:top w:w="0" w:type="dxa"/>
          <w:left w:w="0" w:type="dxa"/>
          <w:bottom w:w="0" w:type="dxa"/>
          <w:right w:w="0" w:type="dxa"/>
        </w:tblCellMar>
      </w:tblPr>
      <w:tblGrid>
        <w:gridCol w:w="305"/>
        <w:gridCol w:w="510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April 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Please read the information contained under the heading “Risk Factors” beginning on page 11 of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nd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December 31, 2023, the Company had unrestricted cash, cash equivalents and marketable securities of approximately $6.4 million. This does not include the approximately $2.4 million in net proceeds we received in our warrant reset transaction that closed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development-stage medical device company and currently generates no revenue from product sales, and may never be able to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future product candidates. Microbot does not currently have the required approvals or clearances to market or test in humans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a limited operating history outside of being a research and development-stage company, which may make it difficult to evaluate the prospects for the Company’s future viability.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need additional funding. If Microbot is unable to raise capital when needed, it could be forced to delay, reduce or eliminate its product development programs or commercialization efforts.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research and development expenses of the Company to continue to increase substantially in future periods as it conducts preclinical studies in large animals and potentially clinical trials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especially if it initiates additional research programs for future product candidates. This is the case even with the recent suspension and termination of the research and development programs relating to the SCS device,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Company’s future capital requirements, generally, will depend on many factors,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outcomes of the product candidates’ regulatory reviews, subsequent approvals or clearances, or other regulatory actions;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design, duration and any potential delays of the clinical trials that could be conducted at the FDA’s request using Microbot’s product candidates;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licensing or investing in new and existing businesses, product candidates and technologies;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maintain, expand and defend the scope of Microbot’s intellectual property portfolio;</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secure or establish sales, marketing and commercial manufacturing capabilities or arrangements with third parties regarding same;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and ability to hire additional management and scientific and medical personnel;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operate as a public company in the United States.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animal studies, clinical trials or procedures relating to product candidates under development could have a material adverse effect on Microbot’s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complete the studies or trials in a timely and cost-effective manner could have a material adverse effect on Microbot’s prospects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business depends heavily on the success of its sole lead product candidate,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If Microbot is unable to commercialize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or experiences significant delays in doing so, Microbot’s business will be materially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after all necessary clinical and performance data supporting the safety and effectiveness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of our other product candidates from time to time. The success of commercializing any of our product candidates, include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will depend on a number of factors,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animal studies and human clinical trials and the collection of sufficient data to demonstrate that the device is safe and effective for its intended use;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or clearances from the FDA and other applicable regulatory authorities, which we continue to seek;</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arrangements with one or more third parties;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Microbot’s rights in its intellectual property portfolio;</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sales, marketing and distribution capabilities;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generating commercial sales, if and when approved, whether alone or in collaboration with other entities;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product candidates, if and when commercially launched, by the medical community, patients and third-party payors;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existing and competitive products on the market and any new competing products that may enter the market;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quality and an acceptable safety profile of our products following clearance or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suspended our research and development programs for all of our product candidates and platforms other than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as a result of, among other things, some of the above factors, and our short and medium term success is no longer tied to multiple product candidates but rather just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If Microbot does not achieve one or more of these factors in a timely manner or at all, it could experience significant delays or an inability to successfully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which would materially harm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Microbot’s research and development efforts are uncertain and there can be no assurance of the commercial success of Microbot’s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not meet its development and commercialization objectives in a timely manner or at all.</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ability to expand its technology platforms for other uses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this time, Microbot does not know the extent of the clinical trial that the FDA will require it to submit in support of its future marketing applications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which creates uncertainty for Microbot as well as the possibility of increased product development costs and time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identified a predicate device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requires clinical data to be submitted as part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addition of one or more mandatory clinical trials to the development timeline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technology acquired from CardioSert and part of its One &amp; Done</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feature is subject to a buy-back clause which was triggered, causing us to lose rights to the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 affect our ability to develop and commercialize, or materially delay the development and commercialization of, our One &amp; Done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feature, as, if and when we restart that feature with our Nitiloop technology.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the component parts that we use to manufacture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commercial opportunity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and any other commercial products that may be developed by Microbot is smaller than Microbot anticipates, Microbot’s future revenue from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and such other products will be adversely affected and Microbot’s business will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 will be unlikely to buy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or any other product candidates unless Microbot can demonstrate that they can be produced for sale to consumers at attractive prices.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focused primarily on research and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relied on, and intends to continue to rely on, third-party manufacturers to produce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internal operational problems or scheduling constraints of third parties;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regulatory non-compliance or other violations by the third-party manufacturer that could result in quality assurance;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 parties because of various factors beyond Microbot’s control;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manufacturing agreements by third parties for various reasons beyond Microbot’s control, at a time that is costly or inconvenient to Microbot.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product candidates are not considered to be a safe and effective alternative to existing technologies, Microbot will not be commercially successful.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be subject to penalties and may be precluded from marketing its product candidates if Microbot fails to comply with extensive governmental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Microbot’s product offerings are used across diverse healthcare settings, they will be affected to varying degrees by the different payment systems.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outcome studies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may not provide sufficient data to make such product candidate the standard of care.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relies on the broad adoption by surgeons of the product for its planned applications.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studies may not show an advantage in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materially impact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products may in the future be subject to mandatory product recalls that could harm its reputation, business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75"/>
        <w:gridCol w:w="170"/>
        <w:gridCol w:w="900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detention or seizure of Microbot products;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510(k) clearance or premarket approval of new products or modified products;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510(k) clearances or other types of regulatory authorizations -that have already been granted;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shd w:fill="FFFFFF" w:val="clear"/>
        <w:tblLayout w:type="fixed"/>
        <w:tblCellMar>
          <w:top w:w="0" w:type="dxa"/>
          <w:left w:w="0" w:type="dxa"/>
          <w:bottom w:w="0" w:type="dxa"/>
          <w:right w:w="0" w:type="dxa"/>
        </w:tblCellMar>
      </w:tblPr>
      <w:tblGrid>
        <w:gridCol w:w="75"/>
        <w:gridCol w:w="170"/>
        <w:gridCol w:w="480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8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Microbot products;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8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could be exposed to significant liability claims if Microbot is unable to obtain insurance at acceptable costs and adequate levels or otherwise protect itself against potential product liability claims.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retain certain of its key personnel and attract and retain additional qualified personnel, Microbot might not be able to pursue its growth strategy effectively.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carry, and does not intend to carry, any key person life insurance policies on any of its existing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obtain regulatory clearances in other countries for its product candidates under development, Microbot will not be able to commercialize these product candidates in those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Microbot to market its product candidates in countries other than the United States, it must comply with the safety and quality regulations in such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engaged with a leading notified body to secure a CE Mark for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it is not yet certain as to when we will secure the CE Mark, and we cannot be certain that we will be successful in complying with the requirements of the CE Certificate of Conformity and receiving a CE Mark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product candidates or in continuing to meet the requirements of the Medical Devices Directive in the European Economic Area (EEA).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operations in international markets involve inherent risks that Microbot may not be able to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shd w:fill="FFFFFF" w:val="clear"/>
        <w:tblLayout w:type="fixed"/>
        <w:tblCellMar>
          <w:top w:w="0" w:type="dxa"/>
          <w:left w:w="0" w:type="dxa"/>
          <w:bottom w:w="0" w:type="dxa"/>
          <w:right w:w="0" w:type="dxa"/>
        </w:tblCellMar>
      </w:tblPr>
      <w:tblGrid>
        <w:gridCol w:w="75"/>
        <w:gridCol w:w="170"/>
        <w:gridCol w:w="794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9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affecting geographies where Microbot intends to do business;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9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international borders, including as a result of biohazards or pandemics;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9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9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or social unrest or economic instability in a specific country or region;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9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of doing business in certain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claims on foreign patents, copyrights or trademark rights;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operations across disparate geographic areas;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enforcing agreements and intellectual property rights through foreign legal systems;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and other regulatory requirements, which affect Microbot’s ability to import or export its product candidates from or to various countries;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legal and regulatory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conflict, terrorist activities, natural disasters and medical epidemics;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recruit and retain channel partners in foreign jurisdictions.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financial results may be affected by fluctuations in exchange rates and Microbot’s current currency hedging strategy may not be sufficient to counter such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and infringement claims could cause Microbot to incur significant expenses or prevent Microbot from selling certain of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facilities located in Israel, and therefore, political conditions in Israel may affect Microbot’s operations and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relations could limit Microbot’s ability to sell or buy internationally.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Israel’s economy may become unstable.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NIS currencies may negatively affect Microbot’s operating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and other benefits provided by Israeli government programs may be terminated or reduced in the future and the terms of such funding may have a significant impact on future corporate decisions.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received approval for a grant from the Ministry of Economy of the State of Israel in the amount of approximately NIS 300,000,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Microbot’s employees are obligated to perform military reserve duty in Israel.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non-Israeli judgment against Microbot or its officers and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Securities, Governance and Other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cash dividends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retain our earnings, if any, for future growth and therefore do not anticipate paying cash dividends on our common stock in the future. Investors seeking cash dividends should not invest in our common stock for that purpose.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under Delaware law may prevent or frustrate attempts by stockholders to change the board of directors or current management and could make a third-party acquisition of the Company difficult.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the Company’s investors, restrict its operations or require it to relinquish rights to its technologies or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any other products that it may from time to time seek to develop or commercialize in the future.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strategy in part relies on identifying, acquiring and developing complementary technologies and products, which entails risks which could negatively affect our business,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again in the future pursue other acquisitions of businesses and technologies. Acquisitions entail numerous risks,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05" w:type="dxa"/>
        <w:jc w:val="left"/>
        <w:tblInd w:w="0" w:type="dxa"/>
        <w:shd w:fill="FFFFFF" w:val="clear"/>
        <w:tblLayout w:type="fixed"/>
        <w:tblCellMar>
          <w:top w:w="0" w:type="dxa"/>
          <w:left w:w="0" w:type="dxa"/>
          <w:bottom w:w="0" w:type="dxa"/>
          <w:right w:w="0" w:type="dxa"/>
        </w:tblCellMar>
      </w:tblPr>
      <w:tblGrid>
        <w:gridCol w:w="75"/>
        <w:gridCol w:w="170"/>
        <w:gridCol w:w="80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the integration of acquired operations, services and products;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expected synergies;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 of unknown material liabilities of acquired companies;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 which could reduce future reported earnings;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funding to properly and adequately develop and commercialize the technologies acquired;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clients or key employees of acquired companies;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to existing stockholders.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be volatile.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may be volatile and subject to wide fluctuations in response to factors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or operational estimates or projections;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markets generally;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similar to ours;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acquisitions, strategic partnerships, joint ventures or capital commitments;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the United States, Israel or elsewhere.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upon exercise of outstanding warrants and options could cause immediate and substantial dilution to existing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nd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1,005,965 shares of common stock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nd_007"/>
      <w:bookmarkEnd w:id="8"/>
      <w:r>
        <w:rPr>
          <w:rFonts w:ascii="Times New Roman;Times;Serif" w:hAnsi="Times New Roman;Times;Serif"/>
          <w:b/>
          <w:i w:val="false"/>
          <w:caps w:val="false"/>
          <w:smallCaps w:val="false"/>
          <w:sz w:val="20"/>
        </w:rPr>
        <w:t>MARKET FOR COMMON STOCK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since November 29, 2016. Prior to that, our common stock was traded under the symbol “STEM.”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 2024, there were approximately 97 holders of record of our common stock, and the closing price of our common stock as reported on the NASDAQ Capital Market was $1.22.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nd_008"/>
      <w:bookmarkEnd w:id="9"/>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nd_009"/>
      <w:bookmarkEnd w:id="10"/>
      <w:r>
        <w:rPr>
          <w:rFonts w:ascii="Times New Roman;Times;Serif" w:hAnsi="Times New Roman;Times;Serif"/>
          <w:b/>
          <w:i w:val="false"/>
          <w:caps w:val="false"/>
          <w:smallCaps w:val="false"/>
          <w:sz w:val="20"/>
        </w:rPr>
        <w:t>MANAGEMENT’S DISCUSSION AND ANALYSIS OF FINANCIAL CONDITION AND RESULTS OF OPERATIONS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audited and unaudited financial statements and related notes included elsewhere in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legal services, and insurance expenses, net of insurance loss recoveries.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Significant Judgments and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2023 and 2022</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years ended December 31, 2023 and 2022 (in thousands):</w:t>
      </w:r>
    </w:p>
    <w:p>
      <w:pPr>
        <w:pStyle w:val="TextBody"/>
        <w:shd w:fill="FFFFFF" w:val="clear"/>
        <w:bidi w:val="0"/>
        <w:spacing w:before="0" w:after="0"/>
        <w:jc w:val="both"/>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4175"/>
        <w:gridCol w:w="60"/>
        <w:gridCol w:w="148"/>
        <w:gridCol w:w="672"/>
        <w:gridCol w:w="100"/>
        <w:gridCol w:w="63"/>
        <w:gridCol w:w="148"/>
        <w:gridCol w:w="672"/>
        <w:gridCol w:w="95"/>
        <w:gridCol w:w="60"/>
        <w:gridCol w:w="147"/>
        <w:gridCol w:w="668"/>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(5,724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(7,736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2,012</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General and administrative expenses,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(4,131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(5,545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1,414</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228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Loss on legal settlement,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(1,111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(1,111</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xml:space="preserve"> The decrease in research and development expenses of approximately $2.0 million in 2023 as compared to 2022 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 net.</w:t>
      </w:r>
      <w:r>
        <w:rPr>
          <w:rFonts w:ascii="Times New Roman;Times;Serif" w:hAnsi="Times New Roman;Times;Serif"/>
          <w:b w:val="false"/>
          <w:i w:val="false"/>
          <w:caps w:val="false"/>
          <w:smallCaps w:val="false"/>
          <w:sz w:val="20"/>
        </w:rPr>
        <w:t xml:space="preserve"> The decrease in general and administrative expenses of approximately $1.4 million in 2023 as compared to 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 net</w:t>
      </w:r>
      <w:r>
        <w:rPr>
          <w:rFonts w:ascii="Times New Roman;Times;Serif" w:hAnsi="Times New Roman;Times;Serif"/>
          <w:b w:val="false"/>
          <w:i w:val="false"/>
          <w:caps w:val="false"/>
          <w:smallCaps w:val="false"/>
          <w:sz w:val="20"/>
        </w:rPr>
        <w:t>. Financing income for the year ended December 31, 2023 included income from interest, net, totaling $283,000 and was partially offset by exchange rate losses of $55,000, compared to 2022, which consisted of income from interest, net, totaling $54,000, combined with exchange rate gains of $64,000.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on legal settlement, net.</w:t>
      </w:r>
      <w:r>
        <w:rPr>
          <w:rFonts w:ascii="Times New Roman;Times;Serif" w:hAnsi="Times New Roman;Times;Serif"/>
          <w:b w:val="false"/>
          <w:i w:val="false"/>
          <w:caps w:val="false"/>
          <w:smallCaps w:val="false"/>
          <w:sz w:val="20"/>
        </w:rPr>
        <w:t xml:space="preserve"> Loss on legal settlement, net for the year ended December 31, 2023 is related to the January 2024 issuance of restricted shares of our common stock to settle the Lawsuit pursuant to the Settlement Agreement. See “Part I–Recent Developments–Settlement of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not generated revenues from operations. Microbot has incurred losses since inception and negative cash flows from operating activities for all periods presented. As of December 31, 2023, Microbot had a net working capital of approximately $4.1 million, consisting primarily of cash and cash equivalents and marketable securities. This compares to net working capital of approximately $6.7 million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December 31, 2023, Microbot has raised cash proceeds of approximately $66.0 million and incurred a total cumulative loss of approximately $79.5 million.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December 31, 2023 in the total amount of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up to the grant amount plus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fiscal quarter of 2023, Microbot commenced a core-business focus program and a cost reduction plan while it sought to raise sufficient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May and June 2023, Microbot raised aggregate gross proceeds of approximately $7.6 million, before fees and expenses of approximately $1.1 million, from investors, to continue to fund its operations and research and development activities and will need additional funds to continue the FDA approval process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also raised approximately $2.7 million in gross proceeds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annual financial statements do not include any adjustments to reflect the possible future effects on recoverability and reclassification of assets or the amounts and classification of liabilities that may result from the outcome of this uncertainty.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shd w:fill="FFFFFF" w:val="clear"/>
        <w:bidi w:val="0"/>
        <w:spacing w:before="0" w:after="0"/>
        <w:jc w:val="both"/>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5435"/>
        <w:gridCol w:w="60"/>
        <w:gridCol w:w="140"/>
        <w:gridCol w:w="575"/>
        <w:gridCol w:w="95"/>
        <w:gridCol w:w="60"/>
        <w:gridCol w:w="140"/>
        <w:gridCol w:w="755"/>
        <w:gridCol w:w="110"/>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br/>
              <w:t>December 31,</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w:t>
            </w:r>
            <w:r>
              <w:rPr>
                <w:rFonts w:ascii="Times New Roman;Times;Serif" w:hAnsi="Times New Roman;Times;Serif"/>
                <w:b/>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w:t>
            </w:r>
            <w:r>
              <w:rPr>
                <w:rFonts w:ascii="Times New Roman;Times;Serif" w:hAnsi="Times New Roman;Times;Serif"/>
                <w:b/>
                <w:sz w:val="20"/>
              </w:rPr>
              <w:t>2</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75" w:type="dxa"/>
            <w:tcBorders/>
            <w:shd w:fill="CCEEFF" w:val="clear"/>
            <w:vAlign w:val="center"/>
          </w:tcPr>
          <w:p>
            <w:pPr>
              <w:pStyle w:val="TableContents"/>
              <w:bidi w:val="0"/>
              <w:spacing w:before="0" w:after="283"/>
              <w:jc w:val="right"/>
              <w:rPr/>
            </w:pPr>
            <w:r>
              <w:rPr/>
              <w:t>(8</w:t>
            </w:r>
            <w:r>
              <w:rPr>
                <w:rFonts w:ascii="Times New Roman;Times;Serif" w:hAnsi="Times New Roman;Times;Serif"/>
                <w:sz w:val="20"/>
              </w:rPr>
              <w:t>,533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w:t>
            </w:r>
            <w:r>
              <w:rPr>
                <w:rFonts w:ascii="Times New Roman;Times;Serif" w:hAnsi="Times New Roman;Times;Serif"/>
                <w:sz w:val="20"/>
              </w:rPr>
              <w:t>,549</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1</w:t>
            </w:r>
            <w:r>
              <w:rPr>
                <w:rFonts w:ascii="Times New Roman;Times;Serif" w:hAnsi="Times New Roman;Times;Serif"/>
                <w:sz w:val="20"/>
              </w:rPr>
              <w:t>,973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r>
              <w:rPr>
                <w:rFonts w:ascii="Times New Roman;Times;Serif" w:hAnsi="Times New Roman;Times;Serif"/>
                <w:sz w:val="20"/>
              </w:rPr>
              <w:t>,836</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r>
              <w:rPr>
                <w:rFonts w:ascii="Times New Roman;Times;Serif" w:hAnsi="Times New Roman;Times;Serif"/>
                <w:sz w:val="20"/>
              </w:rPr>
              <w:t>,558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r>
              <w:rPr>
                <w:rFonts w:ascii="Times New Roman;Times;Serif" w:hAnsi="Times New Roman;Times;Serif"/>
                <w:sz w:val="20"/>
              </w:rPr>
              <w:t>,324</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(11,061</w:t>
            </w:r>
          </w:p>
        </w:tc>
        <w:tc>
          <w:tcPr>
            <w:tcW w:w="11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2023 of cash flows used in operating activities compared to 2022 was primarily from a decrease in research and development expenses relating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2023 as a result of the Company’s May 2023 cost reduction plan and core-business focus program.</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investing activities increased in 2023 compared to 2022 by approximately $5.8 million, primarily from the net purchases of marketable securities in 2022.</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financing activities increased in 2023 by approximately $2.2 million due to increased issuances of common stock and warrants in 2023.</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QUA_001"/>
      <w:bookmarkEnd w:id="11"/>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nd_011"/>
      <w:bookmarkEnd w:id="12"/>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we are developing the first ever fully disposable robot for various endovascular interventional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 - Can be made compatible with Microbot’s NitiLoop’s NovaCross® 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were used in the study. All 6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“–Government Regulation–U.S. Regulation–Description of the IDE process”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described below,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Plaintiffs filed a stipulation discontinuing the Lawsuit with prejudice.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Investment Option Inducement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This core-business focus program includes the cessation of research and development activities not related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we submitted an Investigational Device Exemption (IDE) application with the U.S. Food and Drug Administration, in order to commence our pivotal clinical trial in humans, and as of the date of this prospectus, we are continuing our interaction with the FDA regarding our IDE submission process. See “–Government Regulation–U.S. Regulation–Description of the IDE process”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Minimally Invasive Robot-Assisted Endovascular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with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coupled with its own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products and other off-the-shelf products, it is well-positioned to deliver a value-added endovascular robotic system, with a focus on improving the ease and access and enhancing the safety of endovascular interventions.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goal is to generate sales of its products, once they have received regulatory approval, by establishing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Continue to refine existing product candidates and develop additional surgical robotic solutions</w:t>
            </w:r>
            <w:r>
              <w:rPr>
                <w:rFonts w:ascii="Times New Roman;Times;Serif" w:hAnsi="Times New Roman;Times;Serif"/>
                <w:b w:val="false"/>
                <w:i w:val="false"/>
                <w:caps w:val="false"/>
                <w:smallCaps w:val="false"/>
                <w:sz w:val="20"/>
              </w:rPr>
              <w:t>.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 and leverage relationships with key institutions and leading clinicians</w:t>
            </w:r>
            <w:r>
              <w:rPr>
                <w:rFonts w:ascii="Times New Roman;Times;Serif" w:hAnsi="Times New Roman;Times;Serif"/>
                <w:b w:val="false"/>
                <w:i w:val="false"/>
                <w:caps w:val="false"/>
                <w:smallCaps w:val="false"/>
                <w:sz w:val="20"/>
              </w:rPr>
              <w:t>. Microbot’s objective will be to maintain clinical focus with leading hospitals and clinics so as to establish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Continuously invest in research and development</w:t>
            </w:r>
            <w:r>
              <w:rPr>
                <w:rFonts w:ascii="Times New Roman;Times;Serif" w:hAnsi="Times New Roman;Times;Serif"/>
                <w:b w:val="false"/>
                <w:i w:val="false"/>
                <w:caps w:val="false"/>
                <w:smallCaps w:val="false"/>
                <w:sz w:val="20"/>
              </w:rPr>
              <w:t>. Microbot’s most significant expense has historically been research and development, and 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Explore partnerships for the introduction of Microbot’s products</w:t>
            </w:r>
            <w:r>
              <w:rPr>
                <w:rFonts w:ascii="Times New Roman;Times;Serif" w:hAnsi="Times New Roman;Times;Serif"/>
                <w:b w:val="false"/>
                <w:i w:val="false"/>
                <w:caps w:val="false"/>
                <w:smallCaps w:val="false"/>
                <w:sz w:val="20"/>
              </w:rPr>
              <w:t>.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Seek additional IP and technologies to complement and strengthen Microbot’s current IP portfolio</w:t>
            </w:r>
            <w:r>
              <w:rPr>
                <w:rFonts w:ascii="Times New Roman;Times;Serif" w:hAnsi="Times New Roman;Times;Serif"/>
                <w:b w:val="false"/>
                <w:i w:val="false"/>
                <w:caps w:val="false"/>
                <w:smallCaps w:val="false"/>
                <w:sz w:val="20"/>
              </w:rPr>
              <w:t>. Microbot intends to continue exploring new technologies, IP and know-how to add to its current portfolio through licensing, mergers and/or acquisitions and to allow Microbot to enter new spaces and strengthen its overall product portfolio.</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Competitive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main competitor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core technology is co-owned by Microbot and The Technion Research and Development Foundation Ltd., or TRDF. The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 trademarks in Israel, Europe, UK and the U.S. relating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the Technion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Microbot’s research and development efforts are to continue to introduce incremental enhancements to the capabilities of its candidate products and to advance the development of proposed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agreement with Nitiloop, on October 6, 2022, Microbot Israel took over the liability to repay Nitiloop’s IIA grants in the aggregate amount of approximately $925,000.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3%-5% of its future sales of the products relating to such grants.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2022, the Company received approval for a grant from the Ministry of Economy, in the amount of NIS 300,000 (approximately $83,000),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received approximately $27,000 of such amount.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with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up to the grant amount plus interest.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to continue to access government funding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2022 and 2023, respectively, Microbot incurred research and development expenses of approximately $7,736,000 and $5,724,000.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not yet established a sales, marketing or product distribution infrastructure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pStyle w:val="TextBody"/>
        <w:shd w:fill="FFFFFF" w:val="clear"/>
        <w:bidi w:val="0"/>
        <w:spacing w:before="0" w:after="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design, and development;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safety, testing, labeling and storage;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marketing.</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FDA regulatory requirements governing the approval or clearance and subsequent commercial marketing of Microbot’s products. These include:</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submission of product listing and establishment registration information, along with associated establishment user fees;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and FDA prohibitions against the promotion of products for uncleared, unapproved or off-label use or indication;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clearance or approval of product modifications that could significantly affect the safety or effectiveness of the device or that would constitute a major change in intended use;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use of the Corrective and Preventive Actions process to identify and correct or prevent significant systemic failures of products or processes or in trends which suggest same;</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restrictions or conditions, including post-approval study commitments;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regulations, which apply when necessary to protect the public health or to provide additional safety and effectiveness data for the device;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correction or removal and recall regulations.</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comprehensive product description and indications for use;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review of predicate devices and development of data supporting the new product’s substantial equivalence to one or more predicate devices;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appropriate and required, certain types of clinical trials (IDE submission and approval may be required for conducting a clinical trial in the U.S.).</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Description of the IDE process</w:t>
      </w:r>
      <w:r>
        <w:rPr>
          <w:rFonts w:ascii="Times New Roman;Times;Serif" w:hAnsi="Times New Roman;Times;Serif"/>
          <w:b w:val="false"/>
          <w:i w:val="false"/>
          <w:caps w:val="false"/>
          <w:smallCaps w:val="false"/>
          <w:sz w:val="20"/>
        </w:rPr>
        <w:t>.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510(k) clearance typically involves the following: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510(k) clearance letter from the FDA will authorize commercial marketing of the device for one or more specific indications for use.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Microbot receives a Not Substantially Equivalent determination for either of its device candidates in response to a 510(k) submission, the Microbot device may still be eligible for the 510(k) de-novo classification process.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w:t>
      </w:r>
      <w:r>
        <w:rPr>
          <w:rFonts w:ascii="Times New Roman;Times;Serif" w:hAnsi="Times New Roman;Times;Serif"/>
          <w:b w:val="false"/>
          <w:i w:val="false"/>
          <w:caps w:val="false"/>
          <w:smallCaps w:val="false"/>
          <w:sz w:val="20"/>
        </w:rPr>
        <w:t>. The primary regulatory body in Europe is the European Union, or E.U., which consists of 27 member states and has a coordinated system for the authorization of medical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pStyle w:val="TextBody"/>
        <w:bidi w:val="0"/>
        <w:spacing w:before="0" w:after="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obtain CE Marking certification, comply with European Commission Regulation (EU) No. 2017/745, commonly known as the Medical Device Regulation (MDR).</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 a Person Responsible for Regulatory Compliance (PRRC). Determine classification of device - Class I (self-certified); Class I (sterile, measuring or reusable surgical instrument); Class IIa, Class IIb, or Class III.</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For all devices except Class I (self-certified), the QMS and Technical Documentation or Design Dossier must be audited by a Notified Body, a third-party accredited by European authorities to audit medical device companies and products.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Prepare a Declaration of Conformity, a legally binding document prepared by the manufacturer stating that the device is in compliance with the applicable European requirements. At this time, the CE Marking may be affixed.</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Register the device and its Unique Device Identifier (UDI) in the EUDAMED database. UDI must be on label and associated with the regulatory documents.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r>
      <w:r>
        <w:rPr>
          <w:rFonts w:ascii="Times New Roman;Times;Serif" w:hAnsi="Times New Roman;Times;Serif"/>
          <w:b w:val="false"/>
          <w:i w:val="false"/>
          <w:caps w:val="false"/>
          <w:smallCaps w:val="false"/>
          <w:sz w:val="20"/>
        </w:rPr>
        <w:t>.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medical devices requires the submission of an application to the Ministry of Health Medical Institutions and Devices Licensing Department, or AMAR. An application for the registration of a medical device includes the following:</w:t>
      </w:r>
    </w:p>
    <w:p>
      <w:pPr>
        <w:pStyle w:val="TextBody"/>
        <w:shd w:fill="FFFFFF" w:val="clear"/>
        <w:bidi w:val="0"/>
        <w:spacing w:before="0" w:after="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the manufacturer, and of the importer as applicable;</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intended use of the medical device and of its medical indications;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details of the medical device and of its components, and in the event that the device or the components are not new, information should be provided on the date or renovation;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attesting to the safety of the device, issued by a competent authority of one of the following countries: Australia, Canada, European Community (EC), Member States (MSs), Israel, Japan, or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any risk which may be associated with the use of the device (including precautionary measures to be taken);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use of the device in Hebrew; the MOH may allow the instructions to be in English for certain devices;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standards to which the device complies;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technical and maintenance services, including periodic checks and inspections;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as appropriate: of the local manufacturer/importer, and of the foreign manufacturer.</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pStyle w:val="TextBody"/>
        <w:shd w:fill="FFFFFF" w:val="clear"/>
        <w:bidi w:val="0"/>
        <w:spacing w:before="0" w:after="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 and maintain a place of business in Israel and serve as the regulatory representative.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questions from AMAR concerning the registered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adverse events to AMAR.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the registration on time to keep the market approval active.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post-marketing requirements, including reporting of adverse and unexpected events occurring in Israel or in other countries where the device is in use.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Getting a device listed on Israel’s four major Sick Funds (health insurance entities) is also necessary in order for Israeli hospitals and health care providers to order such products.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caps w:val="false"/>
          <w:smallCaps w:val="false"/>
          <w:sz w:val="20"/>
        </w:rPr>
        <w:t>Litigation Resulting from 2017 Financing</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26, 2024 (the “Effective Date”), we entered into a Settlement Agreement and Release with the Plaintiffs. Pursuant to the Settlement Agreement, we paid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Plaintiffs are expected to file a stipulation discontinuing the Empery/Hudson Bay Lawsuit with prejudice.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Rights Agreement, we are filing a registration statement on Form S-1, of which this prospectus forms a part, covering the resale of the 1,005,965 shares, and we agreed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Property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 2024, we have 22 employees (including full-time and hourly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been able to attract and retain top talent by creating a culture that challenges and engages our employees, offering them opportunities to learn, grow and achieve their career goals.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Benefits and Wellbeing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Training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provide our employees with advanced professional and development skills, so that they can perform effectively in their roles and build their capabilities and career prospects for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Diversity, Equity and Inclusion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encourage a diversity of views and to create an equal opportunity workplace. During the past year, we have increased the total number of women in management positions.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01"/>
      <w:bookmarkEnd w:id="13"/>
      <w:r>
        <w:rPr>
          <w:rFonts w:ascii="Times New Roman;Times;Serif" w:hAnsi="Times New Roman;Times;Serif"/>
          <w:b/>
          <w:i w:val="false"/>
          <w:caps w:val="false"/>
          <w:smallCaps w:val="false"/>
          <w:sz w:val="20"/>
        </w:rPr>
        <w:t>BOARD OF DIRECTORS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seven directors serving on our Board. The following table lists the names, ages and positions of the individuals who serve as directors of the Company, as of April 2, 2024:</w:t>
      </w:r>
    </w:p>
    <w:p>
      <w:pPr>
        <w:pStyle w:val="TextBody"/>
        <w:bidi w:val="0"/>
        <w:spacing w:before="0" w:after="0"/>
        <w:jc w:val="both"/>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2090"/>
        <w:gridCol w:w="60"/>
        <w:gridCol w:w="350"/>
        <w:gridCol w:w="60"/>
        <w:gridCol w:w="6020"/>
      </w:tblGrid>
      <w:tr>
        <w:trPr/>
        <w:tc>
          <w:tcPr>
            <w:tcW w:w="20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Audit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Corporate Governance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Compensation Committee.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classified Board, with each of our directors serving a staggered three-year term. The following table shows the current composition of the three classes of our Board:</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Directors (term scheduled to expire in 2025):</w:t>
      </w:r>
    </w:p>
    <w:p>
      <w:pPr>
        <w:pStyle w:val="TextBody"/>
        <w:shd w:fill="FFFFFF" w:val="clear"/>
        <w:bidi w:val="0"/>
        <w:spacing w:before="0" w:after="0"/>
        <w:jc w:val="both"/>
        <w:rPr>
          <w:caps w:val="false"/>
          <w:smallCaps w:val="false"/>
        </w:rPr>
      </w:pPr>
      <w:r>
        <w:rPr>
          <w:caps w:val="false"/>
          <w:smallCaps w:val="false"/>
        </w:rPr>
        <w:t> </w:t>
      </w:r>
    </w:p>
    <w:tbl>
      <w:tblPr>
        <w:tblW w:w="1385" w:type="dxa"/>
        <w:jc w:val="left"/>
        <w:tblInd w:w="0" w:type="dxa"/>
        <w:tblLayout w:type="fixed"/>
        <w:tblCellMar>
          <w:top w:w="0" w:type="dxa"/>
          <w:left w:w="0" w:type="dxa"/>
          <w:bottom w:w="0" w:type="dxa"/>
          <w:right w:w="0" w:type="dxa"/>
        </w:tblCellMar>
      </w:tblPr>
      <w:tblGrid>
        <w:gridCol w:w="75"/>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r>
    </w:tbl>
    <w:p>
      <w:pPr>
        <w:pStyle w:val="TextBody"/>
        <w:bidi w:val="0"/>
        <w:spacing w:before="0" w:after="283"/>
        <w:jc w:val="left"/>
        <w:rPr/>
      </w:pPr>
      <w:r>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Directors (term scheduled to expire in 2026):</w:t>
      </w:r>
    </w:p>
    <w:p>
      <w:pPr>
        <w:pStyle w:val="TextBody"/>
        <w:shd w:fill="FFFFFF" w:val="clear"/>
        <w:bidi w:val="0"/>
        <w:spacing w:before="0" w:after="0"/>
        <w:jc w:val="both"/>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75"/>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r>
    </w:tbl>
    <w:p>
      <w:pPr>
        <w:pStyle w:val="TextBody"/>
        <w:bidi w:val="0"/>
        <w:spacing w:before="0" w:after="283"/>
        <w:jc w:val="left"/>
        <w:rPr/>
      </w:pPr>
      <w:r>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Directors (term scheduled to expire in 2024):</w:t>
      </w:r>
    </w:p>
    <w:p>
      <w:pPr>
        <w:pStyle w:val="TextBody"/>
        <w:shd w:fill="FFFFFF" w:val="clear"/>
        <w:bidi w:val="0"/>
        <w:spacing w:before="0" w:after="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r>
    </w:tbl>
    <w:p>
      <w:pPr>
        <w:pStyle w:val="TextBody"/>
        <w:bidi w:val="0"/>
        <w:spacing w:before="0" w:after="283"/>
        <w:jc w:val="left"/>
        <w:rPr/>
      </w:pPr>
      <w:r>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Harel Gadot</w:t>
      </w:r>
      <w:r>
        <w:rPr>
          <w:rFonts w:ascii="Times New Roman;Times;Serif" w:hAnsi="Times New Roman;Times;Serif"/>
          <w:b w:val="false"/>
          <w:i w:val="false"/>
          <w:caps w:val="false"/>
          <w:smallCaps w:val="false"/>
          <w:sz w:val="20"/>
        </w:rPr>
        <w:t>, became President, Chief Executive Officer and Chairman of the Company’s Board following the consummation of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Yoseph Bornstein</w:t>
      </w:r>
      <w:r>
        <w:rPr>
          <w:rFonts w:ascii="Times New Roman;Times;Serif" w:hAnsi="Times New Roman;Times;Serif"/>
          <w:b w:val="false"/>
          <w:i w:val="false"/>
          <w:caps w:val="false"/>
          <w:smallCaps w:val="false"/>
          <w:sz w:val="20"/>
        </w:rPr>
        <w:t>, became a director of the Company following the Merger. Mr. Bornstein is a co-founder of Microbot Israel and has been a member of the 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Scott R. Burell</w:t>
      </w:r>
      <w:r>
        <w:rPr>
          <w:rFonts w:ascii="Times New Roman;Times;Serif" w:hAnsi="Times New Roman;Times;Serif"/>
          <w:b w:val="false"/>
          <w:i w:val="false"/>
          <w:caps w:val="false"/>
          <w:smallCaps w:val="false"/>
          <w:sz w:val="20"/>
        </w:rPr>
        <w:t>, became a director of the Company in November 2016. Since August 2018, Mr. Burell has been the Chief Financial 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Martin Madden</w:t>
      </w:r>
      <w:r>
        <w:rPr>
          <w:rFonts w:ascii="Times New Roman;Times;Serif" w:hAnsi="Times New Roman;Times;Serif"/>
          <w:b w:val="false"/>
          <w:i w:val="false"/>
          <w:caps w:val="false"/>
          <w:smallCaps w:val="false"/>
          <w:sz w:val="20"/>
        </w:rPr>
        <w:t>, has been a director of the Company since February 6, 2017. Mr. Madden has held various positions 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Prattipati Laxminarain</w:t>
      </w:r>
      <w:r>
        <w:rPr>
          <w:rFonts w:ascii="Times New Roman;Times;Serif" w:hAnsi="Times New Roman;Times;Serif"/>
          <w:b w:val="false"/>
          <w:i w:val="false"/>
          <w:caps w:val="false"/>
          <w:smallCaps w:val="false"/>
          <w:sz w:val="20"/>
        </w:rPr>
        <w:t>, has been a director of the Company since December 6, 2017. From April 2006 through 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Aileen Stockburger</w:t>
      </w:r>
      <w:r>
        <w:rPr>
          <w:rFonts w:ascii="Times New Roman;Times;Serif" w:hAnsi="Times New Roman;Times;Serif"/>
          <w:b w:val="false"/>
          <w:i w:val="false"/>
          <w:caps w:val="false"/>
          <w:smallCaps w:val="false"/>
          <w:sz w:val="20"/>
        </w:rPr>
        <w:t xml:space="preserve"> was appointed by the Board on March 26, 2020 to fill a vacancy on the Board and to serve as a 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Tal Wenderow</w:t>
      </w:r>
      <w:r>
        <w:rPr>
          <w:rFonts w:ascii="Times New Roman;Times;Serif" w:hAnsi="Times New Roman;Times;Serif"/>
          <w:b w:val="false"/>
          <w:i w:val="false"/>
          <w:caps w:val="false"/>
          <w:smallCaps w:val="false"/>
          <w:sz w:val="20"/>
        </w:rPr>
        <w:t xml:space="preserve"> was appointed by the Board on July 29, 2020 to fill a vacancy on the Board and to serve as a Class I director of the Company, with a term 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and the Company’s Corporate Governance Guidelines require that the Company’s Board of Directors consist of a majority of independent directors, as determined under the applicable NASDAQ listing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members of our Board are Messrs. Bornstein, Burell, Madden, Laxminarain and Wenderow, and Ms. Stockburger.</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matrix below reflects our Board’s gender and racial characteristics and LGBTQ+ status, based on the self-identification of our directors. Each of the categories listed below has the meaning as it is used in Nasdaq Rule 5605(f).</w:t>
      </w:r>
    </w:p>
    <w:p>
      <w:pPr>
        <w:pStyle w:val="TextBody"/>
        <w:bidi w:val="0"/>
        <w:spacing w:before="0" w:after="0"/>
        <w:jc w:val="both"/>
        <w:rPr>
          <w:caps w:val="false"/>
          <w:smallCaps w:val="false"/>
        </w:rPr>
      </w:pPr>
      <w:r>
        <w:rPr>
          <w:caps w:val="false"/>
          <w:smallCaps w:val="false"/>
        </w:rPr>
        <w:t> </w:t>
      </w:r>
    </w:p>
    <w:tbl>
      <w:tblPr>
        <w:tblW w:w="3769" w:type="dxa"/>
        <w:jc w:val="left"/>
        <w:tblInd w:w="0" w:type="dxa"/>
        <w:tblLayout w:type="fixed"/>
        <w:tblCellMar>
          <w:top w:w="0" w:type="dxa"/>
          <w:left w:w="0" w:type="dxa"/>
          <w:bottom w:w="28" w:type="dxa"/>
          <w:right w:w="0" w:type="dxa"/>
        </w:tblCellMar>
      </w:tblPr>
      <w:tblGrid>
        <w:gridCol w:w="3466"/>
        <w:gridCol w:w="91"/>
        <w:gridCol w:w="212"/>
      </w:tblGrid>
      <w:tr>
        <w:trPr/>
        <w:tc>
          <w:tcPr>
            <w:tcW w:w="3769"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April 2, 2024)</w:t>
            </w:r>
          </w:p>
        </w:tc>
      </w:tr>
      <w:tr>
        <w:trPr/>
        <w:tc>
          <w:tcPr>
            <w:tcW w:w="3466"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Directors</w:t>
            </w:r>
          </w:p>
        </w:tc>
        <w:tc>
          <w:tcPr>
            <w:tcW w:w="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r>
    </w:tbl>
    <w:p>
      <w:pPr>
        <w:pStyle w:val="TextBody"/>
        <w:bidi w:val="0"/>
        <w:spacing w:before="0" w:after="283"/>
        <w:jc w:val="left"/>
        <w:rPr/>
      </w:pPr>
      <w:r>
        <w:rPr/>
        <w:t> </w:t>
      </w:r>
    </w:p>
    <w:tbl>
      <w:tblPr>
        <w:tblW w:w="7795" w:type="dxa"/>
        <w:jc w:val="left"/>
        <w:tblInd w:w="0" w:type="dxa"/>
        <w:tblLayout w:type="fixed"/>
        <w:tblCellMar>
          <w:top w:w="0" w:type="dxa"/>
          <w:left w:w="0" w:type="dxa"/>
          <w:bottom w:w="28" w:type="dxa"/>
          <w:right w:w="0" w:type="dxa"/>
        </w:tblCellMar>
      </w:tblPr>
      <w:tblGrid>
        <w:gridCol w:w="3710"/>
        <w:gridCol w:w="60"/>
        <w:gridCol w:w="455"/>
        <w:gridCol w:w="60"/>
        <w:gridCol w:w="650"/>
        <w:gridCol w:w="60"/>
        <w:gridCol w:w="1025"/>
        <w:gridCol w:w="60"/>
        <w:gridCol w:w="1715"/>
      </w:tblGrid>
      <w:tr>
        <w:trPr/>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Gender Identity: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Non-Binary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Gender Undisclosed</w:t>
            </w:r>
          </w:p>
        </w:tc>
      </w:tr>
      <w:tr>
        <w:trPr/>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7795" w:type="dxa"/>
            <w:gridSpan w:val="9"/>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 who Identify in any of the Categories Below:</w:t>
            </w:r>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African American or Black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Alaskan Native or Native American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Hispanic or Latinx</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Native Hawaiian or Pacific Islander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Two or More Races or Ethnicities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LGBTQ+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5" w:type="dxa"/>
            <w:gridSpan w:val="7"/>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Did Not Disclose Demographic Background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5" w:type="dxa"/>
            <w:gridSpan w:val="7"/>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Oversight and Qualifications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 Involving Directors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legal proceedings involving the members of the Board.</w:t>
      </w:r>
    </w:p>
    <w:p>
      <w:pPr>
        <w:pStyle w:val="TextBody"/>
        <w:shd w:fill="FFFFFF" w:val="clear"/>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name, age and other information for our executive officers, as of April 2, 2024.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pStyle w:val="TextBody"/>
        <w:shd w:fill="FFFFFF" w:val="clear"/>
        <w:bidi w:val="0"/>
        <w:spacing w:before="0" w:after="0"/>
        <w:jc w:val="both"/>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1535"/>
        <w:gridCol w:w="60"/>
        <w:gridCol w:w="350"/>
        <w:gridCol w:w="60"/>
        <w:gridCol w:w="602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 and General Manager, Microbot Israel</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 Diaz-Cartelle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 has served as the Company’s Chief Financial Officer since April 2022 and before that was its VP Finance since January 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 has served as the Company’s Chief Technology Officer since April 2018 and as the General Manager 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Juan Diaz-Cartelle, has served as the Company’s Chief Medical Officer since December 1, 2023. As CMO, Dr. Diaz-Cartelle will lead the development and execution of the clinical strategy of the Company, including its planned clinical trials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Reports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pStyle w:val="TextBody"/>
        <w:shd w:fill="FFFFFF" w:val="clear"/>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 and Compensation Recovery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02"/>
      <w:bookmarkEnd w:id="14"/>
      <w:r>
        <w:rPr>
          <w:rFonts w:ascii="Times New Roman;Times;Serif" w:hAnsi="Times New Roman;Times;Serif"/>
          <w:b/>
          <w:i w:val="false"/>
          <w:caps w:val="false"/>
          <w:smallCaps w:val="false"/>
          <w:sz w:val="20"/>
        </w:rPr>
        <w:t>EXECUTIVE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element of compensation that was paid or awarded to the named executive officers of the Company for the periods indicated.</w:t>
      </w:r>
    </w:p>
    <w:p>
      <w:pPr>
        <w:pStyle w:val="TextBody"/>
        <w:bidi w:val="0"/>
        <w:spacing w:before="0" w:after="0"/>
        <w:jc w:val="both"/>
        <w:rPr>
          <w:caps w:val="false"/>
          <w:smallCaps w:val="false"/>
        </w:rPr>
      </w:pPr>
      <w:r>
        <w:rPr>
          <w:caps w:val="false"/>
          <w:smallCaps w:val="false"/>
        </w:rPr>
        <w:t> </w:t>
      </w:r>
    </w:p>
    <w:tbl>
      <w:tblPr>
        <w:tblW w:w="10390" w:type="dxa"/>
        <w:jc w:val="left"/>
        <w:tblInd w:w="0" w:type="dxa"/>
        <w:tblLayout w:type="fixed"/>
        <w:tblCellMar>
          <w:top w:w="0" w:type="dxa"/>
          <w:left w:w="0" w:type="dxa"/>
          <w:bottom w:w="28" w:type="dxa"/>
          <w:right w:w="0" w:type="dxa"/>
        </w:tblCellMar>
      </w:tblPr>
      <w:tblGrid>
        <w:gridCol w:w="1205"/>
        <w:gridCol w:w="60"/>
        <w:gridCol w:w="530"/>
        <w:gridCol w:w="60"/>
        <w:gridCol w:w="60"/>
        <w:gridCol w:w="800"/>
        <w:gridCol w:w="60"/>
        <w:gridCol w:w="60"/>
        <w:gridCol w:w="60"/>
        <w:gridCol w:w="800"/>
        <w:gridCol w:w="215"/>
        <w:gridCol w:w="60"/>
        <w:gridCol w:w="321"/>
        <w:gridCol w:w="509"/>
        <w:gridCol w:w="60"/>
        <w:gridCol w:w="60"/>
        <w:gridCol w:w="60"/>
        <w:gridCol w:w="800"/>
        <w:gridCol w:w="60"/>
        <w:gridCol w:w="60"/>
        <w:gridCol w:w="140"/>
        <w:gridCol w:w="1350"/>
        <w:gridCol w:w="60"/>
        <w:gridCol w:w="60"/>
        <w:gridCol w:w="103"/>
        <w:gridCol w:w="1387"/>
        <w:gridCol w:w="215"/>
        <w:gridCol w:w="60"/>
        <w:gridCol w:w="60"/>
        <w:gridCol w:w="980"/>
        <w:gridCol w:w="75"/>
      </w:tblGrid>
      <w:tr>
        <w:trPr/>
        <w:tc>
          <w:tcPr>
            <w:tcW w:w="1205" w:type="dxa"/>
            <w:tcBorders>
              <w:bottom w:val="single" w:sz="12"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Bonus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Stock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 Awards ($)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Harel Gadot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372,521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386,000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55,300</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1,284,123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CEO, President &amp;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514,049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971,217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52,900</w:t>
            </w:r>
          </w:p>
        </w:tc>
        <w:tc>
          <w:tcPr>
            <w:tcW w:w="21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1,838,166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3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Simon Sharon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195,901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87,022</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88,418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98,589</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469,930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CTO and GM</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255,621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89,721</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65,114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115,874</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526,330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3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Eyal Morag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146,403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82,878</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101,356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181,235</w:t>
            </w:r>
          </w:p>
        </w:tc>
        <w:tc>
          <w:tcPr>
            <w:tcW w:w="21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511,872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CMO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284,024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89,164</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90,836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137,245</w:t>
            </w:r>
          </w:p>
        </w:tc>
        <w:tc>
          <w:tcPr>
            <w:tcW w:w="21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601,269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3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Rachel Vaknin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139,601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27,626</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76,533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45,743</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289,503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47,372</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234,647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2022 fiscal year, which amount was actually paid in 2023.</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to the named executive officer’s 401(k) Plan, and a yearly automobile allowance.</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2021 fiscal year, which amount was actually paid in 2022.</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 and yearly automobile allowance.</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Dr. Morag resigned from his position with the Company, effective November 29, 2023.</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w:t>
            </w:r>
          </w:p>
        </w:tc>
      </w:tr>
    </w:tbl>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awards held by each of the named executive officers as of the end of the fiscal year ended December 31, 2023.</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3"/>
        <w:gridCol w:w="60"/>
        <w:gridCol w:w="73"/>
        <w:gridCol w:w="982"/>
        <w:gridCol w:w="60"/>
        <w:gridCol w:w="60"/>
        <w:gridCol w:w="98"/>
        <w:gridCol w:w="1122"/>
        <w:gridCol w:w="60"/>
        <w:gridCol w:w="60"/>
        <w:gridCol w:w="197"/>
        <w:gridCol w:w="789"/>
        <w:gridCol w:w="60"/>
        <w:gridCol w:w="60"/>
        <w:gridCol w:w="1223"/>
        <w:gridCol w:w="60"/>
        <w:gridCol w:w="310"/>
        <w:gridCol w:w="494"/>
        <w:gridCol w:w="62"/>
        <w:gridCol w:w="62"/>
        <w:gridCol w:w="304"/>
        <w:gridCol w:w="484"/>
        <w:gridCol w:w="62"/>
        <w:gridCol w:w="62"/>
        <w:gridCol w:w="428"/>
        <w:gridCol w:w="678"/>
        <w:gridCol w:w="62"/>
        <w:gridCol w:w="62"/>
        <w:gridCol w:w="474"/>
        <w:gridCol w:w="751"/>
        <w:gridCol w:w="83"/>
      </w:tblGrid>
      <w:tr>
        <w:trPr/>
        <w:tc>
          <w:tcPr>
            <w:tcW w:w="8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83" w:type="dxa"/>
            <w:tcBorders/>
            <w:vAlign w:val="center"/>
          </w:tcPr>
          <w:p>
            <w:pPr>
              <w:pStyle w:val="TableContents"/>
              <w:bidi w:val="0"/>
              <w:spacing w:before="0" w:after="283"/>
              <w:jc w:val="left"/>
              <w:rPr/>
            </w:pPr>
            <w:r>
              <w:rPr/>
              <w:t> </w:t>
            </w:r>
          </w:p>
        </w:tc>
      </w:tr>
      <w:tr>
        <w:trPr/>
        <w:tc>
          <w:tcPr>
            <w:tcW w:w="863" w:type="dxa"/>
            <w:tcBorders>
              <w:bottom w:val="single" w:sz="12"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tcBorders>
              <w:bottom w:val="single" w:sz="12"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 of Stock That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Units of Stock 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Unearned Shares, Units or Other Rights That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Payout Value of Unearned Shares, Units or Other Rights That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83"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8"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b/>
              </w:rPr>
            </w:pPr>
            <w:r>
              <w:rPr>
                <w:b/>
              </w:rPr>
              <w:t>Harel Gadot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1/01/2025</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9/14/2027</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2/25/2030</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02/01/2031</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01/26/2032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12/21/2032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08/01/2033</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b/>
              </w:rPr>
            </w:pPr>
            <w:r>
              <w:rPr>
                <w:b/>
              </w:rPr>
              <w:t>Simon Sharon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08/13/2028</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08/12/2029</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01/26/2032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23,625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12/21/2032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08/01/2033</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b/>
              </w:rPr>
            </w:pPr>
            <w:r>
              <w:rPr>
                <w:b/>
              </w:rPr>
              <w:t>Rachel Vaknin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01/26/2032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07/18/2032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12/21/2032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08/01/2033</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b/>
              </w:rPr>
            </w:pPr>
            <w:r>
              <w:rPr>
                <w:b/>
              </w:rPr>
              <w:t>Eyal Morag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02/29/2024</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02/29/2024</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Harel Gadot Employment Agreement</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disability, Mr. Gadot would be entitled to receive any earned annual salary, bonus, reimbursement of business expenses and accrued vacation, if any, incurred up to the date of termination.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for cause, Mr. Gadot would be entitled to receive any compensation then due and payable incurred up to the date of termination.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Rachel Vaknin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Ms. Vaknin may terminate the Vaknin Agreement at its discretion at any time by providing the other party with two months prior written notice of termination (the “Advance Notice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Vaknin Agreement “For Cause” (as defined in the Vaknin Agreement) at any time by written notice without the Advance Notice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Simon Sharon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is reviewed on an annual basis by the Compensation Committee of the Company to determine potential increases taking into account such performance metrics and criteria as established by the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Mr. Sharon may terminate the Sharon Agreement without cause (as defined in the Sharon Agreement) by providing the other party with ninety days prior written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Sharon Agreement for cause at any time by written notice without any advance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Juan Diaz-Cartelle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shall also be entitled to receive a target annual cash bonus, based on corporate performance factors established and assessed by the Compensation Committee, of up to a maximum amount of 30% of his annual 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Agreement, either the Company or Dr. Diaz-Cartelle shall have the right to earlier terminate Dr. Diaz-Cartelle’s employment at any time for any reason or no reason upon at least one month prior written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Limits on Liability and Indemnification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directors and officers insurance for our current directors and officers.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cash and equity-based compensation information for our outside directors, for the year ended December 31,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15"/>
        <w:gridCol w:w="60"/>
        <w:gridCol w:w="176"/>
        <w:gridCol w:w="831"/>
        <w:gridCol w:w="60"/>
        <w:gridCol w:w="60"/>
        <w:gridCol w:w="324"/>
        <w:gridCol w:w="433"/>
        <w:gridCol w:w="60"/>
        <w:gridCol w:w="60"/>
        <w:gridCol w:w="152"/>
        <w:gridCol w:w="718"/>
        <w:gridCol w:w="60"/>
        <w:gridCol w:w="60"/>
        <w:gridCol w:w="198"/>
        <w:gridCol w:w="1454"/>
        <w:gridCol w:w="60"/>
        <w:gridCol w:w="60"/>
        <w:gridCol w:w="208"/>
        <w:gridCol w:w="1532"/>
        <w:gridCol w:w="60"/>
        <w:gridCol w:w="60"/>
        <w:gridCol w:w="166"/>
        <w:gridCol w:w="1222"/>
        <w:gridCol w:w="60"/>
        <w:gridCol w:w="60"/>
        <w:gridCol w:w="125"/>
        <w:gridCol w:w="590"/>
        <w:gridCol w:w="81"/>
      </w:tblGrid>
      <w:tr>
        <w:trPr/>
        <w:tc>
          <w:tcPr>
            <w:tcW w:w="1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 Earnings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7"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74,123</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75,998</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75,998</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72,248</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75,011</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73,701</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received compensation for his services to the Company as set forth under the summary compensation table above.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5" w:name="a_003"/>
      <w:bookmarkEnd w:id="15"/>
      <w:r>
        <w:rPr>
          <w:rFonts w:ascii="Times New Roman;Times;Serif" w:hAnsi="Times New Roman;Times;Serif"/>
          <w:b/>
          <w:i w:val="false"/>
          <w:caps w:val="false"/>
          <w:smallCaps w:val="false"/>
          <w:sz w:val="20"/>
        </w:rPr>
        <w:t>CERTAIN RELATIONSHIPS AND RELATED TRANSACTIONS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related party transactions or any other transactions or relationships required to be disclosed pursuant to Item 404 of Regulation S-K.</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 Table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shares of our common stock that may be issued upon the exercise of options under all of our existing compensation plans as of December 31, 2023.</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7"/>
        <w:gridCol w:w="60"/>
        <w:gridCol w:w="178"/>
        <w:gridCol w:w="2928"/>
        <w:gridCol w:w="60"/>
        <w:gridCol w:w="60"/>
        <w:gridCol w:w="417"/>
        <w:gridCol w:w="1671"/>
        <w:gridCol w:w="60"/>
        <w:gridCol w:w="60"/>
        <w:gridCol w:w="155"/>
        <w:gridCol w:w="2091"/>
        <w:gridCol w:w="78"/>
      </w:tblGrid>
      <w:tr>
        <w:trPr/>
        <w:tc>
          <w:tcPr>
            <w:tcW w:w="2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Weighted- 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exercise price of outstanding options, warrants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remaining available for future issuance</w:t>
            </w:r>
          </w:p>
        </w:tc>
        <w:tc>
          <w:tcPr>
            <w:tcW w:w="78" w:type="dxa"/>
            <w:tcBorders/>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283"/>
              <w:jc w:val="left"/>
              <w:rPr>
                <w:b/>
              </w:rPr>
            </w:pPr>
            <w:r>
              <w:rPr>
                <w:b/>
              </w:rPr>
              <w:t>Plan Category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9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283"/>
              <w:jc w:val="left"/>
              <w:rPr/>
            </w:pPr>
            <w:r>
              <w:rPr/>
              <w:t>Equity compensation plans approved by security holders: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9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283"/>
              <w:jc w:val="left"/>
              <w:rPr/>
            </w:pPr>
            <w:r>
              <w:rPr/>
              <w:t>2017 Equity Incentive Plan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928" w:type="dxa"/>
            <w:tcBorders/>
            <w:shd w:fill="CCEEFF" w:val="clear"/>
            <w:vAlign w:val="center"/>
          </w:tcPr>
          <w:p>
            <w:pPr>
              <w:pStyle w:val="TableContents"/>
              <w:bidi w:val="0"/>
              <w:spacing w:before="0" w:after="283"/>
              <w:jc w:val="right"/>
              <w:rPr/>
            </w:pPr>
            <w:r>
              <w:rPr/>
              <w:t>492,133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131,585</w:t>
            </w:r>
          </w:p>
        </w:tc>
        <w:tc>
          <w:tcPr>
            <w:tcW w:w="78"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283"/>
              <w:jc w:val="left"/>
              <w:rPr/>
            </w:pPr>
            <w:r>
              <w:rPr/>
              <w:t>2020 Omnibus Performance Award Plan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928" w:type="dxa"/>
            <w:tcBorders/>
            <w:shd w:fill="FFFFFF" w:val="clear"/>
            <w:vAlign w:val="center"/>
          </w:tcPr>
          <w:p>
            <w:pPr>
              <w:pStyle w:val="TableContents"/>
              <w:bidi w:val="0"/>
              <w:spacing w:before="0" w:after="283"/>
              <w:jc w:val="right"/>
              <w:rPr/>
            </w:pPr>
            <w:r>
              <w:rPr/>
              <w:t>1,463,806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556,846</w:t>
            </w:r>
          </w:p>
        </w:tc>
        <w:tc>
          <w:tcPr>
            <w:tcW w:w="78"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283"/>
              <w:jc w:val="left"/>
              <w:rPr/>
            </w:pPr>
            <w:r>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9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0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283"/>
              <w:jc w:val="left"/>
              <w:rPr/>
            </w:pPr>
            <w:r>
              <w:rPr/>
              <w:t>Microbot Israel Employee Stock Option Plan(1)</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928" w:type="dxa"/>
            <w:tcBorders/>
            <w:shd w:fill="FFFFFF" w:val="clear"/>
            <w:vAlign w:val="center"/>
          </w:tcPr>
          <w:p>
            <w:pPr>
              <w:pStyle w:val="TableContents"/>
              <w:bidi w:val="0"/>
              <w:spacing w:before="0" w:after="283"/>
              <w:jc w:val="right"/>
              <w:rPr/>
            </w:pPr>
            <w:r>
              <w:rPr/>
              <w:t>61,577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91"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283"/>
              <w:jc w:val="left"/>
              <w:rPr/>
            </w:pPr>
            <w:r>
              <w:rPr/>
              <w:t>Stock Options (2)</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77, 846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928" w:type="dxa"/>
            <w:tcBorders>
              <w:bottom w:val="double" w:sz="6" w:space="0" w:color="000000"/>
            </w:tcBorders>
            <w:shd w:fill="FFFFFF" w:val="clear"/>
            <w:tcMar>
              <w:bottom w:w="28" w:type="dxa"/>
            </w:tcMar>
            <w:vAlign w:val="center"/>
          </w:tcPr>
          <w:p>
            <w:pPr>
              <w:pStyle w:val="TableContents"/>
              <w:bidi w:val="0"/>
              <w:spacing w:before="0" w:after="283"/>
              <w:jc w:val="right"/>
              <w:rPr/>
            </w:pPr>
            <w:r>
              <w:rPr/>
              <w:t>2,095,362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91" w:type="dxa"/>
            <w:tcBorders>
              <w:bottom w:val="double" w:sz="6" w:space="0" w:color="000000"/>
            </w:tcBorders>
            <w:shd w:fill="FFFFFF" w:val="clear"/>
            <w:tcMar>
              <w:bottom w:w="28" w:type="dxa"/>
            </w:tcMar>
            <w:vAlign w:val="center"/>
          </w:tcPr>
          <w:p>
            <w:pPr>
              <w:pStyle w:val="TableContents"/>
              <w:bidi w:val="0"/>
              <w:spacing w:before="0" w:after="283"/>
              <w:jc w:val="right"/>
              <w:rPr/>
            </w:pPr>
            <w:r>
              <w:rPr/>
              <w:t>688,431</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04"/>
      <w:bookmarkEnd w:id="16"/>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our common stock beneficially owned, as of April 2,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April 2, 2024. We calculated percentage ownership in accordance with the rules of the SEC. The percentage of common stock beneficially owned is based on 14,398,964 shares outstanding as of April 2, 2024. In addition, shares issuable pursuant to options or other convertible securities that may be acquired within 60 days of April 2, 2024 are deemed to be issued and outstanding and have been treated as outstanding in calculating and determining the beneficial ownership and percentage ownership of those persons possessing those securities, but not for any other persons.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55"/>
        <w:gridCol w:w="60"/>
        <w:gridCol w:w="189"/>
        <w:gridCol w:w="3134"/>
        <w:gridCol w:w="60"/>
        <w:gridCol w:w="60"/>
        <w:gridCol w:w="174"/>
        <w:gridCol w:w="1639"/>
        <w:gridCol w:w="234"/>
      </w:tblGrid>
      <w:tr>
        <w:trPr/>
        <w:tc>
          <w:tcPr>
            <w:tcW w:w="4655" w:type="dxa"/>
            <w:tcBorders>
              <w:bottom w:val="single" w:sz="12" w:space="0" w:color="000000"/>
            </w:tcBorders>
            <w:vAlign w:val="center"/>
          </w:tcPr>
          <w:p>
            <w:pPr>
              <w:pStyle w:val="TableContents"/>
              <w:bidi w:val="0"/>
              <w:spacing w:before="0" w:after="283"/>
              <w:jc w:val="both"/>
              <w:rPr>
                <w:b/>
              </w:rPr>
            </w:pPr>
            <w:r>
              <w:rPr>
                <w:b/>
              </w:rPr>
              <w:t>Beneficial Owner</w:t>
            </w:r>
          </w:p>
        </w:tc>
        <w:tc>
          <w:tcPr>
            <w:tcW w:w="60" w:type="dxa"/>
            <w:tcBorders/>
            <w:tcMar>
              <w:bottom w:w="0" w:type="dxa"/>
            </w:tcMar>
            <w:vAlign w:val="center"/>
          </w:tcPr>
          <w:p>
            <w:pPr>
              <w:pStyle w:val="TableContents"/>
              <w:bidi w:val="0"/>
              <w:spacing w:before="0" w:after="283"/>
              <w:jc w:val="left"/>
              <w:rPr/>
            </w:pPr>
            <w:r>
              <w:rPr/>
              <w:t> </w:t>
            </w:r>
          </w:p>
        </w:tc>
        <w:tc>
          <w:tcPr>
            <w:tcW w:w="3323" w:type="dxa"/>
            <w:gridSpan w:val="2"/>
            <w:tcBorders>
              <w:bottom w:val="single" w:sz="12" w:space="0" w:color="000000"/>
            </w:tcBorders>
            <w:vAlign w:val="center"/>
          </w:tcPr>
          <w:p>
            <w:pPr>
              <w:pStyle w:val="TableContents"/>
              <w:bidi w:val="0"/>
              <w:spacing w:before="0" w:after="283"/>
              <w:jc w:val="center"/>
              <w:rPr>
                <w:b/>
              </w:rPr>
            </w:pPr>
            <w:r>
              <w:rPr>
                <w:b/>
              </w:rPr>
              <w:t>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3" w:type="dxa"/>
            <w:gridSpan w:val="2"/>
            <w:tcBorders>
              <w:bottom w:val="single" w:sz="12" w:space="0" w:color="000000"/>
            </w:tcBorders>
            <w:vAlign w:val="center"/>
          </w:tcPr>
          <w:p>
            <w:pPr>
              <w:pStyle w:val="TableContents"/>
              <w:bidi w:val="0"/>
              <w:spacing w:before="0" w:after="283"/>
              <w:jc w:val="center"/>
              <w:rPr>
                <w:b/>
              </w:rPr>
            </w:pPr>
            <w:r>
              <w:rPr>
                <w:b/>
              </w:rPr>
              <w:t>Percentage of</w:t>
              <w:br/>
              <w:t>Common Stock</w:t>
              <w:br/>
              <w:t>Beneficially Owned</w:t>
            </w:r>
          </w:p>
        </w:tc>
        <w:tc>
          <w:tcPr>
            <w:tcW w:w="234"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Harel Gadot</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1,031,273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pPr>
            <w:r>
              <w:rPr/>
              <w:t>6.74</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Yoseph Bornstein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292,854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pPr>
            <w:r>
              <w:rPr/>
              <w:t>2.03</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50,826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Martin Madden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50,826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Prattipati Laxminarain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50,826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Aileen Stockburger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45,730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Sharon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83,357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Tal Wenderow</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44,139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Rachel Vaknin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51,112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Juan Diaz-Cartelle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Eyal Morag</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current directors and executive officers as a group (10 persons)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34" w:type="dxa"/>
            <w:tcBorders/>
            <w:shd w:fill="FFFFFF" w:val="clear"/>
            <w:tcMar>
              <w:bottom w:w="0" w:type="dxa"/>
            </w:tcMar>
            <w:vAlign w:val="center"/>
          </w:tcPr>
          <w:p>
            <w:pPr>
              <w:pStyle w:val="TableContents"/>
              <w:bidi w:val="0"/>
              <w:spacing w:before="0" w:after="283"/>
              <w:jc w:val="right"/>
              <w:rPr/>
            </w:pPr>
            <w:r>
              <w:rPr/>
              <w:t>1,700,943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639" w:type="dxa"/>
            <w:tcBorders/>
            <w:shd w:fill="FFFFFF" w:val="clear"/>
            <w:tcMar>
              <w:bottom w:w="0" w:type="dxa"/>
            </w:tcMar>
            <w:vAlign w:val="center"/>
          </w:tcPr>
          <w:p>
            <w:pPr>
              <w:pStyle w:val="TableContents"/>
              <w:bidi w:val="0"/>
              <w:spacing w:before="0" w:after="283"/>
              <w:jc w:val="right"/>
              <w:rPr/>
            </w:pPr>
            <w:r>
              <w:rPr/>
              <w:t>10.82</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136,847 shares of our common stock owned by MEDX Ventures Group LLC, (ii) 77,846 shares of our common stock issuable upon the exercise of options granted to MEDX Ventures Group LLC, and (iii) 816,580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242,028 shares of our common stock owned by LSA - Life Science Accelerator Ltd. and (ii) 50,826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acquire shares of our common stock.</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our common stock issuable upon the exercise of options as set forth in footnotes (1), (2) and (3).</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06"/>
      <w:bookmarkEnd w:id="17"/>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shareholders are those previously issued to the selling shareholders. For additional information regarding the issuances of those shares of common stock, see “Litigation Settlement” above. We are registering the shares of common stock in order to permit the selling shareholders to offer the shares for resale from time to time. Except for the ownership of the shares of common stock and as described in “Litigation Settlement” described above, the selling shareholders have not had any material relationship with us within the past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the referenced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shareholders, this prospectus generally covers the resale of the sum of the number of shares of common stock issued to the selling shareholders in “Litigation Settlement” described above. The fourth column assumes the sale of all of the shares offered by the selling shareholders pursuant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some or none of their shares in this offering. See “Plan of Distribution.”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61"/>
        <w:gridCol w:w="60"/>
        <w:gridCol w:w="117"/>
        <w:gridCol w:w="1916"/>
        <w:gridCol w:w="132"/>
        <w:gridCol w:w="60"/>
        <w:gridCol w:w="90"/>
        <w:gridCol w:w="573"/>
        <w:gridCol w:w="215"/>
        <w:gridCol w:w="60"/>
        <w:gridCol w:w="147"/>
        <w:gridCol w:w="2412"/>
        <w:gridCol w:w="60"/>
        <w:gridCol w:w="60"/>
        <w:gridCol w:w="743"/>
        <w:gridCol w:w="1180"/>
        <w:gridCol w:w="60"/>
        <w:gridCol w:w="60"/>
        <w:gridCol w:w="256"/>
        <w:gridCol w:w="407"/>
        <w:gridCol w:w="236"/>
      </w:tblGrid>
      <w:tr>
        <w:trPr/>
        <w:tc>
          <w:tcPr>
            <w:tcW w:w="1361"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b/>
                <w:sz w:val="20"/>
              </w:rPr>
              <w:t>ame of Selling Stockholder</w:t>
            </w:r>
          </w:p>
        </w:tc>
        <w:tc>
          <w:tcPr>
            <w:tcW w:w="60" w:type="dxa"/>
            <w:tcBorders/>
            <w:tcMar>
              <w:bottom w:w="0" w:type="dxa"/>
            </w:tcMar>
            <w:vAlign w:val="center"/>
          </w:tcPr>
          <w:p>
            <w:pPr>
              <w:pStyle w:val="TableContents"/>
              <w:bidi w:val="0"/>
              <w:spacing w:before="0" w:after="283"/>
              <w:jc w:val="left"/>
              <w:rPr/>
            </w:pPr>
            <w:r>
              <w:rPr/>
              <w:t> </w:t>
            </w:r>
          </w:p>
        </w:tc>
        <w:tc>
          <w:tcPr>
            <w:tcW w:w="2033" w:type="dxa"/>
            <w:gridSpan w:val="2"/>
            <w:tcBorders>
              <w:bottom w:val="single" w:sz="12" w:space="0" w:color="000000"/>
            </w:tcBorders>
            <w:vAlign w:val="center"/>
          </w:tcPr>
          <w:p>
            <w:pPr>
              <w:pStyle w:val="TableContents"/>
              <w:bidi w:val="0"/>
              <w:spacing w:before="0" w:after="283"/>
              <w:jc w:val="center"/>
              <w:rPr>
                <w:b/>
              </w:rPr>
            </w:pPr>
            <w:r>
              <w:rPr>
                <w:b/>
              </w:rPr>
              <w:t>Number of Shares of Common Stock Owned Prior to Offering</w:t>
            </w:r>
          </w:p>
        </w:tc>
        <w:tc>
          <w:tcPr>
            <w:tcW w:w="132"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663" w:type="dxa"/>
            <w:gridSpan w:val="2"/>
            <w:tcBorders>
              <w:bottom w:val="single" w:sz="12" w:space="0" w:color="000000"/>
            </w:tcBorders>
            <w:vAlign w:val="center"/>
          </w:tcPr>
          <w:p>
            <w:pPr>
              <w:pStyle w:val="TableContents"/>
              <w:bidi w:val="0"/>
              <w:spacing w:before="0" w:after="283"/>
              <w:jc w:val="center"/>
              <w:rPr>
                <w:b/>
              </w:rPr>
            </w:pPr>
            <w:r>
              <w:rPr>
                <w:b/>
              </w:rPr>
              <w:t>% of Class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9" w:type="dxa"/>
            <w:gridSpan w:val="2"/>
            <w:tcBorders>
              <w:bottom w:val="single" w:sz="12" w:space="0" w:color="000000"/>
            </w:tcBorders>
            <w:vAlign w:val="center"/>
          </w:tcPr>
          <w:p>
            <w:pPr>
              <w:pStyle w:val="TableContents"/>
              <w:bidi w:val="0"/>
              <w:spacing w:before="0" w:after="283"/>
              <w:jc w:val="center"/>
              <w:rPr>
                <w:b/>
              </w:rPr>
            </w:pPr>
            <w:r>
              <w:rPr>
                <w:b/>
              </w:rPr>
              <w:t>Minimum Number of Shares of Common Stock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23" w:type="dxa"/>
            <w:gridSpan w:val="2"/>
            <w:tcBorders>
              <w:bottom w:val="single" w:sz="12" w:space="0" w:color="000000"/>
            </w:tcBorders>
            <w:vAlign w:val="center"/>
          </w:tcPr>
          <w:p>
            <w:pPr>
              <w:pStyle w:val="TableContents"/>
              <w:bidi w:val="0"/>
              <w:spacing w:before="0" w:after="283"/>
              <w:jc w:val="center"/>
              <w:rPr>
                <w:b/>
              </w:rPr>
            </w:pPr>
            <w:r>
              <w:rPr>
                <w:b/>
              </w:rPr>
              <w:t>Number of Shares of Common Stock Owned 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3" w:type="dxa"/>
            <w:gridSpan w:val="2"/>
            <w:tcBorders>
              <w:bottom w:val="single" w:sz="12" w:space="0" w:color="000000"/>
            </w:tcBorders>
            <w:vAlign w:val="center"/>
          </w:tcPr>
          <w:p>
            <w:pPr>
              <w:pStyle w:val="TableContents"/>
              <w:bidi w:val="0"/>
              <w:spacing w:before="0" w:after="283"/>
              <w:jc w:val="center"/>
              <w:rPr>
                <w:b/>
              </w:rPr>
            </w:pPr>
            <w:r>
              <w:rPr>
                <w:b/>
              </w:rPr>
              <w:t>% of Class</w:t>
            </w:r>
          </w:p>
        </w:tc>
        <w:tc>
          <w:tcPr>
            <w:tcW w:w="236" w:type="dxa"/>
            <w:tcBorders/>
            <w:tcMar>
              <w:bottom w:w="0" w:type="dxa"/>
            </w:tcMar>
            <w:vAlign w:val="center"/>
          </w:tcPr>
          <w:p>
            <w:pPr>
              <w:pStyle w:val="TableContents"/>
              <w:bidi w:val="0"/>
              <w:spacing w:before="0" w:after="283"/>
              <w:jc w:val="left"/>
              <w:rPr/>
            </w:pPr>
            <w:r>
              <w:rPr/>
              <w:t> </w:t>
            </w:r>
          </w:p>
        </w:tc>
      </w:tr>
      <w:tr>
        <w:trPr/>
        <w:tc>
          <w:tcPr>
            <w:tcW w:w="13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Empery Asset Master, Ltd.</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916" w:type="dxa"/>
            <w:tcBorders/>
            <w:shd w:fill="CCEEFF" w:val="clear"/>
            <w:tcMar>
              <w:bottom w:w="0" w:type="dxa"/>
            </w:tcMar>
            <w:vAlign w:val="center"/>
          </w:tcPr>
          <w:p>
            <w:pPr>
              <w:pStyle w:val="TableContents"/>
              <w:bidi w:val="0"/>
              <w:spacing w:before="0" w:after="283"/>
              <w:jc w:val="right"/>
              <w:rPr/>
            </w:pPr>
            <w:r>
              <w:rPr/>
              <w:t>280,574</w:t>
            </w:r>
          </w:p>
        </w:tc>
        <w:tc>
          <w:tcPr>
            <w:tcW w:w="13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1.95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12" w:type="dxa"/>
            <w:tcBorders/>
            <w:shd w:fill="CCEEFF" w:val="clear"/>
            <w:tcMar>
              <w:bottom w:w="0" w:type="dxa"/>
            </w:tcMar>
            <w:vAlign w:val="center"/>
          </w:tcPr>
          <w:p>
            <w:pPr>
              <w:pStyle w:val="TableContents"/>
              <w:bidi w:val="0"/>
              <w:spacing w:before="0" w:after="283"/>
              <w:jc w:val="right"/>
              <w:rPr/>
            </w:pPr>
            <w:r>
              <w:rPr/>
              <w:t>280,574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 </w:t>
            </w:r>
          </w:p>
        </w:tc>
      </w:tr>
      <w:tr>
        <w:trPr/>
        <w:tc>
          <w:tcPr>
            <w:tcW w:w="13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Empery Tax Efficient, LP</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1916" w:type="dxa"/>
            <w:tcBorders/>
            <w:shd w:fill="FFFFFF" w:val="clear"/>
            <w:tcMar>
              <w:bottom w:w="0" w:type="dxa"/>
            </w:tcMar>
            <w:vAlign w:val="center"/>
          </w:tcPr>
          <w:p>
            <w:pPr>
              <w:pStyle w:val="TableContents"/>
              <w:bidi w:val="0"/>
              <w:spacing w:before="0" w:after="283"/>
              <w:jc w:val="right"/>
              <w:rPr/>
            </w:pPr>
            <w:r>
              <w:rPr/>
              <w:t>140,999</w:t>
            </w:r>
          </w:p>
        </w:tc>
        <w:tc>
          <w:tcPr>
            <w:tcW w:w="132" w:type="dxa"/>
            <w:tcBorders/>
            <w:shd w:fill="FFFFFF" w:val="clear"/>
            <w:tcMar>
              <w:bottom w:w="0" w:type="dxa"/>
            </w:tcMar>
            <w:vAlign w:val="center"/>
          </w:tcPr>
          <w:p>
            <w:pPr>
              <w:pStyle w:val="TableContents"/>
              <w:bidi w:val="0"/>
              <w:spacing w:before="0" w:after="283"/>
              <w:jc w:val="left"/>
              <w:rPr>
                <w:position w:val="8"/>
                <w:sz w:val="19"/>
              </w:rPr>
            </w:pPr>
            <w:r>
              <w:rPr>
                <w:position w:val="8"/>
                <w:sz w:val="19"/>
              </w:rPr>
              <w:t>(</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2412" w:type="dxa"/>
            <w:tcBorders/>
            <w:shd w:fill="FFFFFF" w:val="clear"/>
            <w:tcMar>
              <w:bottom w:w="0" w:type="dxa"/>
            </w:tcMar>
            <w:vAlign w:val="center"/>
          </w:tcPr>
          <w:p>
            <w:pPr>
              <w:pStyle w:val="TableContents"/>
              <w:bidi w:val="0"/>
              <w:spacing w:before="0" w:after="283"/>
              <w:jc w:val="right"/>
              <w:rPr/>
            </w:pPr>
            <w:r>
              <w:rPr/>
              <w:t>140,999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407" w:type="dxa"/>
            <w:tcBorders/>
            <w:shd w:fill="FFFFFF" w:val="clear"/>
            <w:tcMar>
              <w:bottom w:w="0" w:type="dxa"/>
            </w:tcMar>
            <w:vAlign w:val="center"/>
          </w:tcPr>
          <w:p>
            <w:pPr>
              <w:pStyle w:val="TableContents"/>
              <w:bidi w:val="0"/>
              <w:spacing w:before="0" w:after="283"/>
              <w:jc w:val="right"/>
              <w:rPr/>
            </w:pPr>
            <w:r>
              <w:rPr/>
              <w:t>-</w:t>
            </w:r>
          </w:p>
        </w:tc>
        <w:tc>
          <w:tcPr>
            <w:tcW w:w="236" w:type="dxa"/>
            <w:tcBorders/>
            <w:shd w:fill="FFFFFF" w:val="clear"/>
            <w:tcMar>
              <w:bottom w:w="0" w:type="dxa"/>
            </w:tcMar>
            <w:vAlign w:val="center"/>
          </w:tcPr>
          <w:p>
            <w:pPr>
              <w:pStyle w:val="TableContents"/>
              <w:bidi w:val="0"/>
              <w:spacing w:before="0" w:after="283"/>
              <w:jc w:val="left"/>
              <w:rPr/>
            </w:pPr>
            <w:r>
              <w:rPr/>
              <w:t> </w:t>
            </w:r>
          </w:p>
        </w:tc>
      </w:tr>
      <w:tr>
        <w:trPr/>
        <w:tc>
          <w:tcPr>
            <w:tcW w:w="13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Empery Tax Efficient III, LP </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916" w:type="dxa"/>
            <w:tcBorders/>
            <w:shd w:fill="CCEEFF" w:val="clear"/>
            <w:tcMar>
              <w:bottom w:w="0" w:type="dxa"/>
            </w:tcMar>
            <w:vAlign w:val="center"/>
          </w:tcPr>
          <w:p>
            <w:pPr>
              <w:pStyle w:val="TableContents"/>
              <w:bidi w:val="0"/>
              <w:spacing w:before="0" w:after="283"/>
              <w:jc w:val="right"/>
              <w:rPr/>
            </w:pPr>
            <w:r>
              <w:rPr/>
              <w:t>182,006</w:t>
            </w:r>
          </w:p>
        </w:tc>
        <w:tc>
          <w:tcPr>
            <w:tcW w:w="13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1.26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12" w:type="dxa"/>
            <w:tcBorders/>
            <w:shd w:fill="CCEEFF" w:val="clear"/>
            <w:tcMar>
              <w:bottom w:w="0" w:type="dxa"/>
            </w:tcMar>
            <w:vAlign w:val="center"/>
          </w:tcPr>
          <w:p>
            <w:pPr>
              <w:pStyle w:val="TableContents"/>
              <w:bidi w:val="0"/>
              <w:spacing w:before="0" w:after="283"/>
              <w:jc w:val="right"/>
              <w:rPr/>
            </w:pPr>
            <w:r>
              <w:rPr/>
              <w:t>182,006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 </w:t>
            </w:r>
          </w:p>
        </w:tc>
      </w:tr>
      <w:tr>
        <w:trPr/>
        <w:tc>
          <w:tcPr>
            <w:tcW w:w="13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Hudson Bay Master Fund Ltd.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1916" w:type="dxa"/>
            <w:tcBorders/>
            <w:shd w:fill="FFFFFF" w:val="clear"/>
            <w:tcMar>
              <w:bottom w:w="0" w:type="dxa"/>
            </w:tcMar>
            <w:vAlign w:val="center"/>
          </w:tcPr>
          <w:p>
            <w:pPr>
              <w:pStyle w:val="TableContents"/>
              <w:bidi w:val="0"/>
              <w:spacing w:before="0" w:after="283"/>
              <w:jc w:val="right"/>
              <w:rPr/>
            </w:pPr>
            <w:r>
              <w:rPr/>
              <w:t>402,386</w:t>
            </w:r>
          </w:p>
        </w:tc>
        <w:tc>
          <w:tcPr>
            <w:tcW w:w="132" w:type="dxa"/>
            <w:tcBorders/>
            <w:shd w:fill="FFFFFF" w:val="clear"/>
            <w:tcMar>
              <w:bottom w:w="0" w:type="dxa"/>
            </w:tcMar>
            <w:vAlign w:val="center"/>
          </w:tcPr>
          <w:p>
            <w:pPr>
              <w:pStyle w:val="TableContents"/>
              <w:bidi w:val="0"/>
              <w:spacing w:before="0" w:after="283"/>
              <w:jc w:val="left"/>
              <w:rPr>
                <w:position w:val="8"/>
                <w:sz w:val="19"/>
              </w:rPr>
            </w:pPr>
            <w:r>
              <w:rPr>
                <w:position w:val="8"/>
                <w:sz w:val="19"/>
              </w:rPr>
              <w:t>(</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2412" w:type="dxa"/>
            <w:tcBorders/>
            <w:shd w:fill="FFFFFF" w:val="clear"/>
            <w:tcMar>
              <w:bottom w:w="0" w:type="dxa"/>
            </w:tcMar>
            <w:vAlign w:val="center"/>
          </w:tcPr>
          <w:p>
            <w:pPr>
              <w:pStyle w:val="TableContents"/>
              <w:bidi w:val="0"/>
              <w:spacing w:before="0" w:after="283"/>
              <w:jc w:val="right"/>
              <w:rPr/>
            </w:pPr>
            <w:r>
              <w:rPr/>
              <w:t>402,386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407" w:type="dxa"/>
            <w:tcBorders/>
            <w:shd w:fill="FFFFFF" w:val="clear"/>
            <w:tcMar>
              <w:bottom w:w="0" w:type="dxa"/>
            </w:tcMar>
            <w:vAlign w:val="center"/>
          </w:tcPr>
          <w:p>
            <w:pPr>
              <w:pStyle w:val="TableContents"/>
              <w:bidi w:val="0"/>
              <w:spacing w:before="0" w:after="283"/>
              <w:jc w:val="right"/>
              <w:rPr/>
            </w:pPr>
            <w:r>
              <w:rPr/>
              <w:t>-</w:t>
            </w:r>
          </w:p>
        </w:tc>
        <w:tc>
          <w:tcPr>
            <w:tcW w:w="236" w:type="dxa"/>
            <w:tcBorders/>
            <w:shd w:fill="FFFFFF" w:val="clear"/>
            <w:tcMar>
              <w:bottom w:w="0" w:type="dxa"/>
            </w:tcMar>
            <w:vAlign w:val="center"/>
          </w:tcPr>
          <w:p>
            <w:pPr>
              <w:pStyle w:val="TableContents"/>
              <w:bidi w:val="0"/>
              <w:spacing w:before="0" w:after="283"/>
              <w:jc w:val="left"/>
              <w:rPr/>
            </w:pPr>
            <w:r>
              <w:rPr/>
              <w:t> </w:t>
            </w:r>
          </w:p>
        </w:tc>
      </w:tr>
      <w:tr>
        <w:trPr/>
        <w:tc>
          <w:tcPr>
            <w:tcW w:w="1361"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916" w:type="dxa"/>
            <w:tcBorders/>
            <w:shd w:fill="CCEEFF" w:val="clear"/>
            <w:tcMar>
              <w:bottom w:w="0" w:type="dxa"/>
            </w:tcMar>
            <w:vAlign w:val="center"/>
          </w:tcPr>
          <w:p>
            <w:pPr>
              <w:pStyle w:val="TableContents"/>
              <w:bidi w:val="0"/>
              <w:spacing w:before="0" w:after="283"/>
              <w:jc w:val="right"/>
              <w:rPr/>
            </w:pPr>
            <w:r>
              <w:rPr/>
              <w:t>1,005,965</w:t>
            </w:r>
          </w:p>
        </w:tc>
        <w:tc>
          <w:tcPr>
            <w:tcW w:w="13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6.99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12" w:type="dxa"/>
            <w:tcBorders/>
            <w:shd w:fill="CCEEFF" w:val="clear"/>
            <w:tcMar>
              <w:bottom w:w="0" w:type="dxa"/>
            </w:tcMar>
            <w:vAlign w:val="center"/>
          </w:tcPr>
          <w:p>
            <w:pPr>
              <w:pStyle w:val="TableContents"/>
              <w:bidi w:val="0"/>
              <w:spacing w:before="0" w:after="283"/>
              <w:jc w:val="right"/>
              <w:rPr/>
            </w:pPr>
            <w:r>
              <w:rPr/>
              <w:t>1,005,965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 The address of Empery Asset Management LP is One Rockefeller Plaza, Suite 1205, New York, New York 10020.</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 The address of Empery Asset Management LP is One Rockefeller Plaza, Suite 1205, New York, New York 10020.</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Empery Asset Management LP, the authorized agent of Empery Tax Efficient III, LP (“ETE III”), has discretionary authority to vote and dispose of the shares held by ETE III and may be deemed to be the beneficial owner of these shares. Martin Hoe and Ryan Lane, in their capacity as investment managers of Empery Asset Management LP, may also be deemed to have investment discretion and voting power over the shares held by ETE III. ETE III, Mr. Hoe and Mr. Lane each disclaim any beneficial ownership of these shares. The address of Empery Asset Management LP is One Rockefeller Plaza, Suite 1205, New York, New York 10020.</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address of Hudson Bay Capital Management LP is 28 Havemeyer Place, 2nd Floor, Greenwich CT 06830.</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8, 2024.</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9,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07"/>
      <w:bookmarkEnd w:id="18"/>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“Selling Stockholders”)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 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 dealer as principal and resale by the broker 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 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“Securities Act”), if available, rather than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dealers engaged by the Selling Stockholders may arrange for other brokers dealers to participate in sales. Broker dealers may receive commissions or discounts from the Selling Stockholders (or, if any broker dealer acts as agent for the purchasers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08"/>
      <w:bookmarkEnd w:id="19"/>
      <w:r>
        <w:rPr>
          <w:rFonts w:ascii="Times New Roman;Times;Serif" w:hAnsi="Times New Roman;Times;Serif"/>
          <w:b/>
          <w:i w:val="false"/>
          <w:caps w:val="false"/>
          <w:smallCaps w:val="false"/>
          <w:sz w:val="20"/>
        </w:rPr>
        <w:t>DESCRIPTION OF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14,398,964 shares were issued and outstanding as of April 2,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2,070,362 shares of our common stock issuable upon the exercise of outstanding stock options granted to employees, directors and consultants, with exercise prices ranging from approximately $0.005 to $15.75 and having a weighted-average exercise price of $5.56 per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131,585 shares of our common stock reserved for future grant under our 2017 Equity Incentive Plan;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581,846 shares of our common stock reserved for future grant under our 2020 Omnibus Performance Award Plan.</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 2024, we had outstanding: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1,685,682 shares of our common stock issuable upon the exercise of outstanding series E preferred investment options expiring in July 2029, at an exercise price per share of $1.50;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33 North LaSalle Street, Suite 1100, Chicago, IL 60602.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85"/>
        <w:gridCol w:w="91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09"/>
      <w:bookmarkEnd w:id="20"/>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being offered by this prospectus will be passed upon for us by Ruskin Moscou Faltischek, PC, Uniondale,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10"/>
      <w:bookmarkEnd w:id="21"/>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11"/>
      <w:bookmarkEnd w:id="22"/>
      <w:r>
        <w:rPr>
          <w:rFonts w:ascii="Times New Roman;Times;Serif" w:hAnsi="Times New Roman;Times;Serif"/>
          <w:b/>
          <w:i w:val="false"/>
          <w:caps w:val="false"/>
          <w:smallCaps w:val="false"/>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http://www.microbotmedical.com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z_001"/>
      <w:bookmarkEnd w:id="23"/>
      <w:r>
        <w:rPr>
          <w:rFonts w:ascii="Times New Roman;Times;Serif" w:hAnsi="Times New Roman;Times;Serif"/>
          <w:b/>
          <w:i w:val="false"/>
          <w:caps w:val="false"/>
          <w:smallCaps w:val="false"/>
          <w:sz w:val="20"/>
        </w:rPr>
        <w:t>INDEX TO FINANCIAL STATEMENTS</w:t>
      </w:r>
    </w:p>
    <w:p>
      <w:pPr>
        <w:pStyle w:val="TextBody"/>
        <w:bidi w:val="0"/>
        <w:spacing w:before="0" w:after="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8030"/>
        <w:gridCol w:w="875"/>
      </w:tblGrid>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z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No. 1197)</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F-2 – F-3 </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z_003">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z_004">
              <w:r>
                <w:rPr>
                  <w:rStyle w:val="InternetLink"/>
                  <w:rFonts w:ascii="Times New Roman;Times;Serif" w:hAnsi="Times New Roman;Times;Serif"/>
                  <w:b w:val="false"/>
                  <w:i w:val="false"/>
                  <w:caps w:val="false"/>
                  <w:smallCaps w:val="false"/>
                  <w:sz w:val="20"/>
                </w:rPr>
                <w:t>Consolidated Statements of Comprehensive Loss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z_005">
              <w:r>
                <w:rPr>
                  <w:rStyle w:val="InternetLink"/>
                  <w:rFonts w:ascii="Times New Roman;Times;Serif" w:hAnsi="Times New Roman;Times;Serif"/>
                  <w:b w:val="false"/>
                  <w:i w:val="false"/>
                  <w:caps w:val="false"/>
                  <w:smallCaps w:val="false"/>
                  <w:sz w:val="20"/>
                </w:rPr>
                <w:t>Consolidated Statements of Shareholders’ Equity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z_006">
              <w:r>
                <w:rPr>
                  <w:rStyle w:val="InternetLink"/>
                  <w:rFonts w:ascii="Times New Roman;Times;Serif" w:hAnsi="Times New Roman;Times;Serif"/>
                  <w:b w:val="false"/>
                  <w:i w:val="false"/>
                  <w:caps w:val="false"/>
                  <w:smallCaps w:val="false"/>
                  <w:sz w:val="20"/>
                </w:rPr>
                <w:t>Consolidated Statements of Cash Flows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notes_001">
              <w:r>
                <w:rPr>
                  <w:rStyle w:val="InternetLink"/>
                  <w:rFonts w:ascii="Times New Roman;Times;Serif" w:hAnsi="Times New Roman;Times;Serif"/>
                  <w:b w:val="false"/>
                  <w:i w:val="false"/>
                  <w:caps w:val="false"/>
                  <w:smallCaps w:val="false"/>
                  <w:sz w:val="20"/>
                </w:rPr>
                <w:t>Notes to the Consolidated Financial Statements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F-34</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860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5048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z_002"/>
      <w:bookmarkEnd w:id="2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120" w:after="283"/>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2860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0" cy="504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 - Settlement of litigation resulting from the 2017 financing — Refer to Notes 9G and 16C to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settlement agreement gave rise to loss contingency in the scope of Accounting Standards Codification Subtopic 450-20, Contingencies – Loss Contingencies, and as of December 31, 2023, the Company recorded a contingent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amount was recorded in the Company’s consolidated financial statements as non-operating loss, offset by loss recovery received from the Company’s insurance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Critical Audit Matter Was Addressed in the Audit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read the settlement agreement, agreement with the Company’s insurance company, and other supporting documentation, followed by inquiries with the Company’s external counsel and general counsel regarding the details of the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Company’s calculation of the contingent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appropriateness of the disclosures in the financial statements pertinent to the settlement agreement and loss recovery received from the Company’s insurance company by comparing management’s disclosures to audit evidence obtained.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800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1800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5" w:name="z_003"/>
      <w:bookmarkEnd w:id="25"/>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4"/>
        <w:gridCol w:w="60"/>
        <w:gridCol w:w="590"/>
        <w:gridCol w:w="60"/>
        <w:gridCol w:w="140"/>
        <w:gridCol w:w="761"/>
        <w:gridCol w:w="95"/>
        <w:gridCol w:w="60"/>
        <w:gridCol w:w="140"/>
        <w:gridCol w:w="761"/>
        <w:gridCol w:w="114"/>
      </w:tblGrid>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4"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4" w:type="dxa"/>
            <w:tcBorders/>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2,442</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3,4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3,917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5,760</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Short-term deposit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77</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Insurance recovery receivable related to legal settlement and legal expenses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532</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8,814</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221</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502</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8,327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9,537</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Trade accounts payables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116</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283</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Legal settlement accrual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1,670</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2,069</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Long-term lease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179</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2,248</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both"/>
              <w:rPr/>
            </w:pPr>
            <w:r>
              <w:rPr/>
              <w:t>Common stock; $0.01 par value; 60,000,000 shares authorized as of December 31, 2023 and 2022; 11,707,317 and 7,890,628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80</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83,884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75,970</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(68,761</w:t>
            </w:r>
          </w:p>
        </w:tc>
        <w:tc>
          <w:tcPr>
            <w:tcW w:w="114" w:type="dxa"/>
            <w:tcBorders/>
            <w:shd w:fill="CCEEFF" w:val="clear"/>
            <w:vAlign w:val="center"/>
          </w:tcPr>
          <w:p>
            <w:pPr>
              <w:pStyle w:val="TableContents"/>
              <w:bidi w:val="0"/>
              <w:spacing w:before="0" w:after="283"/>
              <w:jc w:val="left"/>
              <w:rPr/>
            </w:pPr>
            <w:r>
              <w:rPr/>
              <w:t>)</w:t>
            </w:r>
          </w:p>
        </w:tc>
      </w:tr>
      <w:tr>
        <w:trPr/>
        <w:tc>
          <w:tcPr>
            <w:tcW w:w="7424"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4,501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7,289</w:t>
            </w:r>
          </w:p>
        </w:tc>
        <w:tc>
          <w:tcPr>
            <w:tcW w:w="114" w:type="dxa"/>
            <w:tcBorders/>
            <w:shd w:fill="FFFFFF" w:val="clear"/>
            <w:vAlign w:val="center"/>
          </w:tcPr>
          <w:p>
            <w:pPr>
              <w:pStyle w:val="TableContents"/>
              <w:bidi w:val="0"/>
              <w:spacing w:before="0" w:after="283"/>
              <w:jc w:val="left"/>
              <w:rPr/>
            </w:pPr>
            <w:r>
              <w:rPr/>
              <w:t> </w:t>
            </w:r>
          </w:p>
        </w:tc>
      </w:tr>
      <w:tr>
        <w:trPr/>
        <w:tc>
          <w:tcPr>
            <w:tcW w:w="7424"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8,327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9,537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6" w:name="z_004"/>
      <w:bookmarkEnd w:id="26"/>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80"/>
        <w:gridCol w:w="60"/>
        <w:gridCol w:w="590"/>
        <w:gridCol w:w="60"/>
        <w:gridCol w:w="140"/>
        <w:gridCol w:w="1100"/>
        <w:gridCol w:w="95"/>
        <w:gridCol w:w="60"/>
        <w:gridCol w:w="140"/>
        <w:gridCol w:w="980"/>
        <w:gridCol w:w="110"/>
      </w:tblGrid>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(7,736</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General and administrative, net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(5,545</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(13,281</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Loss on legal settlement,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(13,168</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Basic and diluted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10,199,984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7,260,344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7" w:name="z_005"/>
      <w:bookmarkEnd w:id="27"/>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0"/>
        <w:gridCol w:w="60"/>
        <w:gridCol w:w="60"/>
        <w:gridCol w:w="1100"/>
        <w:gridCol w:w="60"/>
        <w:gridCol w:w="60"/>
        <w:gridCol w:w="231"/>
        <w:gridCol w:w="629"/>
        <w:gridCol w:w="60"/>
        <w:gridCol w:w="60"/>
        <w:gridCol w:w="242"/>
        <w:gridCol w:w="1186"/>
        <w:gridCol w:w="60"/>
        <w:gridCol w:w="60"/>
        <w:gridCol w:w="214"/>
        <w:gridCol w:w="1156"/>
        <w:gridCol w:w="95"/>
        <w:gridCol w:w="60"/>
        <w:gridCol w:w="174"/>
        <w:gridCol w:w="1224"/>
        <w:gridCol w:w="114"/>
      </w:tblGrid>
      <w:tr>
        <w:trPr/>
        <w:tc>
          <w:tcPr>
            <w:tcW w:w="3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3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283"/>
              <w:jc w:val="center"/>
              <w:rPr>
                <w:b/>
              </w:rPr>
            </w:pPr>
            <w:r>
              <w:rPr>
                <w:b/>
              </w:rPr>
              <w:t>Total</w:t>
              <w:br/>
              <w:t>Shareholders’</w:t>
            </w:r>
          </w:p>
        </w:tc>
        <w:tc>
          <w:tcPr>
            <w:tcW w:w="114" w:type="dxa"/>
            <w:tcBorders/>
            <w:vAlign w:val="center"/>
          </w:tcPr>
          <w:p>
            <w:pPr>
              <w:pStyle w:val="TableContents"/>
              <w:bidi w:val="0"/>
              <w:spacing w:before="0" w:after="283"/>
              <w:jc w:val="left"/>
              <w:rPr/>
            </w:pPr>
            <w:r>
              <w:rPr/>
              <w:t> </w:t>
            </w:r>
          </w:p>
        </w:tc>
      </w:tr>
      <w:tr>
        <w:trPr/>
        <w:tc>
          <w:tcPr>
            <w:tcW w:w="3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left"/>
              <w:rPr/>
            </w:pPr>
            <w:r>
              <w:rPr/>
              <w:t> </w:t>
            </w:r>
          </w:p>
        </w:tc>
      </w:tr>
      <w:tr>
        <w:trPr/>
        <w:tc>
          <w:tcPr>
            <w:tcW w:w="3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3300" w:type="dxa"/>
            <w:tcBorders/>
            <w:shd w:fill="CCEEFF" w:val="clear"/>
            <w:vAlign w:val="center"/>
          </w:tcPr>
          <w:p>
            <w:pPr>
              <w:pStyle w:val="TableContents"/>
              <w:bidi w:val="0"/>
              <w:spacing w:before="0" w:after="283"/>
              <w:jc w:val="left"/>
              <w:rPr/>
            </w:pPr>
            <w:r>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7,108,133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69,902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(55,593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     </w:t>
            </w:r>
            <w:r>
              <w:rPr/>
              <w:t>14,381</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FFFFFF" w:val="clear"/>
            <w:vAlign w:val="center"/>
          </w:tcPr>
          <w:p>
            <w:pPr>
              <w:pStyle w:val="TableContents"/>
              <w:bidi w:val="0"/>
              <w:spacing w:before="0" w:after="283"/>
              <w:jc w:val="left"/>
              <w:rPr/>
            </w:pPr>
            <w:r>
              <w:rPr/>
              <w:t>Issuance of common stock and warrants net of issuance costs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782,495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4,316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4,324</w:t>
            </w:r>
          </w:p>
        </w:tc>
        <w:tc>
          <w:tcPr>
            <w:tcW w:w="114" w:type="dxa"/>
            <w:tcBorders/>
            <w:shd w:fill="FFFFFF" w:val="clear"/>
            <w:vAlign w:val="center"/>
          </w:tcPr>
          <w:p>
            <w:pPr>
              <w:pStyle w:val="TableContents"/>
              <w:bidi w:val="0"/>
              <w:spacing w:before="0" w:after="283"/>
              <w:jc w:val="left"/>
              <w:rPr/>
            </w:pPr>
            <w:r>
              <w:rPr/>
              <w:t> </w:t>
            </w:r>
          </w:p>
        </w:tc>
      </w:tr>
      <w:tr>
        <w:trPr/>
        <w:tc>
          <w:tcPr>
            <w:tcW w:w="33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1,752</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(13,168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(13,168</w:t>
            </w:r>
          </w:p>
        </w:tc>
        <w:tc>
          <w:tcPr>
            <w:tcW w:w="114" w:type="dxa"/>
            <w:tcBorders/>
            <w:shd w:fill="FFFFFF" w:val="clear"/>
            <w:vAlign w:val="center"/>
          </w:tcPr>
          <w:p>
            <w:pPr>
              <w:pStyle w:val="TableContents"/>
              <w:bidi w:val="0"/>
              <w:spacing w:before="0" w:after="283"/>
              <w:jc w:val="left"/>
              <w:rPr/>
            </w:pPr>
            <w:r>
              <w:rPr/>
              <w:t>)</w:t>
            </w:r>
          </w:p>
        </w:tc>
      </w:tr>
      <w:tr>
        <w:trPr/>
        <w:tc>
          <w:tcPr>
            <w:tcW w:w="3300" w:type="dxa"/>
            <w:tcBorders/>
            <w:shd w:fill="CCEEFF" w:val="clear"/>
            <w:vAlign w:val="center"/>
          </w:tcPr>
          <w:p>
            <w:pPr>
              <w:pStyle w:val="TableContents"/>
              <w:bidi w:val="0"/>
              <w:spacing w:before="0" w:after="283"/>
              <w:jc w:val="left"/>
              <w:rPr/>
            </w:pPr>
            <w:r>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75,970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right"/>
              <w:rPr/>
            </w:pPr>
            <w:r>
              <w:rPr/>
              <w:t>7,289</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75,970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7,289</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FFFFFF" w:val="clear"/>
            <w:vAlign w:val="center"/>
          </w:tcPr>
          <w:p>
            <w:pPr>
              <w:pStyle w:val="TableContents"/>
              <w:bidi w:val="0"/>
              <w:spacing w:before="0" w:after="283"/>
              <w:jc w:val="left"/>
              <w:rPr/>
            </w:pPr>
            <w:r>
              <w:rPr/>
              <w:t>Issuance of common stock and warrants net of issuance costs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3,816,689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6,520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6,558</w:t>
            </w:r>
          </w:p>
        </w:tc>
        <w:tc>
          <w:tcPr>
            <w:tcW w:w="114" w:type="dxa"/>
            <w:tcBorders/>
            <w:shd w:fill="FFFFFF" w:val="clear"/>
            <w:vAlign w:val="center"/>
          </w:tcPr>
          <w:p>
            <w:pPr>
              <w:pStyle w:val="TableContents"/>
              <w:bidi w:val="0"/>
              <w:spacing w:before="0" w:after="283"/>
              <w:jc w:val="left"/>
              <w:rPr/>
            </w:pPr>
            <w:r>
              <w:rPr/>
              <w:t> </w:t>
            </w:r>
          </w:p>
        </w:tc>
      </w:tr>
      <w:tr>
        <w:trPr/>
        <w:tc>
          <w:tcPr>
            <w:tcW w:w="33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1,394</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(10,740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(10,740</w:t>
            </w:r>
          </w:p>
        </w:tc>
        <w:tc>
          <w:tcPr>
            <w:tcW w:w="114" w:type="dxa"/>
            <w:tcBorders/>
            <w:shd w:fill="FFFFFF" w:val="clear"/>
            <w:vAlign w:val="center"/>
          </w:tcPr>
          <w:p>
            <w:pPr>
              <w:pStyle w:val="TableContents"/>
              <w:bidi w:val="0"/>
              <w:spacing w:before="0" w:after="283"/>
              <w:jc w:val="left"/>
              <w:rPr/>
            </w:pPr>
            <w:r>
              <w:rPr/>
              <w:t>)</w:t>
            </w:r>
          </w:p>
        </w:tc>
      </w:tr>
      <w:tr>
        <w:trPr/>
        <w:tc>
          <w:tcPr>
            <w:tcW w:w="3300" w:type="dxa"/>
            <w:tcBorders/>
            <w:shd w:fill="CCEEFF" w:val="clear"/>
            <w:vAlign w:val="center"/>
          </w:tcPr>
          <w:p>
            <w:pPr>
              <w:pStyle w:val="TableContents"/>
              <w:bidi w:val="0"/>
              <w:spacing w:before="0" w:after="283"/>
              <w:jc w:val="left"/>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pPr>
            <w:r>
              <w:rPr/>
              <w:t>4,501</w:t>
            </w:r>
          </w:p>
        </w:tc>
        <w:tc>
          <w:tcPr>
            <w:tcW w:w="114" w:type="dxa"/>
            <w:tcBorders/>
            <w:shd w:fill="CCEEFF" w:val="clear"/>
            <w:vAlign w:val="center"/>
          </w:tcPr>
          <w:p>
            <w:pPr>
              <w:pStyle w:val="TableContents"/>
              <w:bidi w:val="0"/>
              <w:spacing w:before="0" w:after="283"/>
              <w:jc w:val="left"/>
              <w:rPr/>
            </w:pPr>
            <w:r>
              <w:rPr/>
              <w:t> </w:t>
            </w:r>
          </w:p>
        </w:tc>
      </w:tr>
      <w:tr>
        <w:trPr/>
        <w:tc>
          <w:tcPr>
            <w:tcW w:w="330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pPr>
            <w:r>
              <w:rPr/>
              <w:t>4,501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410"/>
        <w:gridCol w:w="3755"/>
      </w:tblGrid>
      <w:tr>
        <w:trPr/>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of issuance costs in the amount of $676.</w:t>
            </w:r>
          </w:p>
        </w:tc>
      </w:tr>
      <w:tr>
        <w:trPr/>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of issuance costs in the amount of $1,075.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z_006"/>
      <w:bookmarkEnd w:id="28"/>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9806" w:type="dxa"/>
        <w:jc w:val="left"/>
        <w:tblInd w:w="0" w:type="dxa"/>
        <w:tblLayout w:type="fixed"/>
        <w:tblCellMar>
          <w:top w:w="0" w:type="dxa"/>
          <w:left w:w="0" w:type="dxa"/>
          <w:bottom w:w="0" w:type="dxa"/>
          <w:right w:w="0" w:type="dxa"/>
        </w:tblCellMar>
      </w:tblPr>
      <w:tblGrid>
        <w:gridCol w:w="7415"/>
        <w:gridCol w:w="60"/>
        <w:gridCol w:w="155"/>
        <w:gridCol w:w="840"/>
        <w:gridCol w:w="105"/>
        <w:gridCol w:w="66"/>
        <w:gridCol w:w="155"/>
        <w:gridCol w:w="840"/>
        <w:gridCol w:w="170"/>
      </w:tblGrid>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(10,740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(13,168</w:t>
            </w:r>
          </w:p>
        </w:tc>
        <w:tc>
          <w:tcPr>
            <w:tcW w:w="170" w:type="dxa"/>
            <w:tcBorders/>
            <w:shd w:fill="FFFFFF" w:val="clear"/>
            <w:vAlign w:val="center"/>
          </w:tcPr>
          <w:p>
            <w:pPr>
              <w:pStyle w:val="TableContents"/>
              <w:bidi w:val="0"/>
              <w:spacing w:before="0" w:after="283"/>
              <w:jc w:val="left"/>
              <w:rPr/>
            </w:pPr>
            <w:r>
              <w:rPr/>
              <w:t>)</w:t>
            </w:r>
          </w:p>
        </w:tc>
      </w:tr>
      <w:tr>
        <w:trPr/>
        <w:tc>
          <w:tcPr>
            <w:tcW w:w="7415" w:type="dxa"/>
            <w:tcBorders/>
            <w:shd w:fill="CCEEFF" w:val="clear"/>
            <w:vAlign w:val="center"/>
          </w:tcPr>
          <w:p>
            <w:pPr>
              <w:pStyle w:val="TableContents"/>
              <w:bidi w:val="0"/>
              <w:spacing w:before="0" w:after="283"/>
              <w:jc w:val="left"/>
              <w:rPr/>
            </w:pPr>
            <w:r>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102</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Loss on legal settlement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2,211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Insurance recovery related to legal settlement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(1,335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Interest income and unrealized gains from marketable securities,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(160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w:t>
            </w:r>
          </w:p>
        </w:tc>
      </w:tr>
      <w:tr>
        <w:trPr/>
        <w:tc>
          <w:tcPr>
            <w:tcW w:w="741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5</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1,394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1,752</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672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(683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(241</w:t>
            </w:r>
          </w:p>
        </w:tc>
        <w:tc>
          <w:tcPr>
            <w:tcW w:w="170" w:type="dxa"/>
            <w:tcBorders/>
            <w:shd w:fill="FFFFFF" w:val="clear"/>
            <w:vAlign w:val="center"/>
          </w:tcPr>
          <w:p>
            <w:pPr>
              <w:pStyle w:val="TableContents"/>
              <w:bidi w:val="0"/>
              <w:spacing w:before="0" w:after="283"/>
              <w:jc w:val="left"/>
              <w:rPr/>
            </w:pPr>
            <w:r>
              <w:rPr/>
              <w:t>)</w:t>
            </w:r>
          </w:p>
        </w:tc>
      </w:tr>
      <w:tr>
        <w:trPr/>
        <w:tc>
          <w:tcPr>
            <w:tcW w:w="7415"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(8,533</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(11,549</w:t>
            </w:r>
          </w:p>
        </w:tc>
        <w:tc>
          <w:tcPr>
            <w:tcW w:w="170" w:type="dxa"/>
            <w:tcBorders/>
            <w:shd w:fill="CCEEFF" w:val="clear"/>
            <w:vAlign w:val="center"/>
          </w:tcPr>
          <w:p>
            <w:pPr>
              <w:pStyle w:val="TableContents"/>
              <w:bidi w:val="0"/>
              <w:spacing w:before="0" w:after="283"/>
              <w:jc w:val="left"/>
              <w:rPr/>
            </w:pPr>
            <w:r>
              <w:rPr/>
              <w:t>)</w:t>
            </w:r>
          </w:p>
        </w:tc>
      </w:tr>
      <w:tr>
        <w:trPr/>
        <w:tc>
          <w:tcPr>
            <w:tcW w:w="741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Short-term deposit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(84</w:t>
            </w:r>
          </w:p>
        </w:tc>
        <w:tc>
          <w:tcPr>
            <w:tcW w:w="170" w:type="dxa"/>
            <w:tcBorders/>
            <w:shd w:fill="FFFFFF" w:val="clear"/>
            <w:vAlign w:val="center"/>
          </w:tcPr>
          <w:p>
            <w:pPr>
              <w:pStyle w:val="TableContents"/>
              <w:bidi w:val="0"/>
              <w:spacing w:before="0" w:after="283"/>
              <w:jc w:val="left"/>
              <w:rPr/>
            </w:pPr>
            <w:r>
              <w:rPr/>
              <w:t>)</w:t>
            </w:r>
          </w:p>
        </w:tc>
      </w:tr>
      <w:tr>
        <w:trPr/>
        <w:tc>
          <w:tcPr>
            <w:tcW w:w="7415"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9,164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Purchase of 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(10,060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(3,749</w:t>
            </w:r>
          </w:p>
        </w:tc>
        <w:tc>
          <w:tcPr>
            <w:tcW w:w="170" w:type="dxa"/>
            <w:tcBorders/>
            <w:shd w:fill="FFFFFF" w:val="clear"/>
            <w:vAlign w:val="center"/>
          </w:tcPr>
          <w:p>
            <w:pPr>
              <w:pStyle w:val="TableContents"/>
              <w:bidi w:val="0"/>
              <w:spacing w:before="0" w:after="283"/>
              <w:jc w:val="left"/>
              <w:rPr/>
            </w:pPr>
            <w:r>
              <w:rPr/>
              <w:t>)</w:t>
            </w:r>
          </w:p>
        </w:tc>
      </w:tr>
      <w:tr>
        <w:trPr/>
        <w:tc>
          <w:tcPr>
            <w:tcW w:w="7415" w:type="dxa"/>
            <w:tcBorders/>
            <w:shd w:fill="CCEEFF" w:val="clear"/>
            <w:vAlign w:val="center"/>
          </w:tcPr>
          <w:p>
            <w:pPr>
              <w:pStyle w:val="TableContents"/>
              <w:bidi w:val="0"/>
              <w:spacing w:before="0" w:after="283"/>
              <w:jc w:val="left"/>
              <w:rPr/>
            </w:pPr>
            <w:r>
              <w:rPr/>
              <w:t>Proceeds from sales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2,899</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Net cash flows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1,973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(3,836</w:t>
            </w:r>
          </w:p>
        </w:tc>
        <w:tc>
          <w:tcPr>
            <w:tcW w:w="170" w:type="dxa"/>
            <w:tcBorders/>
            <w:shd w:fill="FFFFFF" w:val="clear"/>
            <w:vAlign w:val="center"/>
          </w:tcPr>
          <w:p>
            <w:pPr>
              <w:pStyle w:val="TableContents"/>
              <w:bidi w:val="0"/>
              <w:spacing w:before="0" w:after="283"/>
              <w:jc w:val="left"/>
              <w:rPr/>
            </w:pPr>
            <w:r>
              <w:rPr/>
              <w:t>)</w:t>
            </w:r>
          </w:p>
        </w:tc>
      </w:tr>
      <w:tr>
        <w:trPr/>
        <w:tc>
          <w:tcPr>
            <w:tcW w:w="741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Issuance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6,558</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4,324</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6,558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4,324</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(11,061</w:t>
            </w:r>
          </w:p>
        </w:tc>
        <w:tc>
          <w:tcPr>
            <w:tcW w:w="170" w:type="dxa"/>
            <w:tcBorders/>
            <w:shd w:fill="CCEEFF" w:val="clear"/>
            <w:vAlign w:val="center"/>
          </w:tcPr>
          <w:p>
            <w:pPr>
              <w:pStyle w:val="TableContents"/>
              <w:bidi w:val="0"/>
              <w:spacing w:before="0" w:after="283"/>
              <w:jc w:val="left"/>
              <w:rPr/>
            </w:pPr>
            <w:r>
              <w:rPr/>
              <w:t>)</w:t>
            </w:r>
          </w:p>
        </w:tc>
      </w:tr>
      <w:tr>
        <w:trPr/>
        <w:tc>
          <w:tcPr>
            <w:tcW w:w="7415" w:type="dxa"/>
            <w:tcBorders/>
            <w:shd w:fill="FFFFFF" w:val="clear"/>
            <w:vAlign w:val="center"/>
          </w:tcPr>
          <w:p>
            <w:pPr>
              <w:pStyle w:val="TableContents"/>
              <w:bidi w:val="0"/>
              <w:spacing w:before="0" w:after="283"/>
              <w:jc w:val="left"/>
              <w:rPr/>
            </w:pPr>
            <w:r>
              <w:rPr/>
              <w:t>Cash,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2,519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13,580</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Cash, cash equivalents and restricted cash at ending of year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2,517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2,519</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283"/>
              <w:jc w:val="left"/>
              <w:rPr/>
            </w:pPr>
            <w:r>
              <w:rPr/>
              <w:t>Cash received from interest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50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103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9" w:name="notes_001"/>
      <w:bookmarkEnd w:id="29"/>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71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sometimes collectively referred to as the “Company” as the context may require.</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Risk Factors: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these conditions raise substantial doubt about the Company’s ability to continue as a going concern.</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Risk Factors: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 in Israel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preparation of the financial statements are as follows: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Basis of presentation: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Financial statement in U.S. dollars: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U.S. dollar (“dollar”) since the dollar is the currency of the primary economic environment in which the Company has operated and expects to continue to operate in the foreseeable future.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 gains and losses from re-measurement of monetary balance sheet items denominated in non-dollar currencies are reflected in the statements of comprehensive loss as financial income or expenses, as appropriate.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Use of estimates: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subsidiary. Inter-company balances and transactions have been eliminated in consolidation.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Reclassification of prior year disclosures:</w:t>
      </w:r>
    </w:p>
    <w:p>
      <w:pPr>
        <w:pStyle w:val="TextBody"/>
        <w:bidi w:val="0"/>
        <w:jc w:val="left"/>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Acquisitions of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Cash and cash equivalents: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and demand deposits in banks, and other short-term liquid investments (primarily interest-bearing time deposits) with original maturities of three months or less at the date of purchase.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Restricted cash:</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of $49 as of December 31, 2023, serves as collateral for the Company’s lease agreement, and $77 as of December 31, 2022, serves as collateral for lease agreements and credit cards.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Fair value of financial instruments: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 and other accounts payable and accrued liabilities approximate their fair value due to the short-term maturity of these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(such as marketable securities) on a recurring basis. The method of determining the fair value of marketable securities is discussed in Note 4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Property and equipment: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presented at cost less accumulated depreciation. Depreciation is calculated based on the straight-line method over the estimated useful lives of the assets, at the following annual rates:</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ESTIMATED USEFUL LIVES OF PROPERTY AND EQUIPMENT </w:t>
      </w:r>
    </w:p>
    <w:tbl>
      <w:tblPr>
        <w:tblW w:w="5155" w:type="dxa"/>
        <w:jc w:val="left"/>
        <w:tblInd w:w="0" w:type="dxa"/>
        <w:tblLayout w:type="fixed"/>
        <w:tblCellMar>
          <w:top w:w="0" w:type="dxa"/>
          <w:left w:w="0" w:type="dxa"/>
          <w:bottom w:w="0" w:type="dxa"/>
          <w:right w:w="0" w:type="dxa"/>
        </w:tblCellMar>
      </w:tblPr>
      <w:tblGrid>
        <w:gridCol w:w="3230"/>
        <w:gridCol w:w="60"/>
        <w:gridCol w:w="60"/>
        <w:gridCol w:w="173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25-33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730" w:type="dxa"/>
            <w:tcBorders/>
            <w:shd w:fill="FFFFFF" w:val="clear"/>
            <w:vAlign w:val="center"/>
          </w:tcPr>
          <w:p>
            <w:pPr>
              <w:pStyle w:val="TableContents"/>
              <w:bidi w:val="0"/>
              <w:spacing w:before="0" w:after="283"/>
              <w:jc w:val="center"/>
              <w:rPr/>
            </w:pPr>
            <w:r>
              <w:rPr/>
              <w:t>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the lease period</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Liabilities due to termination of employment agreements: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the U.S. employees, the Company has certain defined contribution plans, including a 401(k)-retirement plan in the U.S., whereby contributions made by eligible employees are matched by the Company with certain limitations.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Common stock 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Basic and diluted net loss per share: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General and administrative expenses,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Research and development expenses,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Share-based compensation: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stock option term is calculated for stock options granted using the “simplified” method. Changes in the determination of each of the inputs can affect the fair value of the stock options granted and the results of operations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 Income taxes: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Marketable securities:</w:t>
      </w:r>
    </w:p>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 Leases: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Contingencies: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Government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Recently issued accounting pronouncements:</w:t>
      </w:r>
    </w:p>
    <w:p>
      <w:pPr>
        <w:pStyle w:val="TextBody"/>
        <w:bidi w:val="0"/>
        <w:spacing w:before="0" w:after="0"/>
        <w:ind w:left="86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CASH AND CASH EQUIVALENTS AND MARKETABLE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as of December 31, 2023 and 2022:</w:t>
      </w:r>
    </w:p>
    <w:p>
      <w:pPr>
        <w:pStyle w:val="TextBody"/>
        <w:bidi w:val="0"/>
        <w:spacing w:before="0" w:after="0"/>
        <w:ind w:left="108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CASH AND CASH EQUIVALENTS AND MARKETABLE SECURITIES</w:t>
      </w:r>
    </w:p>
    <w:tbl>
      <w:tblPr>
        <w:tblW w:w="7236" w:type="dxa"/>
        <w:jc w:val="left"/>
        <w:tblInd w:w="0" w:type="dxa"/>
        <w:tblLayout w:type="fixed"/>
        <w:tblCellMar>
          <w:top w:w="0" w:type="dxa"/>
          <w:left w:w="0" w:type="dxa"/>
          <w:bottom w:w="0" w:type="dxa"/>
          <w:right w:w="0" w:type="dxa"/>
        </w:tblCellMar>
      </w:tblPr>
      <w:tblGrid>
        <w:gridCol w:w="5105"/>
        <w:gridCol w:w="60"/>
        <w:gridCol w:w="184"/>
        <w:gridCol w:w="736"/>
        <w:gridCol w:w="78"/>
        <w:gridCol w:w="78"/>
        <w:gridCol w:w="184"/>
        <w:gridCol w:w="736"/>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2,468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1,195</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1,247</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2,468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2,442</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1,420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1,999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2,497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3,761</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Total marketable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3,917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Total cash, cash equivalents and marketable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6,385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8,202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gains on our marketable securities were $59 and $12 for the years ended December 31, 2023 and 2022,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Treasuries have contractual maturities of less than 12 months.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financial assets subject to fair value measurement and the level of inputs used in such measurements as of December 31, 2023 and 2022: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MEASUREMENT INPUTS AND VALUATION TECHNIQUES</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27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6218" w:type="dxa"/>
        <w:jc w:val="left"/>
        <w:tblInd w:w="0" w:type="dxa"/>
        <w:tblLayout w:type="fixed"/>
        <w:tblCellMar>
          <w:top w:w="0" w:type="dxa"/>
          <w:left w:w="0" w:type="dxa"/>
          <w:bottom w:w="0" w:type="dxa"/>
          <w:right w:w="0" w:type="dxa"/>
        </w:tblCellMar>
      </w:tblPr>
      <w:tblGrid>
        <w:gridCol w:w="4085"/>
        <w:gridCol w:w="60"/>
        <w:gridCol w:w="241"/>
        <w:gridCol w:w="655"/>
        <w:gridCol w:w="103"/>
        <w:gridCol w:w="103"/>
        <w:gridCol w:w="241"/>
        <w:gridCol w:w="655"/>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Amounts due from government institutions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61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Prepaid expenses and other receivables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429</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152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532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the Company’s lease cost and the classification of such costs in the Company’s consolidated statements of comprehensive loss for the years ended December 31, 2023 and 2022:</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STATEMENTS OF COMPREHENSIVE LOSS</w:t>
      </w:r>
    </w:p>
    <w:tbl>
      <w:tblPr>
        <w:tblW w:w="10205" w:type="dxa"/>
        <w:jc w:val="left"/>
        <w:tblInd w:w="0" w:type="dxa"/>
        <w:tblLayout w:type="fixed"/>
        <w:tblCellMar>
          <w:top w:w="0" w:type="dxa"/>
          <w:left w:w="0" w:type="dxa"/>
          <w:bottom w:w="28" w:type="dxa"/>
          <w:right w:w="0" w:type="dxa"/>
        </w:tblCellMar>
      </w:tblPr>
      <w:tblGrid>
        <w:gridCol w:w="2478"/>
        <w:gridCol w:w="60"/>
        <w:gridCol w:w="4228"/>
        <w:gridCol w:w="60"/>
        <w:gridCol w:w="398"/>
        <w:gridCol w:w="1082"/>
        <w:gridCol w:w="170"/>
        <w:gridCol w:w="170"/>
        <w:gridCol w:w="398"/>
        <w:gridCol w:w="1082"/>
        <w:gridCol w:w="79"/>
      </w:tblGrid>
      <w:tr>
        <w:trPr/>
        <w:tc>
          <w:tcPr>
            <w:tcW w:w="2478" w:type="dxa"/>
            <w:tcBorders>
              <w:bottom w:val="single" w:sz="12" w:space="0" w:color="000000"/>
            </w:tcBorders>
            <w:vAlign w:val="center"/>
          </w:tcPr>
          <w:p>
            <w:pPr>
              <w:pStyle w:val="TableContents"/>
              <w:bidi w:val="0"/>
              <w:spacing w:before="0" w:after="283"/>
              <w:jc w:val="left"/>
              <w:rPr>
                <w:b/>
              </w:rPr>
            </w:pPr>
            <w:r>
              <w:rPr>
                <w:b/>
              </w:rPr>
              <w:t>Component of Lease Cost</w:t>
            </w:r>
          </w:p>
        </w:tc>
        <w:tc>
          <w:tcPr>
            <w:tcW w:w="60" w:type="dxa"/>
            <w:tcBorders/>
            <w:tcMar>
              <w:bottom w:w="0" w:type="dxa"/>
            </w:tcMar>
            <w:vAlign w:val="center"/>
          </w:tcPr>
          <w:p>
            <w:pPr>
              <w:pStyle w:val="TableContents"/>
              <w:bidi w:val="0"/>
              <w:spacing w:before="0" w:after="283"/>
              <w:jc w:val="left"/>
              <w:rPr/>
            </w:pPr>
            <w:r>
              <w:rPr/>
              <w:t> </w:t>
            </w:r>
          </w:p>
        </w:tc>
        <w:tc>
          <w:tcPr>
            <w:tcW w:w="4228" w:type="dxa"/>
            <w:tcBorders>
              <w:bottom w:val="single" w:sz="12" w:space="0" w:color="000000"/>
            </w:tcBorders>
            <w:vAlign w:val="center"/>
          </w:tcPr>
          <w:p>
            <w:pPr>
              <w:pStyle w:val="TableContents"/>
              <w:bidi w:val="0"/>
              <w:spacing w:before="0" w:after="283"/>
              <w:jc w:val="left"/>
              <w:rPr/>
            </w:pPr>
            <w:r>
              <w:rPr/>
              <w:t>Statements of Comprehensive Loss Line Item</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pPr>
            <w:r>
              <w:rPr/>
              <w:t>2023</w:t>
            </w:r>
          </w:p>
        </w:tc>
        <w:tc>
          <w:tcPr>
            <w:tcW w:w="17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pPr>
            <w:r>
              <w:rPr/>
              <w:t>2022</w:t>
            </w:r>
          </w:p>
        </w:tc>
        <w:tc>
          <w:tcPr>
            <w:tcW w:w="79" w:type="dxa"/>
            <w:tcBorders/>
            <w:tcMar>
              <w:bottom w:w="0" w:type="dxa"/>
            </w:tcMar>
            <w:vAlign w:val="center"/>
          </w:tcPr>
          <w:p>
            <w:pPr>
              <w:pStyle w:val="TableContents"/>
              <w:bidi w:val="0"/>
              <w:spacing w:before="0" w:after="283"/>
              <w:jc w:val="left"/>
              <w:rPr/>
            </w:pPr>
            <w:r>
              <w:rPr/>
              <w:t> </w:t>
            </w:r>
          </w:p>
        </w:tc>
      </w:tr>
      <w:tr>
        <w:trPr/>
        <w:tc>
          <w:tcPr>
            <w:tcW w:w="24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00" w:type="dxa"/>
            <w:gridSpan w:val="6"/>
            <w:tcBorders>
              <w:bottom w:val="single" w:sz="12" w:space="0" w:color="000000"/>
            </w:tcBorders>
            <w:vAlign w:val="center"/>
          </w:tcPr>
          <w:p>
            <w:pPr>
              <w:pStyle w:val="TableContents"/>
              <w:bidi w:val="0"/>
              <w:spacing w:before="0" w:after="283"/>
              <w:jc w:val="center"/>
              <w:rPr>
                <w:b/>
              </w:rPr>
            </w:pPr>
            <w:r>
              <w:rPr>
                <w:b/>
              </w:rPr>
              <w:t>For the Years Ended December 31,</w:t>
            </w:r>
          </w:p>
        </w:tc>
        <w:tc>
          <w:tcPr>
            <w:tcW w:w="79" w:type="dxa"/>
            <w:tcBorders/>
            <w:tcMar>
              <w:bottom w:w="0" w:type="dxa"/>
            </w:tcMar>
            <w:vAlign w:val="center"/>
          </w:tcPr>
          <w:p>
            <w:pPr>
              <w:pStyle w:val="TableContents"/>
              <w:bidi w:val="0"/>
              <w:spacing w:before="0" w:after="283"/>
              <w:jc w:val="left"/>
              <w:rPr/>
            </w:pPr>
            <w:r>
              <w:rPr/>
              <w:t> </w:t>
            </w:r>
          </w:p>
        </w:tc>
      </w:tr>
      <w:tr>
        <w:trPr/>
        <w:tc>
          <w:tcPr>
            <w:tcW w:w="2478" w:type="dxa"/>
            <w:tcBorders>
              <w:bottom w:val="single" w:sz="12" w:space="0" w:color="000000"/>
            </w:tcBorders>
            <w:vAlign w:val="center"/>
          </w:tcPr>
          <w:p>
            <w:pPr>
              <w:pStyle w:val="TableContents"/>
              <w:bidi w:val="0"/>
              <w:spacing w:before="0" w:after="283"/>
              <w:jc w:val="left"/>
              <w:rPr>
                <w:b/>
              </w:rPr>
            </w:pPr>
            <w:r>
              <w:rPr>
                <w:b/>
              </w:rPr>
              <w:t>Component of Lease Cost</w:t>
            </w:r>
          </w:p>
        </w:tc>
        <w:tc>
          <w:tcPr>
            <w:tcW w:w="60" w:type="dxa"/>
            <w:tcBorders/>
            <w:tcMar>
              <w:bottom w:w="0" w:type="dxa"/>
            </w:tcMar>
            <w:vAlign w:val="center"/>
          </w:tcPr>
          <w:p>
            <w:pPr>
              <w:pStyle w:val="TableContents"/>
              <w:bidi w:val="0"/>
              <w:spacing w:before="0" w:after="283"/>
              <w:jc w:val="left"/>
              <w:rPr/>
            </w:pPr>
            <w:r>
              <w:rPr/>
              <w:t> </w:t>
            </w:r>
          </w:p>
        </w:tc>
        <w:tc>
          <w:tcPr>
            <w:tcW w:w="4228" w:type="dxa"/>
            <w:tcBorders>
              <w:bottom w:val="single" w:sz="12" w:space="0" w:color="000000"/>
            </w:tcBorders>
            <w:vAlign w:val="center"/>
          </w:tcPr>
          <w:p>
            <w:pPr>
              <w:pStyle w:val="TableContents"/>
              <w:bidi w:val="0"/>
              <w:spacing w:before="0" w:after="283"/>
              <w:jc w:val="center"/>
              <w:rPr>
                <w:b/>
              </w:rPr>
            </w:pPr>
            <w:r>
              <w:rPr>
                <w:b/>
              </w:rPr>
              <w:t>Statements of Comprehensive Loss Line Item</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7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2022</w:t>
            </w:r>
          </w:p>
        </w:tc>
        <w:tc>
          <w:tcPr>
            <w:tcW w:w="79" w:type="dxa"/>
            <w:tcBorders/>
            <w:tcMar>
              <w:bottom w:w="0" w:type="dxa"/>
            </w:tcMar>
            <w:vAlign w:val="center"/>
          </w:tcPr>
          <w:p>
            <w:pPr>
              <w:pStyle w:val="TableContents"/>
              <w:bidi w:val="0"/>
              <w:spacing w:before="0" w:after="283"/>
              <w:jc w:val="left"/>
              <w:rPr/>
            </w:pPr>
            <w:r>
              <w:rPr/>
              <w:t> </w:t>
            </w:r>
          </w:p>
        </w:tc>
      </w:tr>
      <w:tr>
        <w:trPr/>
        <w:tc>
          <w:tcPr>
            <w:tcW w:w="2478"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8" w:type="dxa"/>
            <w:tcBorders/>
            <w:shd w:fill="CCEEFF" w:val="clear"/>
            <w:tcMar>
              <w:bottom w:w="0" w:type="dxa"/>
            </w:tcMar>
            <w:vAlign w:val="center"/>
          </w:tcPr>
          <w:p>
            <w:pPr>
              <w:pStyle w:val="TableContents"/>
              <w:bidi w:val="0"/>
              <w:spacing w:before="0" w:after="283"/>
              <w:jc w:val="left"/>
              <w:rPr/>
            </w:pPr>
            <w:r>
              <w:rPr/>
              <w:t>Research and development,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bottom w:val="double" w:sz="6" w:space="0" w:color="000000"/>
            </w:tcBorders>
            <w:shd w:fill="CCEEFF" w:val="clear"/>
            <w:vAlign w:val="center"/>
          </w:tcPr>
          <w:p>
            <w:pPr>
              <w:pStyle w:val="TableContents"/>
              <w:bidi w:val="0"/>
              <w:spacing w:before="0" w:after="283"/>
              <w:jc w:val="left"/>
              <w:rPr/>
            </w:pPr>
            <w:r>
              <w:rPr/>
              <w:t>$</w:t>
            </w:r>
          </w:p>
        </w:tc>
        <w:tc>
          <w:tcPr>
            <w:tcW w:w="1082" w:type="dxa"/>
            <w:tcBorders>
              <w:bottom w:val="double" w:sz="6" w:space="0" w:color="000000"/>
            </w:tcBorders>
            <w:shd w:fill="CCEEFF" w:val="clear"/>
            <w:vAlign w:val="center"/>
          </w:tcPr>
          <w:p>
            <w:pPr>
              <w:pStyle w:val="TableContents"/>
              <w:bidi w:val="0"/>
              <w:spacing w:before="0" w:after="283"/>
              <w:jc w:val="right"/>
              <w:rPr/>
            </w:pPr>
            <w:r>
              <w:rPr/>
              <w:t>279</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398" w:type="dxa"/>
            <w:tcBorders>
              <w:bottom w:val="double" w:sz="6" w:space="0" w:color="000000"/>
            </w:tcBorders>
            <w:shd w:fill="CCEEFF" w:val="clear"/>
            <w:vAlign w:val="center"/>
          </w:tcPr>
          <w:p>
            <w:pPr>
              <w:pStyle w:val="TableContents"/>
              <w:bidi w:val="0"/>
              <w:spacing w:before="0" w:after="283"/>
              <w:jc w:val="left"/>
              <w:rPr/>
            </w:pPr>
            <w:r>
              <w:rPr/>
              <w:t>$</w:t>
            </w:r>
          </w:p>
        </w:tc>
        <w:tc>
          <w:tcPr>
            <w:tcW w:w="1082" w:type="dxa"/>
            <w:tcBorders>
              <w:bottom w:val="double" w:sz="6" w:space="0" w:color="000000"/>
            </w:tcBorders>
            <w:shd w:fill="CCEEFF" w:val="clear"/>
            <w:vAlign w:val="center"/>
          </w:tcPr>
          <w:p>
            <w:pPr>
              <w:pStyle w:val="TableContents"/>
              <w:bidi w:val="0"/>
              <w:spacing w:before="0" w:after="283"/>
              <w:jc w:val="right"/>
              <w:rPr/>
            </w:pPr>
            <w:r>
              <w:rPr/>
              <w:t>300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operating leases was as follows:</w:t>
      </w:r>
    </w:p>
    <w:p>
      <w:pPr>
        <w:pStyle w:val="TextBody"/>
        <w:bidi w:val="0"/>
        <w:spacing w:before="0" w:after="0"/>
        <w:ind w:left="108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OPERATING LEASES</w:t>
      </w:r>
    </w:p>
    <w:tbl>
      <w:tblPr>
        <w:tblW w:w="7926" w:type="dxa"/>
        <w:jc w:val="left"/>
        <w:tblInd w:w="0" w:type="dxa"/>
        <w:tblLayout w:type="fixed"/>
        <w:tblCellMar>
          <w:top w:w="0" w:type="dxa"/>
          <w:left w:w="0" w:type="dxa"/>
          <w:bottom w:w="0" w:type="dxa"/>
          <w:right w:w="0" w:type="dxa"/>
        </w:tblCellMar>
      </w:tblPr>
      <w:tblGrid>
        <w:gridCol w:w="4175"/>
        <w:gridCol w:w="60"/>
        <w:gridCol w:w="436"/>
        <w:gridCol w:w="1185"/>
        <w:gridCol w:w="187"/>
        <w:gridCol w:w="187"/>
        <w:gridCol w:w="436"/>
        <w:gridCol w:w="1185"/>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Cash paid under operating lease agreements</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283</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344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Undiscounted maturities of future operating lease payments as of December 31, 2023 are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MATURITIES OF LEASE LIABILITIES</w:t>
      </w:r>
    </w:p>
    <w:tbl>
      <w:tblPr>
        <w:tblW w:w="4799" w:type="dxa"/>
        <w:jc w:val="left"/>
        <w:tblInd w:w="0" w:type="dxa"/>
        <w:tblLayout w:type="fixed"/>
        <w:tblCellMar>
          <w:top w:w="0" w:type="dxa"/>
          <w:left w:w="0" w:type="dxa"/>
          <w:bottom w:w="0" w:type="dxa"/>
          <w:right w:w="0" w:type="dxa"/>
        </w:tblCellMar>
      </w:tblPr>
      <w:tblGrid>
        <w:gridCol w:w="2630"/>
        <w:gridCol w:w="60"/>
        <w:gridCol w:w="538"/>
        <w:gridCol w:w="1461"/>
        <w:gridCol w:w="110"/>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the weighted-average lease terms and discount rates for operating leases as of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INFORMATION RELATED TO LEASES</w:t>
      </w:r>
    </w:p>
    <w:tbl>
      <w:tblPr>
        <w:tblW w:w="8593" w:type="dxa"/>
        <w:jc w:val="left"/>
        <w:tblInd w:w="0" w:type="dxa"/>
        <w:tblLayout w:type="fixed"/>
        <w:tblCellMar>
          <w:top w:w="0" w:type="dxa"/>
          <w:left w:w="0" w:type="dxa"/>
          <w:bottom w:w="0" w:type="dxa"/>
          <w:right w:w="0" w:type="dxa"/>
        </w:tblCellMar>
      </w:tblPr>
      <w:tblGrid>
        <w:gridCol w:w="6275"/>
        <w:gridCol w:w="60"/>
        <w:gridCol w:w="140"/>
        <w:gridCol w:w="746"/>
        <w:gridCol w:w="502"/>
        <w:gridCol w:w="140"/>
        <w:gridCol w:w="149"/>
        <w:gridCol w:w="351"/>
        <w:gridCol w:w="230"/>
      </w:tblGrid>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5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spacing w:before="0" w:after="283"/>
              <w:jc w:val="right"/>
              <w:rPr/>
            </w:pPr>
            <w:r>
              <w:rPr/>
              <w:t> </w:t>
            </w:r>
          </w:p>
        </w:tc>
        <w:tc>
          <w:tcPr>
            <w:tcW w:w="5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0.8</w:t>
            </w:r>
          </w:p>
        </w:tc>
        <w:tc>
          <w:tcPr>
            <w:tcW w:w="502"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Operating leases 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7</w:t>
            </w:r>
          </w:p>
        </w:tc>
        <w:tc>
          <w:tcPr>
            <w:tcW w:w="502"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w:t>
      </w:r>
    </w:p>
    <w:tbl>
      <w:tblPr>
        <w:tblW w:w="5363" w:type="dxa"/>
        <w:jc w:val="left"/>
        <w:tblInd w:w="0" w:type="dxa"/>
        <w:tblLayout w:type="fixed"/>
        <w:tblCellMar>
          <w:top w:w="0" w:type="dxa"/>
          <w:left w:w="0" w:type="dxa"/>
          <w:bottom w:w="0" w:type="dxa"/>
          <w:right w:w="0" w:type="dxa"/>
        </w:tblCellMar>
      </w:tblPr>
      <w:tblGrid>
        <w:gridCol w:w="3230"/>
        <w:gridCol w:w="60"/>
        <w:gridCol w:w="241"/>
        <w:gridCol w:w="655"/>
        <w:gridCol w:w="103"/>
        <w:gridCol w:w="103"/>
        <w:gridCol w:w="241"/>
        <w:gridCol w:w="655"/>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b/>
              </w:rPr>
            </w:pPr>
            <w:r>
              <w:rPr>
                <w:b/>
              </w:rPr>
              <w:t>Historical Cost:</w:t>
            </w:r>
          </w:p>
        </w:tc>
        <w:tc>
          <w:tcPr>
            <w:tcW w:w="60" w:type="dxa"/>
            <w:tcBorders/>
            <w:shd w:fill="CCEEFF" w:val="clear"/>
            <w:vAlign w:val="center"/>
          </w:tcPr>
          <w:p>
            <w:pPr>
              <w:pStyle w:val="TableContents"/>
              <w:bidi w:val="0"/>
              <w:spacing w:before="0" w:after="283"/>
              <w:jc w:val="left"/>
              <w:rPr/>
            </w:pPr>
            <w:r>
              <w:rPr/>
              <w:t> </w:t>
            </w:r>
          </w:p>
        </w:tc>
        <w:tc>
          <w:tcPr>
            <w:tcW w:w="896" w:type="dxa"/>
            <w:gridSpan w:val="2"/>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6"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Research equipment and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177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143</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233</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236</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639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109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Leasehold improvement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181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493</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book value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221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ACCRUED LIABILITIES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LIABILITIES</w:t>
      </w:r>
    </w:p>
    <w:tbl>
      <w:tblPr>
        <w:tblW w:w="4731" w:type="dxa"/>
        <w:jc w:val="left"/>
        <w:tblInd w:w="0" w:type="dxa"/>
        <w:tblLayout w:type="fixed"/>
        <w:tblCellMar>
          <w:top w:w="0" w:type="dxa"/>
          <w:left w:w="0" w:type="dxa"/>
          <w:bottom w:w="0" w:type="dxa"/>
          <w:right w:w="0" w:type="dxa"/>
        </w:tblCellMar>
      </w:tblPr>
      <w:tblGrid>
        <w:gridCol w:w="2600"/>
        <w:gridCol w:w="60"/>
        <w:gridCol w:w="184"/>
        <w:gridCol w:w="736"/>
        <w:gridCol w:w="78"/>
        <w:gridCol w:w="78"/>
        <w:gridCol w:w="184"/>
        <w:gridCol w:w="736"/>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Employee-related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725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1,372</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1,027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93" w:right="0" w:hanging="993"/>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Ltd. (“CardioSert”) on January 4, 2018, Microbot Israel took over the liability to repay CardioSert’s IIA grants in the aggregate amount of approximately $530.</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$925.</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3.0%-5% of its future sales of the products relating to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2022, the Company received approval for a grant from the Ministry of Economy, in the amount of NIS 300,000 (approximately $83),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 As of December 31, 2023, the Company received approximately $27 of such grant. In relation with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up to the grant amount plus interest.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partial consideration for the license, Microbot Israel shall pay TRDF royalties on net sales (between 1.5%-3.0%) and on sublicense income as detailed in the License Agreement.</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Agreement with CardioSert Ltd.: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ATM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Engagement letters with H.C. Wainwright:</w:t>
      </w:r>
    </w:p>
    <w:p>
      <w:pPr>
        <w:pStyle w:val="TextBody"/>
        <w:bidi w:val="0"/>
        <w:spacing w:before="0" w:after="0"/>
        <w:ind w:left="360" w:right="0" w:firstLine="77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Acquisition of Nitiloop’s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$8,000, as follows: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3% of net revenue generated as a result of sales, license or other exploitation of the Devices;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1.5% of net revenue generated from the sale, license or other exploitation of commercialization of the technology as part of an integrated product.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the Company concluded that the acquisition of the assets does not meet the definition of a business for the purpose of applying SEC Rules (S-X Rules of 3-05, 8-04 and 11-01).</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Litigation resulting from the 2017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Lawsuit was settled in January 2024. Refer to Note 16C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Mona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the Court entered a judgment against Mona and in favor of the Company in the amount of approximately $485. Collection of the judgment was deferred pending resolution of Mona’s counterclaim.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 developments: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Company has 11,707,317 and 7,890,628 shares of common stock issued and outstanding, respectively.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2023, 240,000 of the Company’s outstanding pre-funded warrants were exercised into an equivalent number of shares of common stock, at an exercise price of $0.0001 per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Registered direct and private placement offerings: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Direct and Private Placement Offerings: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are recognized as equity under the requirements of ASC Topic 505 Equity.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Preferred investment options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GRANT DATE FAIR VALUE OF PREFERRED INVESTMENT OPTIONS ISSUED TO INVESTORS</w:t>
      </w:r>
    </w:p>
    <w:tbl>
      <w:tblPr>
        <w:tblW w:w="4400" w:type="dxa"/>
        <w:jc w:val="left"/>
        <w:tblInd w:w="0" w:type="dxa"/>
        <w:tblLayout w:type="fixed"/>
        <w:tblCellMar>
          <w:top w:w="0" w:type="dxa"/>
          <w:left w:w="0" w:type="dxa"/>
          <w:bottom w:w="0" w:type="dxa"/>
          <w:right w:w="0" w:type="dxa"/>
        </w:tblCellMar>
      </w:tblPr>
      <w:tblGrid>
        <w:gridCol w:w="1865"/>
        <w:gridCol w:w="60"/>
        <w:gridCol w:w="60"/>
        <w:gridCol w:w="1550"/>
        <w:gridCol w:w="60"/>
        <w:gridCol w:w="60"/>
        <w:gridCol w:w="60"/>
        <w:gridCol w:w="485"/>
        <w:gridCol w:w="20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5" w:type="dxa"/>
            <w:gridSpan w:val="6"/>
            <w:tcBorders>
              <w:bottom w:val="single" w:sz="12" w:space="0" w:color="000000"/>
            </w:tcBorders>
            <w:tcMar>
              <w:bottom w:w="28" w:type="dxa"/>
            </w:tcMar>
            <w:vAlign w:val="center"/>
          </w:tcPr>
          <w:p>
            <w:pPr>
              <w:pStyle w:val="TableContents"/>
              <w:bidi w:val="0"/>
              <w:jc w:val="center"/>
              <w:rPr>
                <w:b/>
                <w:sz w:val="20"/>
              </w:rPr>
            </w:pPr>
            <w:r>
              <w:rPr>
                <w:b/>
                <w:sz w:val="20"/>
              </w:rPr>
              <w:t>For the Years Ended</w:t>
            </w:r>
          </w:p>
          <w:p>
            <w:pPr>
              <w:pStyle w:val="TableContents"/>
              <w:bidi w:val="0"/>
              <w:spacing w:before="0" w:after="283"/>
              <w:jc w:val="center"/>
              <w:rPr>
                <w:b/>
                <w:sz w:val="20"/>
              </w:rPr>
            </w:pPr>
            <w:r>
              <w:rPr>
                <w:b/>
                <w:sz w:val="20"/>
              </w:rPr>
              <w:t>December 31,</w:t>
            </w:r>
          </w:p>
        </w:tc>
        <w:tc>
          <w:tcPr>
            <w:tcW w:w="20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p>
        </w:tc>
        <w:tc>
          <w:tcPr>
            <w:tcW w:w="20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sz w:val="20"/>
              </w:rPr>
            </w:pPr>
            <w:r>
              <w:rPr>
                <w:sz w:val="20"/>
              </w:rPr>
              <w:t>101.31%-122.39%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87.96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1865" w:type="dxa"/>
            <w:tcBorders/>
            <w:shd w:fill="FFFFFF" w:val="clear"/>
            <w:vAlign w:val="center"/>
          </w:tcPr>
          <w:p>
            <w:pPr>
              <w:pStyle w:val="TableContents"/>
              <w:bidi w:val="0"/>
              <w:spacing w:before="0" w:after="283"/>
              <w:jc w:val="left"/>
              <w:rPr>
                <w:sz w:val="20"/>
              </w:rPr>
            </w:pPr>
            <w:r>
              <w:rPr>
                <w:sz w:val="20"/>
              </w:rPr>
              <w:t>Risk-free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sz w:val="20"/>
              </w:rPr>
            </w:pPr>
            <w:r>
              <w:rPr>
                <w:sz w:val="20"/>
              </w:rPr>
              <w:t>3.85%- 4.93%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4.25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1865" w:type="dxa"/>
            <w:tcBorders/>
            <w:shd w:fill="CCEEFF" w:val="clear"/>
            <w:vAlign w:val="center"/>
          </w:tcPr>
          <w:p>
            <w:pPr>
              <w:pStyle w:val="TableContents"/>
              <w:bidi w:val="0"/>
              <w:spacing w:before="0" w:after="283"/>
              <w:jc w:val="left"/>
              <w:rPr>
                <w:sz w:val="20"/>
              </w:rPr>
            </w:pPr>
            <w:r>
              <w:rPr>
                <w:sz w:val="20"/>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Expected terms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sz w:val="20"/>
              </w:rPr>
            </w:pPr>
            <w:r>
              <w:rPr>
                <w:sz w:val="20"/>
              </w:rPr>
              <w:t>1.42-5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4.99</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 stock option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related to options to employees and directors, and related information is as follows: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 stock option grants: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STOCK OPTION ACTIVITY </w:t>
      </w:r>
    </w:p>
    <w:tbl>
      <w:tblPr>
        <w:tblW w:w="9734" w:type="dxa"/>
        <w:jc w:val="left"/>
        <w:tblInd w:w="0" w:type="dxa"/>
        <w:tblLayout w:type="fixed"/>
        <w:tblCellMar>
          <w:top w:w="0" w:type="dxa"/>
          <w:left w:w="0" w:type="dxa"/>
          <w:bottom w:w="0" w:type="dxa"/>
          <w:right w:w="0" w:type="dxa"/>
        </w:tblCellMar>
      </w:tblPr>
      <w:tblGrid>
        <w:gridCol w:w="3635"/>
        <w:gridCol w:w="60"/>
        <w:gridCol w:w="144"/>
        <w:gridCol w:w="2365"/>
        <w:gridCol w:w="111"/>
        <w:gridCol w:w="70"/>
        <w:gridCol w:w="789"/>
        <w:gridCol w:w="2485"/>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64" w:type="dxa"/>
            <w:gridSpan w:val="6"/>
            <w:tcBorders>
              <w:bottom w:val="single" w:sz="12" w:space="0" w:color="000000"/>
            </w:tcBorders>
            <w:tcMar>
              <w:bottom w:w="28" w:type="dxa"/>
            </w:tcMar>
            <w:vAlign w:val="center"/>
          </w:tcPr>
          <w:p>
            <w:pPr>
              <w:pStyle w:val="TableContents"/>
              <w:bidi w:val="0"/>
              <w:jc w:val="center"/>
              <w:rPr>
                <w:b/>
              </w:rPr>
            </w:pPr>
            <w:r>
              <w:rPr>
                <w:b/>
              </w:rPr>
              <w:t>For the Year Ended</w:t>
            </w:r>
          </w:p>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1,507,137</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w:t>
            </w:r>
          </w:p>
        </w:tc>
        <w:tc>
          <w:tcPr>
            <w:tcW w:w="2485" w:type="dxa"/>
            <w:tcBorders/>
            <w:shd w:fill="CCEEFF" w:val="clear"/>
            <w:vAlign w:val="center"/>
          </w:tcPr>
          <w:p>
            <w:pPr>
              <w:pStyle w:val="TableContents"/>
              <w:bidi w:val="0"/>
              <w:spacing w:before="0" w:after="283"/>
              <w:jc w:val="right"/>
              <w:rPr/>
            </w:pPr>
            <w:r>
              <w:rPr/>
              <w:t>7.31</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65" w:type="dxa"/>
            <w:tcBorders/>
            <w:shd w:fill="FFFFFF" w:val="clear"/>
            <w:vAlign w:val="center"/>
          </w:tcPr>
          <w:p>
            <w:pPr>
              <w:pStyle w:val="TableContents"/>
              <w:bidi w:val="0"/>
              <w:spacing w:before="0" w:after="283"/>
              <w:jc w:val="right"/>
              <w:rPr/>
            </w:pPr>
            <w:r>
              <w:rPr/>
              <w:t>711,308</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2485" w:type="dxa"/>
            <w:tcBorders/>
            <w:shd w:fill="FFFFFF" w:val="cle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5" w:type="dxa"/>
            <w:tcBorders>
              <w:bottom w:val="single" w:sz="12" w:space="0" w:color="000000"/>
            </w:tcBorders>
            <w:shd w:fill="CCEEFF" w:val="clear"/>
            <w:tcMar>
              <w:bottom w:w="28" w:type="dxa"/>
            </w:tcMar>
            <w:vAlign w:val="center"/>
          </w:tcPr>
          <w:p>
            <w:pPr>
              <w:pStyle w:val="TableContents"/>
              <w:bidi w:val="0"/>
              <w:spacing w:before="0" w:after="283"/>
              <w:jc w:val="right"/>
              <w:rPr/>
            </w:pPr>
            <w:r>
              <w:rPr/>
              <w:t>(123,083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85"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December 31, 2023</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2,095,362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 </w:t>
            </w:r>
          </w:p>
        </w:tc>
        <w:tc>
          <w:tcPr>
            <w:tcW w:w="2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Vested as of December 31, 2023</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1,176,118</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9734" w:type="dxa"/>
        <w:jc w:val="left"/>
        <w:tblInd w:w="0" w:type="dxa"/>
        <w:tblLayout w:type="fixed"/>
        <w:tblCellMar>
          <w:top w:w="0" w:type="dxa"/>
          <w:left w:w="0" w:type="dxa"/>
          <w:bottom w:w="0" w:type="dxa"/>
          <w:right w:w="0" w:type="dxa"/>
        </w:tblCellMar>
      </w:tblPr>
      <w:tblGrid>
        <w:gridCol w:w="3635"/>
        <w:gridCol w:w="60"/>
        <w:gridCol w:w="144"/>
        <w:gridCol w:w="2365"/>
        <w:gridCol w:w="111"/>
        <w:gridCol w:w="70"/>
        <w:gridCol w:w="789"/>
        <w:gridCol w:w="2485"/>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64" w:type="dxa"/>
            <w:gridSpan w:val="6"/>
            <w:tcBorders>
              <w:bottom w:val="single" w:sz="12" w:space="0" w:color="000000"/>
            </w:tcBorders>
            <w:tcMar>
              <w:bottom w:w="28" w:type="dxa"/>
            </w:tcMar>
            <w:vAlign w:val="center"/>
          </w:tcPr>
          <w:p>
            <w:pPr>
              <w:pStyle w:val="TableContents"/>
              <w:bidi w:val="0"/>
              <w:jc w:val="center"/>
              <w:rPr>
                <w:b/>
              </w:rPr>
            </w:pPr>
            <w:r>
              <w:rPr>
                <w:b/>
              </w:rPr>
              <w:t>For the Year Ended</w:t>
            </w:r>
          </w:p>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997,148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w:t>
            </w:r>
          </w:p>
        </w:tc>
        <w:tc>
          <w:tcPr>
            <w:tcW w:w="2485" w:type="dxa"/>
            <w:tcBorders/>
            <w:shd w:fill="CCEEFF" w:val="cle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65" w:type="dxa"/>
            <w:tcBorders/>
            <w:shd w:fill="FFFFFF" w:val="clear"/>
            <w:vAlign w:val="center"/>
          </w:tcPr>
          <w:p>
            <w:pPr>
              <w:pStyle w:val="TableContents"/>
              <w:bidi w:val="0"/>
              <w:spacing w:before="0" w:after="283"/>
              <w:jc w:val="right"/>
              <w:rPr/>
            </w:pPr>
            <w:r>
              <w:rPr/>
              <w:t>530,822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2485" w:type="dxa"/>
            <w:tcBorders/>
            <w:shd w:fill="FFFFFF" w:val="clear"/>
            <w:vAlign w:val="center"/>
          </w:tcPr>
          <w:p>
            <w:pPr>
              <w:pStyle w:val="TableContents"/>
              <w:bidi w:val="0"/>
              <w:spacing w:before="0" w:after="283"/>
              <w:jc w:val="right"/>
              <w:rPr/>
            </w:pPr>
            <w:r>
              <w:rPr/>
              <w:t>5.14</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5" w:type="dxa"/>
            <w:tcBorders>
              <w:bottom w:val="single" w:sz="12" w:space="0" w:color="000000"/>
            </w:tcBorders>
            <w:shd w:fill="CCEEFF" w:val="clear"/>
            <w:tcMar>
              <w:bottom w:w="28" w:type="dxa"/>
            </w:tcMar>
            <w:vAlign w:val="center"/>
          </w:tcPr>
          <w:p>
            <w:pPr>
              <w:pStyle w:val="TableContents"/>
              <w:bidi w:val="0"/>
              <w:spacing w:before="0" w:after="283"/>
              <w:jc w:val="right"/>
              <w:rPr/>
            </w:pPr>
            <w:r>
              <w:rPr/>
              <w:t>(20,833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85"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1,507,137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7.31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 </w:t>
            </w:r>
          </w:p>
        </w:tc>
        <w:tc>
          <w:tcPr>
            <w:tcW w:w="2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899,609</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8.52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forfeitures of outstanding options as they occur.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aggregate intrinsic value of the outstanding options is $277 and $185, respectively, and the aggregate intrinsic value of the exercisable options is $102 and $185,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during the years ended December 31, 2023 and 2022 was $1.40 and $4.50, respectively.</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outstanding as of December 31, 2023 and December 31, 2022, summarized by exercise prices,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OPTIONS OUTSTANDING </w:t>
      </w:r>
    </w:p>
    <w:tbl>
      <w:tblPr>
        <w:tblW w:w="10205" w:type="dxa"/>
        <w:jc w:val="left"/>
        <w:tblInd w:w="0" w:type="dxa"/>
        <w:tblLayout w:type="fixed"/>
        <w:tblCellMar>
          <w:top w:w="0" w:type="dxa"/>
          <w:left w:w="0" w:type="dxa"/>
          <w:bottom w:w="28" w:type="dxa"/>
          <w:right w:w="0" w:type="dxa"/>
        </w:tblCellMar>
      </w:tblPr>
      <w:tblGrid>
        <w:gridCol w:w="928"/>
        <w:gridCol w:w="60"/>
        <w:gridCol w:w="81"/>
        <w:gridCol w:w="1340"/>
        <w:gridCol w:w="60"/>
        <w:gridCol w:w="60"/>
        <w:gridCol w:w="81"/>
        <w:gridCol w:w="1340"/>
        <w:gridCol w:w="60"/>
        <w:gridCol w:w="60"/>
        <w:gridCol w:w="238"/>
        <w:gridCol w:w="1277"/>
        <w:gridCol w:w="60"/>
        <w:gridCol w:w="60"/>
        <w:gridCol w:w="238"/>
        <w:gridCol w:w="1277"/>
        <w:gridCol w:w="60"/>
        <w:gridCol w:w="60"/>
        <w:gridCol w:w="76"/>
        <w:gridCol w:w="1255"/>
        <w:gridCol w:w="60"/>
        <w:gridCol w:w="60"/>
        <w:gridCol w:w="91"/>
        <w:gridCol w:w="1240"/>
        <w:gridCol w:w="83"/>
      </w:tblGrid>
      <w:tr>
        <w:trPr/>
        <w:tc>
          <w:tcPr>
            <w:tcW w:w="928" w:type="dxa"/>
            <w:tcBorders>
              <w:bottom w:val="single" w:sz="12" w:space="0" w:color="000000"/>
            </w:tcBorders>
            <w:vAlign w:val="center"/>
          </w:tcPr>
          <w:p>
            <w:pPr>
              <w:pStyle w:val="TableContents"/>
              <w:bidi w:val="0"/>
              <w:spacing w:before="0" w:after="283"/>
              <w:jc w:val="center"/>
              <w:rPr>
                <w:b/>
              </w:rPr>
            </w:pPr>
            <w:r>
              <w:rPr>
                <w:b/>
              </w:rPr>
              <w:t>Exercise price $</w:t>
            </w:r>
          </w:p>
        </w:tc>
        <w:tc>
          <w:tcPr>
            <w:tcW w:w="60" w:type="dxa"/>
            <w:tcBorders/>
            <w:tcMar>
              <w:bottom w:w="0" w:type="dxa"/>
            </w:tcMar>
            <w:vAlign w:val="center"/>
          </w:tcPr>
          <w:p>
            <w:pPr>
              <w:pStyle w:val="TableContents"/>
              <w:bidi w:val="0"/>
              <w:spacing w:before="0" w:after="283"/>
              <w:jc w:val="center"/>
              <w:rPr/>
            </w:pPr>
            <w:r>
              <w:rPr/>
              <w:t> </w:t>
            </w:r>
          </w:p>
        </w:tc>
        <w:tc>
          <w:tcPr>
            <w:tcW w:w="1421"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1"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2022</w:t>
            </w:r>
          </w:p>
        </w:tc>
        <w:tc>
          <w:tcPr>
            <w:tcW w:w="83" w:type="dxa"/>
            <w:tcBorders/>
            <w:tcMar>
              <w:bottom w:w="0" w:type="dxa"/>
            </w:tcMar>
            <w:vAlign w:val="center"/>
          </w:tcPr>
          <w:p>
            <w:pPr>
              <w:pStyle w:val="TableContents"/>
              <w:bidi w:val="0"/>
              <w:spacing w:before="0" w:after="283"/>
              <w:jc w:val="center"/>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0.00-0.01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61,577</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1.00-3.73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860,808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211,000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pPr>
            <w:r>
              <w:rPr/>
              <w:t>95,925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4.2-7.26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639,232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687,482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484,871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315,807</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8.16-9.64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356,019</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15.3-15.75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40" w:type="dxa"/>
            <w:tcBorders>
              <w:bottom w:val="single" w:sz="12" w:space="0" w:color="000000"/>
            </w:tcBorders>
            <w:shd w:fill="CCEEFF" w:val="clear"/>
            <w:vAlign w:val="center"/>
          </w:tcPr>
          <w:p>
            <w:pPr>
              <w:pStyle w:val="TableContents"/>
              <w:bidi w:val="0"/>
              <w:spacing w:before="0" w:after="283"/>
              <w:jc w:val="right"/>
              <w:rPr/>
            </w:pPr>
            <w:r>
              <w:rPr/>
              <w:t>152,873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40" w:type="dxa"/>
            <w:tcBorders>
              <w:bottom w:val="single" w:sz="12" w:space="0" w:color="000000"/>
            </w:tcBorders>
            <w:shd w:fill="CCEEFF" w:val="clear"/>
            <w:vAlign w:val="center"/>
          </w:tcPr>
          <w:p>
            <w:pPr>
              <w:pStyle w:val="TableContents"/>
              <w:bidi w:val="0"/>
              <w:spacing w:before="0" w:after="283"/>
              <w:jc w:val="right"/>
              <w:rPr/>
            </w:pPr>
            <w:r>
              <w:rPr/>
              <w:t>166,206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1255" w:type="dxa"/>
            <w:tcBorders>
              <w:bottom w:val="single" w:sz="12" w:space="0" w:color="000000"/>
            </w:tcBorders>
            <w:shd w:fill="CCEEFF" w:val="clear"/>
            <w:vAlign w:val="center"/>
          </w:tcPr>
          <w:p>
            <w:pPr>
              <w:pStyle w:val="TableContents"/>
              <w:bidi w:val="0"/>
              <w:spacing w:before="0" w:after="283"/>
              <w:jc w:val="right"/>
              <w:rPr/>
            </w:pPr>
            <w:r>
              <w:rPr/>
              <w:t>152,873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CCEEFF" w:val="clear"/>
            <w:vAlign w:val="center"/>
          </w:tcPr>
          <w:p>
            <w:pPr>
              <w:pStyle w:val="TableContents"/>
              <w:bidi w:val="0"/>
              <w:spacing w:before="0" w:after="283"/>
              <w:jc w:val="left"/>
              <w:rPr/>
            </w:pPr>
            <w:r>
              <w:rPr/>
              <w:t> </w:t>
            </w:r>
          </w:p>
        </w:tc>
        <w:tc>
          <w:tcPr>
            <w:tcW w:w="1240" w:type="dxa"/>
            <w:tcBorders>
              <w:bottom w:val="single" w:sz="12" w:space="0" w:color="000000"/>
            </w:tcBorders>
            <w:shd w:fill="CCEEFF" w:val="clear"/>
            <w:vAlign w:val="center"/>
          </w:tcPr>
          <w:p>
            <w:pPr>
              <w:pStyle w:val="TableContents"/>
              <w:bidi w:val="0"/>
              <w:spacing w:before="0" w:after="283"/>
              <w:jc w:val="right"/>
              <w:rPr/>
            </w:pPr>
            <w:r>
              <w:rPr/>
              <w:t>166,206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jc w:val="left"/>
              <w:rPr/>
            </w:pPr>
            <w:r>
              <w:rPr/>
              <w:t> </w:t>
            </w:r>
          </w:p>
        </w:tc>
        <w:tc>
          <w:tcPr>
            <w:tcW w:w="1340" w:type="dxa"/>
            <w:tcBorders>
              <w:bottom w:val="double" w:sz="6" w:space="0" w:color="000000"/>
            </w:tcBorders>
            <w:shd w:fill="FFFFFF" w:val="clear"/>
            <w:vAlign w:val="center"/>
          </w:tcPr>
          <w:p>
            <w:pPr>
              <w:pStyle w:val="TableContents"/>
              <w:bidi w:val="0"/>
              <w:spacing w:before="0" w:after="283"/>
              <w:jc w:val="right"/>
              <w:rPr/>
            </w:pPr>
            <w:r>
              <w:rPr/>
              <w:t>2,095,362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jc w:val="left"/>
              <w:rPr/>
            </w:pPr>
            <w:r>
              <w:rPr/>
              <w:t> </w:t>
            </w:r>
          </w:p>
        </w:tc>
        <w:tc>
          <w:tcPr>
            <w:tcW w:w="1340" w:type="dxa"/>
            <w:tcBorders>
              <w:bottom w:val="double" w:sz="6" w:space="0" w:color="000000"/>
            </w:tcBorders>
            <w:shd w:fill="FFFFFF" w:val="clear"/>
            <w:vAlign w:val="center"/>
          </w:tcPr>
          <w:p>
            <w:pPr>
              <w:pStyle w:val="TableContents"/>
              <w:bidi w:val="0"/>
              <w:spacing w:before="0" w:after="283"/>
              <w:jc w:val="right"/>
              <w:rPr/>
            </w:pPr>
            <w:r>
              <w:rPr/>
              <w:t>1,507,137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jc w:val="left"/>
              <w:rPr/>
            </w:pPr>
            <w:r>
              <w:rPr/>
              <w:t> </w:t>
            </w:r>
          </w:p>
        </w:tc>
        <w:tc>
          <w:tcPr>
            <w:tcW w:w="1255" w:type="dxa"/>
            <w:tcBorders>
              <w:bottom w:val="double" w:sz="6" w:space="0" w:color="000000"/>
            </w:tcBorders>
            <w:shd w:fill="FFFFFF" w:val="clear"/>
            <w:vAlign w:val="center"/>
          </w:tcPr>
          <w:p>
            <w:pPr>
              <w:pStyle w:val="TableContents"/>
              <w:bidi w:val="0"/>
              <w:spacing w:before="0" w:after="283"/>
              <w:jc w:val="right"/>
              <w:rPr/>
            </w:pPr>
            <w:r>
              <w:rPr/>
              <w:t>1,176,118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double" w:sz="6" w:space="0" w:color="000000"/>
            </w:tcBorders>
            <w:shd w:fill="FFFFFF" w:val="clear"/>
            <w:vAlign w:val="center"/>
          </w:tcPr>
          <w:p>
            <w:pPr>
              <w:pStyle w:val="TableContents"/>
              <w:bidi w:val="0"/>
              <w:spacing w:before="0" w:after="283"/>
              <w:jc w:val="left"/>
              <w:rPr/>
            </w:pPr>
            <w:r>
              <w:rPr/>
              <w:t> </w:t>
            </w:r>
          </w:p>
        </w:tc>
        <w:tc>
          <w:tcPr>
            <w:tcW w:w="1240" w:type="dxa"/>
            <w:tcBorders>
              <w:bottom w:val="double" w:sz="6" w:space="0" w:color="000000"/>
            </w:tcBorders>
            <w:shd w:fill="FFFFFF" w:val="clear"/>
            <w:vAlign w:val="center"/>
          </w:tcPr>
          <w:p>
            <w:pPr>
              <w:pStyle w:val="TableContents"/>
              <w:bidi w:val="0"/>
              <w:spacing w:before="0" w:after="283"/>
              <w:jc w:val="right"/>
              <w:rPr/>
            </w:pPr>
            <w:r>
              <w:rPr/>
              <w:t>899,609</w:t>
            </w:r>
          </w:p>
        </w:tc>
        <w:tc>
          <w:tcPr>
            <w:tcW w:w="8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 stock option grants: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values of employee stock options granted in the years ended December 31, 2023 and 2022 were estimated using the Black-Scholes valuation model with the following:</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OPTIONS VALUATION ASSUMPTIONS </w:t>
      </w:r>
    </w:p>
    <w:tbl>
      <w:tblPr>
        <w:tblW w:w="5040" w:type="dxa"/>
        <w:jc w:val="left"/>
        <w:tblInd w:w="0" w:type="dxa"/>
        <w:tblLayout w:type="fixed"/>
        <w:tblCellMar>
          <w:top w:w="0" w:type="dxa"/>
          <w:left w:w="0" w:type="dxa"/>
          <w:bottom w:w="0" w:type="dxa"/>
          <w:right w:w="0" w:type="dxa"/>
        </w:tblCellMar>
      </w:tblPr>
      <w:tblGrid>
        <w:gridCol w:w="2195"/>
        <w:gridCol w:w="60"/>
        <w:gridCol w:w="60"/>
        <w:gridCol w:w="1130"/>
        <w:gridCol w:w="60"/>
        <w:gridCol w:w="60"/>
        <w:gridCol w:w="60"/>
        <w:gridCol w:w="134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111.2%-161.7%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Risk-free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3.3%- 4.7%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1.7%- 3.7%</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Expected terms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outstanding warrants and terms as of December 31, 2023 and 2022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WARRANTS OUTSTANDING </w:t>
      </w:r>
    </w:p>
    <w:tbl>
      <w:tblPr>
        <w:tblW w:w="10205" w:type="dxa"/>
        <w:jc w:val="left"/>
        <w:tblInd w:w="0" w:type="dxa"/>
        <w:tblLayout w:type="fixed"/>
        <w:tblCellMar>
          <w:top w:w="0" w:type="dxa"/>
          <w:left w:w="0" w:type="dxa"/>
          <w:bottom w:w="28" w:type="dxa"/>
          <w:right w:w="0" w:type="dxa"/>
        </w:tblCellMar>
      </w:tblPr>
      <w:tblGrid>
        <w:gridCol w:w="2040"/>
        <w:gridCol w:w="60"/>
        <w:gridCol w:w="146"/>
        <w:gridCol w:w="2420"/>
        <w:gridCol w:w="60"/>
        <w:gridCol w:w="60"/>
        <w:gridCol w:w="146"/>
        <w:gridCol w:w="2420"/>
        <w:gridCol w:w="60"/>
        <w:gridCol w:w="60"/>
        <w:gridCol w:w="159"/>
        <w:gridCol w:w="982"/>
        <w:gridCol w:w="95"/>
        <w:gridCol w:w="60"/>
        <w:gridCol w:w="1437"/>
      </w:tblGrid>
      <w:tr>
        <w:trPr/>
        <w:tc>
          <w:tcPr>
            <w:tcW w:w="2040" w:type="dxa"/>
            <w:tcBorders>
              <w:bottom w:val="single" w:sz="12" w:space="0" w:color="000000"/>
            </w:tcBorders>
            <w:vAlign w:val="center"/>
          </w:tcPr>
          <w:p>
            <w:pPr>
              <w:pStyle w:val="TableContents"/>
              <w:bidi w:val="0"/>
              <w:spacing w:before="0" w:after="283"/>
              <w:jc w:val="center"/>
              <w:rPr>
                <w:b/>
              </w:rPr>
            </w:pPr>
            <w:r>
              <w:rPr>
                <w:b/>
              </w:rPr>
              <w:t>Issuance date</w:t>
            </w:r>
          </w:p>
        </w:tc>
        <w:tc>
          <w:tcPr>
            <w:tcW w:w="60" w:type="dxa"/>
            <w:tcBorders/>
            <w:tcMar>
              <w:bottom w:w="0" w:type="dxa"/>
            </w:tcMar>
            <w:vAlign w:val="center"/>
          </w:tcPr>
          <w:p>
            <w:pPr>
              <w:pStyle w:val="TableContents"/>
              <w:bidi w:val="0"/>
              <w:spacing w:before="0" w:after="283"/>
              <w:jc w:val="center"/>
              <w:rPr/>
            </w:pPr>
            <w:r>
              <w:rPr/>
              <w:t> </w:t>
            </w:r>
          </w:p>
        </w:tc>
        <w:tc>
          <w:tcPr>
            <w:tcW w:w="2566"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66"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1" w:type="dxa"/>
            <w:gridSpan w:val="2"/>
            <w:tcBorders>
              <w:bottom w:val="single" w:sz="12" w:space="0" w:color="000000"/>
            </w:tcBorders>
            <w:vAlign w:val="center"/>
          </w:tcPr>
          <w:p>
            <w:pPr>
              <w:pStyle w:val="TableContents"/>
              <w:bidi w:val="0"/>
              <w:spacing w:before="0" w:after="283"/>
              <w:jc w:val="center"/>
              <w:rPr>
                <w:b/>
              </w:rPr>
            </w:pPr>
            <w:r>
              <w:rPr>
                <w:b/>
              </w:rPr>
              <w:t>Exercise Price</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37" w:type="dxa"/>
            <w:tcBorders>
              <w:bottom w:val="single" w:sz="12" w:space="0" w:color="000000"/>
            </w:tcBorders>
            <w:vAlign w:val="center"/>
          </w:tcPr>
          <w:p>
            <w:pPr>
              <w:pStyle w:val="TableContents"/>
              <w:bidi w:val="0"/>
              <w:jc w:val="center"/>
              <w:rPr>
                <w:b/>
              </w:rPr>
            </w:pPr>
            <w:r>
              <w:rPr>
                <w:b/>
              </w:rPr>
              <w:t>Exercisable</w:t>
            </w:r>
          </w:p>
          <w:p>
            <w:pPr>
              <w:pStyle w:val="TableContents"/>
              <w:bidi w:val="0"/>
              <w:spacing w:before="0" w:after="283"/>
              <w:jc w:val="center"/>
              <w:rPr>
                <w:b/>
              </w:rPr>
            </w:pPr>
            <w:r>
              <w:rPr>
                <w:b/>
              </w:rPr>
              <w:t>Through</w:t>
            </w:r>
          </w:p>
        </w:tc>
      </w:tr>
      <w:tr>
        <w:trPr/>
        <w:tc>
          <w:tcPr>
            <w:tcW w:w="2040" w:type="dxa"/>
            <w:tcBorders/>
            <w:shd w:fill="CCEEFF" w:val="clear"/>
            <w:tcMar>
              <w:bottom w:w="0" w:type="dxa"/>
            </w:tcMar>
            <w:vAlign w:val="center"/>
          </w:tcPr>
          <w:p>
            <w:pPr>
              <w:pStyle w:val="TableContents"/>
              <w:bidi w:val="0"/>
              <w:spacing w:before="0" w:after="283"/>
              <w:jc w:val="left"/>
              <w:rPr/>
            </w:pPr>
            <w:r>
              <w:rPr/>
              <w:t>Series A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2,754.00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April 9, 2023</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45,643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13.13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June 25, 2023</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47,619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13.13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June 27, 2023</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45,045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13.88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June 30, 2023</w:t>
            </w:r>
          </w:p>
        </w:tc>
      </w:tr>
      <w:tr>
        <w:trPr/>
        <w:tc>
          <w:tcPr>
            <w:tcW w:w="2040" w:type="dxa"/>
            <w:tcBorders/>
            <w:shd w:fill="CCEEFF" w:val="clear"/>
            <w:tcMar>
              <w:bottom w:w="0" w:type="dxa"/>
            </w:tcMar>
            <w:vAlign w:val="center"/>
          </w:tcPr>
          <w:p>
            <w:pPr>
              <w:pStyle w:val="TableContents"/>
              <w:bidi w:val="0"/>
              <w:spacing w:before="0" w:after="283"/>
              <w:jc w:val="left"/>
              <w:rPr/>
            </w:pPr>
            <w:r>
              <w:rPr/>
              <w:t>Series A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1,022,495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1,022,495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2.20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October 25, 2027</w:t>
            </w:r>
          </w:p>
        </w:tc>
      </w:tr>
      <w:tr>
        <w:trPr/>
        <w:tc>
          <w:tcPr>
            <w:tcW w:w="2040" w:type="dxa"/>
            <w:tcBorders/>
            <w:shd w:fill="FFFFFF" w:val="clear"/>
            <w:tcMar>
              <w:bottom w:w="0" w:type="dxa"/>
            </w:tcMar>
            <w:vAlign w:val="center"/>
          </w:tcPr>
          <w:p>
            <w:pPr>
              <w:pStyle w:val="TableContents"/>
              <w:bidi w:val="0"/>
              <w:spacing w:before="0" w:after="283"/>
              <w:jc w:val="left"/>
              <w:rPr/>
            </w:pPr>
            <w:r>
              <w:rPr/>
              <w:t>Series B October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1,022,495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2.20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October 25, 2027</w:t>
            </w:r>
          </w:p>
        </w:tc>
      </w:tr>
      <w:tr>
        <w:trPr/>
        <w:tc>
          <w:tcPr>
            <w:tcW w:w="2040" w:type="dxa"/>
            <w:tcBorders/>
            <w:shd w:fill="CCEEFF" w:val="clear"/>
            <w:tcMar>
              <w:bottom w:w="0" w:type="dxa"/>
            </w:tcMar>
            <w:vAlign w:val="center"/>
          </w:tcPr>
          <w:p>
            <w:pPr>
              <w:pStyle w:val="TableContents"/>
              <w:bidi w:val="0"/>
              <w:spacing w:before="0" w:after="283"/>
              <w:jc w:val="left"/>
              <w:rPr/>
            </w:pPr>
            <w:r>
              <w:rPr/>
              <w:t>Prefunded warrants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No limit</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October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51,125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51,125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October 21, 2027</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May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32,778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2.75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November 23, 2026</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May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60,476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2.75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November 24, 2026</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35,088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2.67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June 2, 2028</w:t>
            </w:r>
          </w:p>
        </w:tc>
      </w:tr>
      <w:tr>
        <w:trPr/>
        <w:tc>
          <w:tcPr>
            <w:tcW w:w="2040" w:type="dxa"/>
            <w:tcBorders/>
            <w:shd w:fill="FFFFFF" w:val="clear"/>
            <w:tcMar>
              <w:bottom w:w="0" w:type="dxa"/>
            </w:tcMar>
            <w:vAlign w:val="center"/>
          </w:tcPr>
          <w:p>
            <w:pPr>
              <w:pStyle w:val="TableContents"/>
              <w:bidi w:val="0"/>
              <w:spacing w:before="0" w:after="283"/>
              <w:jc w:val="left"/>
              <w:rPr/>
            </w:pPr>
            <w:r>
              <w:rPr/>
              <w:t>Warrant series C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350,878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December 6, 2028</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4.06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June 28, 2028</w:t>
            </w:r>
          </w:p>
        </w:tc>
      </w:tr>
      <w:tr>
        <w:trPr/>
        <w:tc>
          <w:tcPr>
            <w:tcW w:w="2040" w:type="dxa"/>
            <w:tcBorders/>
            <w:shd w:fill="FFFFFF" w:val="clear"/>
            <w:tcMar>
              <w:bottom w:w="0" w:type="dxa"/>
            </w:tcMar>
            <w:vAlign w:val="center"/>
          </w:tcPr>
          <w:p>
            <w:pPr>
              <w:pStyle w:val="TableContents"/>
              <w:bidi w:val="0"/>
              <w:spacing w:before="0" w:after="283"/>
              <w:jc w:val="left"/>
              <w:rPr/>
            </w:pPr>
            <w:r>
              <w:rPr/>
              <w:t>Warrant series D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312,309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82" w:type="dxa"/>
            <w:tcBorders/>
            <w:shd w:fill="FFFFFF" w:val="clear"/>
            <w:tcMar>
              <w:bottom w:w="0" w:type="dxa"/>
            </w:tcMar>
            <w:vAlign w:val="center"/>
          </w:tcPr>
          <w:p>
            <w:pPr>
              <w:pStyle w:val="TableContents"/>
              <w:bidi w:val="0"/>
              <w:spacing w:before="0" w:after="283"/>
              <w:jc w:val="right"/>
              <w:rPr/>
            </w:pPr>
            <w:r>
              <w:rPr/>
              <w:t>3.19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r>
              <w:rPr/>
              <w:t>December 28, 2028</w:t>
            </w:r>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260"/>
        <w:gridCol w:w="23"/>
        <w:gridCol w:w="1355"/>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$0.01.</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calculation of the basic and diluted net loss, the Company included warrants that would be exercised for no or little consideration and are exercisable with no contingencies.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POTENTIALLY DILUTIVE SECURITIES EXCLUDED FROM DILUTED LOSS PER SHARE </w:t>
      </w:r>
    </w:p>
    <w:tbl>
      <w:tblPr>
        <w:tblW w:w="8535" w:type="dxa"/>
        <w:jc w:val="left"/>
        <w:tblInd w:w="0" w:type="dxa"/>
        <w:tblLayout w:type="fixed"/>
        <w:tblCellMar>
          <w:top w:w="0" w:type="dxa"/>
          <w:left w:w="0" w:type="dxa"/>
          <w:bottom w:w="0" w:type="dxa"/>
          <w:right w:w="0" w:type="dxa"/>
        </w:tblCellMar>
      </w:tblPr>
      <w:tblGrid>
        <w:gridCol w:w="6200"/>
        <w:gridCol w:w="60"/>
        <w:gridCol w:w="60"/>
        <w:gridCol w:w="980"/>
        <w:gridCol w:w="60"/>
        <w:gridCol w:w="60"/>
        <w:gridCol w:w="60"/>
        <w:gridCol w:w="980"/>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Series A 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to underwriters December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45,643</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Warrant to underwriters December 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47,619</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to underwriters December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45,045</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Series A and B warrants October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1,022,495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2,044,990</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to underwriters October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51,125</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Warrant to underwriters May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to underwriters May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Warrant to underwriters June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series C June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Warrant to underwriters June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Warrant series D June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312,309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Outstanding employee stock options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2,095,362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1,507,137</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Potentially dilutive securities excluded from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1,507,137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RESEARCH AND DEVELOPMENT EXPENSES, NET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RESEARCH AND DEVELOPMENT EXPENSES </w:t>
      </w:r>
    </w:p>
    <w:tbl>
      <w:tblPr>
        <w:tblW w:w="5496" w:type="dxa"/>
        <w:jc w:val="left"/>
        <w:tblInd w:w="0" w:type="dxa"/>
        <w:tblLayout w:type="fixed"/>
        <w:tblCellMar>
          <w:top w:w="0" w:type="dxa"/>
          <w:left w:w="0" w:type="dxa"/>
          <w:bottom w:w="0" w:type="dxa"/>
          <w:right w:w="0" w:type="dxa"/>
        </w:tblCellMar>
      </w:tblPr>
      <w:tblGrid>
        <w:gridCol w:w="3200"/>
        <w:gridCol w:w="60"/>
        <w:gridCol w:w="194"/>
        <w:gridCol w:w="779"/>
        <w:gridCol w:w="132"/>
        <w:gridCol w:w="83"/>
        <w:gridCol w:w="194"/>
        <w:gridCol w:w="779"/>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2,455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3,558</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407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387</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1,842</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2,097</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Materials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520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157</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341</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213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55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106</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102</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248</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368</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Less - grants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(279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pPr>
            <w:r>
              <w:rPr/>
              <w:t>5,724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pPr>
            <w:r>
              <w:rPr/>
              <w:t>7,736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GENERAL AND ADMINISTRATIVE EXPENSES, NET</w:t>
      </w:r>
    </w:p>
    <w:p>
      <w:pPr>
        <w:pStyle w:val="TextBody"/>
        <w:bidi w:val="0"/>
        <w:spacing w:before="0" w:after="0"/>
        <w:ind w:left="993" w:right="0" w:hanging="9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GENERAL AND ADMINISTRATIVE EXPENSES </w:t>
      </w:r>
    </w:p>
    <w:tbl>
      <w:tblPr>
        <w:tblW w:w="6986" w:type="dxa"/>
        <w:jc w:val="left"/>
        <w:tblInd w:w="0" w:type="dxa"/>
        <w:tblLayout w:type="fixed"/>
        <w:tblCellMar>
          <w:top w:w="0" w:type="dxa"/>
          <w:left w:w="0" w:type="dxa"/>
          <w:bottom w:w="0" w:type="dxa"/>
          <w:right w:w="0" w:type="dxa"/>
        </w:tblCellMar>
      </w:tblPr>
      <w:tblGrid>
        <w:gridCol w:w="3200"/>
        <w:gridCol w:w="60"/>
        <w:gridCol w:w="325"/>
        <w:gridCol w:w="1303"/>
        <w:gridCol w:w="221"/>
        <w:gridCol w:w="139"/>
        <w:gridCol w:w="325"/>
        <w:gridCol w:w="1303"/>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1"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1"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1,223</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1,813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Government fees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58</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988</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1,365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1,204</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1,154</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442</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733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Public and investor relations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148</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95</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120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Travel</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160</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180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94</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Less – insurance loss recoveries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(281</w:t>
            </w:r>
          </w:p>
        </w:tc>
        <w:tc>
          <w:tcPr>
            <w:tcW w:w="221"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4,131</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5,545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RELATED PARTIES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related party transactions in each of the years ended December 31, 2023 and 2022 that were outside of the Company’s normal course of business.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TAXES 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tax rate of 21% for the years ended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been audited by the Internal Revenue Service since its incorporation.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subject to Israeli corporate tax rate of 23% for the years ended 2023 and 2022. Microbot Israel has not received a final tax assessment since 2018.</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Microbot Israel has generated accumulated net operating losses in Israel of approximately $41,164 and $34,688, respectively, which may be carried forward and offset against taxable income in the future for an indefinite period.</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 TAXES ON INCOME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DEFERRED TAX ASSETS AND LIABILITIES  </w:t>
      </w:r>
    </w:p>
    <w:tbl>
      <w:tblPr>
        <w:tblW w:w="5885" w:type="dxa"/>
        <w:jc w:val="left"/>
        <w:tblInd w:w="0" w:type="dxa"/>
        <w:tblLayout w:type="fixed"/>
        <w:tblCellMar>
          <w:top w:w="0" w:type="dxa"/>
          <w:left w:w="0" w:type="dxa"/>
          <w:bottom w:w="0" w:type="dxa"/>
          <w:right w:w="0" w:type="dxa"/>
        </w:tblCellMar>
      </w:tblPr>
      <w:tblGrid>
        <w:gridCol w:w="3530"/>
        <w:gridCol w:w="60"/>
        <w:gridCol w:w="140"/>
        <w:gridCol w:w="875"/>
        <w:gridCol w:w="95"/>
        <w:gridCol w:w="60"/>
        <w:gridCol w:w="140"/>
        <w:gridCol w:w="875"/>
        <w:gridCol w:w="11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115,778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113,393</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Accrued vacation pay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Legal settlement accrual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Advance payment from IIA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116,371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113,569</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(116,014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(113,455</w:t>
            </w:r>
          </w:p>
        </w:tc>
        <w:tc>
          <w:tcPr>
            <w:tcW w:w="110" w:type="dxa"/>
            <w:tcBorders/>
            <w:shd w:fill="CCEEFF" w:val="clear"/>
            <w:vAlign w:val="center"/>
          </w:tcPr>
          <w:p>
            <w:pPr>
              <w:pStyle w:val="TableContents"/>
              <w:bidi w:val="0"/>
              <w:spacing w:before="0" w:after="283"/>
              <w:jc w:val="left"/>
              <w:rPr/>
            </w:pPr>
            <w:r>
              <w:rPr/>
              <w:t>)</w:t>
            </w:r>
          </w:p>
        </w:tc>
      </w:tr>
      <w:tr>
        <w:trPr/>
        <w:tc>
          <w:tcPr>
            <w:tcW w:w="353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Operating leases,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Grant receivable (</w:t>
            </w:r>
            <w:r>
              <w:rPr>
                <w:rFonts w:ascii="Times New Roman;Times;Serif" w:hAnsi="Times New Roman;Times;Serif"/>
                <w:sz w:val="20"/>
              </w:rPr>
              <w:t>Ministry of Economy)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Insurance recovery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Total 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Income Taxes: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Preferred investment options inducement: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preferred investment option exercise inducement offer letter, and the modification of the previous warrants, the issuance of the stock and the warrants, and the receipt of cash, all occurred after December 31, 2023.</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Reinstatement of annual compensation: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reinstated in full of the annual compensation of the CEO, effective as of January 1, 2024. Such compensation was reduced by 50% in May 2023 as a result of the Company’s cost reduction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Settlement of litigation resulting from the 2017 financing:</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pStyle w:val="TextBody"/>
        <w:bidi w:val="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120" w:after="283"/>
        <w:jc w:val="left"/>
        <w:rPr/>
      </w:pPr>
      <w:r>
        <w:rPr/>
        <w:t> </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loss contingency should be recognized as non-operating losses, offset by loss recoveries received from the Company’s insurance company</w:t>
      </w:r>
      <w:r>
        <w:rPr>
          <w:rFonts w:ascii="Times New Roman;Times;Serif" w:hAnsi="Times New Roman;Times;Serif"/>
          <w:b w:val="false"/>
          <w:i/>
          <w:caps w:val="false"/>
          <w:smallCaps w:val="false"/>
          <w:sz w:val="20"/>
        </w:rPr>
        <w:t>.</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Stock option grants and other compensation: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Company granted certain employees and advisors, options to purchase an aggregate of 77,500 shares of the Company’s common stock, at an exercise price per share of $1.2684, with a vesting period of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Return of CardioSert intellectual property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58107</Words>
  <Characters>321980</Characters>
  <CharactersWithSpaces>382197</CharactersWithSpaces>
  <Paragraphs>8503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