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39"/>
        <w:spacing w:after="0"/>
        <w:rPr>
          <w:sz w:val="20"/>
          <w:szCs w:val="20"/>
          <w:color w:val="auto"/>
        </w:rPr>
      </w:pPr>
      <w:r>
        <w:rPr>
          <w:rFonts w:ascii="Courier New" w:cs="Courier New" w:eastAsia="Courier New" w:hAnsi="Courier New"/>
          <w:sz w:val="15"/>
          <w:szCs w:val="15"/>
          <w:color w:val="auto"/>
        </w:rPr>
        <w:t>Filed Pursuant to Rule 424 (b)(3)</w:t>
      </w:r>
    </w:p>
    <w:p>
      <w:pPr>
        <w:jc w:val="right"/>
        <w:ind w:right="3239"/>
        <w:spacing w:after="0" w:line="237" w:lineRule="auto"/>
        <w:rPr>
          <w:sz w:val="20"/>
          <w:szCs w:val="20"/>
          <w:color w:val="auto"/>
        </w:rPr>
      </w:pPr>
      <w:r>
        <w:rPr>
          <w:rFonts w:ascii="Courier New" w:cs="Courier New" w:eastAsia="Courier New" w:hAnsi="Courier New"/>
          <w:sz w:val="15"/>
          <w:szCs w:val="15"/>
          <w:color w:val="auto"/>
        </w:rPr>
        <w:t>Registration No. 333-45496</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SUPPLEMENT NO. 1 DATED MAY 8, 2001</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PROSPECTUS DATED DECEMBER 5, 2000</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73" w:lineRule="exact"/>
        <w:rPr>
          <w:sz w:val="24"/>
          <w:szCs w:val="24"/>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This Supplement No. 1 to the Prospectus dated December 5, 2000 (the "Prospectus") is filed pursuant to Rule 424(b)(3) to reflect facts and events that constitute a substantive change from or addition to the information set forth in the Prospectus. The information contained in this Supplement reflects disclosures contained in our Annual Report on Form 10-K/A, filed April 30, 2001, and our report on Form 8-K, filed May 8, 2001.</w:t>
      </w:r>
    </w:p>
    <w:p>
      <w:pPr>
        <w:spacing w:after="0" w:line="33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BUSINESS</w:t>
      </w:r>
    </w:p>
    <w:p>
      <w:pPr>
        <w:spacing w:after="0" w:line="237" w:lineRule="auto"/>
        <w:rPr>
          <w:sz w:val="20"/>
          <w:szCs w:val="20"/>
          <w:color w:val="auto"/>
        </w:rPr>
      </w:pPr>
      <w:r>
        <w:rPr>
          <w:rFonts w:ascii="Courier New" w:cs="Courier New" w:eastAsia="Courier New" w:hAnsi="Courier New"/>
          <w:sz w:val="15"/>
          <w:szCs w:val="15"/>
          <w:color w:val="auto"/>
        </w:rPr>
        <w:t>OVERVIEW</w:t>
      </w:r>
    </w:p>
    <w:p>
      <w:pPr>
        <w:spacing w:after="0" w:line="173" w:lineRule="exact"/>
        <w:rPr>
          <w:sz w:val="24"/>
          <w:szCs w:val="24"/>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7" w:lineRule="exact"/>
        <w:rPr>
          <w:sz w:val="24"/>
          <w:szCs w:val="24"/>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9" w:lineRule="exact"/>
        <w:rPr>
          <w:sz w:val="24"/>
          <w:szCs w:val="24"/>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163" w:lineRule="exact"/>
        <w:rPr>
          <w:sz w:val="24"/>
          <w:szCs w:val="24"/>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We were formerly known as CytoTherapeutics, Inc. Until mid-1990 we had programs in a different technology, encapsulated cell therapy, as well as stem cell programs. We now focus exclusively on the discovery, development and commercialization of our proprietary platform of stem cell technologies. Effective May 2000 we changed our name to StemCells, Inc.</w:t>
      </w:r>
    </w:p>
    <w:p>
      <w:pPr>
        <w:sectPr>
          <w:pgSz w:w="11900" w:h="16838" w:orient="portrait"/>
          <w:cols w:equalWidth="0" w:num="1">
            <w:col w:w="10239"/>
          </w:cols>
          <w:pgMar w:left="220" w:top="729" w:right="1440" w:bottom="1440"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5"/>
          <w:szCs w:val="15"/>
          <w:color w:val="auto"/>
        </w:rPr>
        <w:t>CELL THERAPY BACKGROUND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 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 there has been irreversible tissue damage or organ failure, transplantation of stem cells offers the possibility of generating new and healthy tissue, thus potentially restoring the organ function and the patient's health.</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68" w:lineRule="exact"/>
        <w:rPr>
          <w:sz w:val="20"/>
          <w:szCs w:val="20"/>
          <w:color w:val="auto"/>
        </w:rPr>
      </w:pPr>
    </w:p>
    <w:p>
      <w:pPr>
        <w:ind w:left="880" w:hanging="258"/>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2" w:lineRule="exact"/>
        <w:rPr>
          <w:rFonts w:ascii="Courier New" w:cs="Courier New" w:eastAsia="Courier New" w:hAnsi="Courier New"/>
          <w:sz w:val="15"/>
          <w:szCs w:val="15"/>
          <w:color w:val="auto"/>
        </w:rPr>
      </w:pPr>
    </w:p>
    <w:p>
      <w:pPr>
        <w:ind w:left="620" w:right="3499" w:firstLine="2"/>
        <w:spacing w:after="0" w:line="261" w:lineRule="auto"/>
        <w:tabs>
          <w:tab w:leader="none" w:pos="88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create techniques and processes that can be used to expand these rare cells in sufficient quantities for effective transplants; and</w:t>
      </w:r>
    </w:p>
    <w:p>
      <w:pPr>
        <w:spacing w:after="0" w:line="159" w:lineRule="exact"/>
        <w:rPr>
          <w:rFonts w:ascii="Courier New" w:cs="Courier New" w:eastAsia="Courier New" w:hAnsi="Courier New"/>
          <w:sz w:val="14"/>
          <w:szCs w:val="14"/>
          <w:color w:val="auto"/>
        </w:rPr>
      </w:pPr>
    </w:p>
    <w:p>
      <w:pPr>
        <w:ind w:left="620" w:right="3319" w:firstLine="2"/>
        <w:spacing w:after="0" w:line="235" w:lineRule="auto"/>
        <w:tabs>
          <w:tab w:leader="none" w:pos="8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65" w:lineRule="exact"/>
        <w:rPr>
          <w:sz w:val="20"/>
          <w:szCs w:val="20"/>
          <w:color w:val="auto"/>
        </w:rPr>
      </w:pPr>
    </w:p>
    <w:p>
      <w:pPr>
        <w:ind w:right="3399" w:firstLine="612"/>
        <w:spacing w:after="0" w:line="256" w:lineRule="auto"/>
        <w:rPr>
          <w:sz w:val="20"/>
          <w:szCs w:val="20"/>
          <w:color w:val="auto"/>
        </w:rPr>
      </w:pPr>
      <w:r>
        <w:rPr>
          <w:rFonts w:ascii="Courier New" w:cs="Courier New" w:eastAsia="Courier New" w:hAnsi="Courier New"/>
          <w:sz w:val="14"/>
          <w:szCs w:val="14"/>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ectPr>
          <w:pgSz w:w="11900" w:h="16838" w:orient="portrait"/>
          <w:cols w:equalWidth="0" w:num="1">
            <w:col w:w="10239"/>
          </w:cols>
          <w:pgMar w:left="220" w:top="785" w:right="1440" w:bottom="1440" w:gutter="0" w:footer="0" w:header="0"/>
        </w:sectPr>
      </w:pPr>
    </w:p>
    <w:bookmarkStart w:id="2" w:name="page3"/>
    <w:bookmarkEnd w:id="2"/>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66"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66"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66"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66"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3" w:lineRule="exact"/>
        <w:rPr>
          <w:sz w:val="20"/>
          <w:szCs w:val="20"/>
          <w:color w:val="auto"/>
        </w:rPr>
      </w:pPr>
    </w:p>
    <w:p>
      <w:pPr>
        <w:ind w:left="1060" w:right="3239" w:hanging="438"/>
        <w:spacing w:after="0" w:line="234"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3" w:lineRule="exact"/>
        <w:rPr>
          <w:rFonts w:ascii="Courier New" w:cs="Courier New" w:eastAsia="Courier New" w:hAnsi="Courier New"/>
          <w:sz w:val="15"/>
          <w:szCs w:val="15"/>
          <w:color w:val="auto"/>
        </w:rPr>
      </w:pPr>
    </w:p>
    <w:p>
      <w:pPr>
        <w:ind w:left="1060" w:right="3499" w:hanging="438"/>
        <w:spacing w:after="0" w:line="235"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78"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78"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w:t>
      </w:r>
    </w:p>
    <w:p>
      <w:pPr>
        <w:sectPr>
          <w:pgSz w:w="11900" w:h="16838" w:orient="portrait"/>
          <w:cols w:equalWidth="0" w:num="1">
            <w:col w:w="10239"/>
          </w:cols>
          <w:pgMar w:left="220" w:top="785" w:right="1440" w:bottom="1440" w:gutter="0" w:footer="0" w:header="0"/>
        </w:sectPr>
      </w:pPr>
    </w:p>
    <w:bookmarkStart w:id="3" w:name="page4"/>
    <w:bookmarkEnd w:id="3"/>
    <w:p>
      <w:pPr>
        <w:ind w:right="3679"/>
        <w:spacing w:after="0" w:line="236" w:lineRule="auto"/>
        <w:rPr>
          <w:sz w:val="20"/>
          <w:szCs w:val="20"/>
          <w:color w:val="auto"/>
        </w:rPr>
      </w:pPr>
      <w:r>
        <w:rPr>
          <w:rFonts w:ascii="Courier New" w:cs="Courier New" w:eastAsia="Courier New" w:hAnsi="Courier New"/>
          <w:sz w:val="15"/>
          <w:szCs w:val="15"/>
          <w:color w:val="auto"/>
        </w:rPr>
        <w:t>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 defective. Liver stem cells may be useful in the treatment of diseases such as hepatitis, cirrhosis of the liver and liver cancer.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OTHER TREATMENT</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ectPr>
          <w:pgSz w:w="11900" w:h="16838" w:orient="portrait"/>
          <w:cols w:equalWidth="0" w:num="1">
            <w:col w:w="10239"/>
          </w:cols>
          <w:pgMar w:left="220" w:top="79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5520" w:type="dxa"/>
            <w:vAlign w:val="bottom"/>
          </w:tcPr>
          <w:p>
            <w:pPr>
              <w:ind w:left="1760"/>
              <w:spacing w:after="0"/>
              <w:rPr>
                <w:sz w:val="20"/>
                <w:szCs w:val="20"/>
                <w:color w:val="auto"/>
              </w:rPr>
            </w:pPr>
            <w:r>
              <w:rPr>
                <w:rFonts w:ascii="Courier New" w:cs="Courier New" w:eastAsia="Courier New" w:hAnsi="Courier New"/>
                <w:sz w:val="15"/>
                <w:szCs w:val="15"/>
                <w:color w:val="auto"/>
              </w:rPr>
              <w:t>RESEARCH AND PRODUCT DEVELOPMENT PROGRAMS</w:t>
            </w:r>
          </w:p>
        </w:tc>
        <w:tc>
          <w:tcPr>
            <w:tcW w:w="520" w:type="dxa"/>
            <w:vAlign w:val="bottom"/>
          </w:tcPr>
          <w:p>
            <w:pPr>
              <w:spacing w:after="0"/>
              <w:rPr>
                <w:sz w:val="14"/>
                <w:szCs w:val="14"/>
                <w:color w:val="auto"/>
              </w:rPr>
            </w:pPr>
          </w:p>
        </w:tc>
        <w:tc>
          <w:tcPr>
            <w:tcW w:w="5420" w:type="dxa"/>
            <w:vAlign w:val="bottom"/>
          </w:tcPr>
          <w:p>
            <w:pPr>
              <w:spacing w:after="0"/>
              <w:rPr>
                <w:sz w:val="14"/>
                <w:szCs w:val="14"/>
                <w:color w:val="auto"/>
              </w:rPr>
            </w:pPr>
          </w:p>
        </w:tc>
      </w:tr>
      <w:tr>
        <w:trPr>
          <w:trHeight w:val="673"/>
        </w:trPr>
        <w:tc>
          <w:tcPr>
            <w:tcW w:w="5520" w:type="dxa"/>
            <w:vAlign w:val="bottom"/>
          </w:tcPr>
          <w:p>
            <w:pPr>
              <w:jc w:val="center"/>
              <w:spacing w:after="0"/>
              <w:rPr>
                <w:sz w:val="20"/>
                <w:szCs w:val="20"/>
                <w:color w:val="auto"/>
              </w:rPr>
            </w:pPr>
            <w:r>
              <w:rPr>
                <w:rFonts w:ascii="Courier New" w:cs="Courier New" w:eastAsia="Courier New" w:hAnsi="Courier New"/>
                <w:sz w:val="15"/>
                <w:szCs w:val="15"/>
                <w:color w:val="auto"/>
                <w:w w:val="96"/>
              </w:rPr>
              <w:t>PROGRAM DESCRIPTION AND OBJECTIVE</w:t>
            </w:r>
          </w:p>
        </w:tc>
        <w:tc>
          <w:tcPr>
            <w:tcW w:w="520" w:type="dxa"/>
            <w:vAlign w:val="bottom"/>
          </w:tcPr>
          <w:p>
            <w:pPr>
              <w:spacing w:after="0"/>
              <w:rPr>
                <w:sz w:val="24"/>
                <w:szCs w:val="24"/>
                <w:color w:val="auto"/>
              </w:rPr>
            </w:pPr>
          </w:p>
        </w:tc>
        <w:tc>
          <w:tcPr>
            <w:tcW w:w="5420" w:type="dxa"/>
            <w:vAlign w:val="bottom"/>
          </w:tcPr>
          <w:p>
            <w:pPr>
              <w:ind w:left="1500"/>
              <w:spacing w:after="0"/>
              <w:rPr>
                <w:sz w:val="20"/>
                <w:szCs w:val="20"/>
                <w:color w:val="auto"/>
              </w:rPr>
            </w:pPr>
            <w:r>
              <w:rPr>
                <w:rFonts w:ascii="Courier New" w:cs="Courier New" w:eastAsia="Courier New" w:hAnsi="Courier New"/>
                <w:sz w:val="15"/>
                <w:szCs w:val="15"/>
                <w:color w:val="auto"/>
              </w:rPr>
              <w:t>STAGE/STATUS(1)</w:t>
            </w:r>
          </w:p>
        </w:tc>
      </w:tr>
      <w:tr>
        <w:trPr>
          <w:trHeight w:val="168"/>
        </w:trPr>
        <w:tc>
          <w:tcPr>
            <w:tcW w:w="5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spacing w:after="0"/>
              <w:rPr>
                <w:sz w:val="14"/>
                <w:szCs w:val="14"/>
                <w:color w:val="auto"/>
              </w:rPr>
            </w:pPr>
          </w:p>
        </w:tc>
        <w:tc>
          <w:tcPr>
            <w:tcW w:w="54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1840"/>
              <w:spacing w:after="0"/>
              <w:rPr>
                <w:sz w:val="20"/>
                <w:szCs w:val="20"/>
                <w:color w:val="auto"/>
              </w:rPr>
            </w:pPr>
            <w:r>
              <w:rPr>
                <w:rFonts w:ascii="Courier New" w:cs="Courier New" w:eastAsia="Courier New" w:hAnsi="Courier New"/>
                <w:sz w:val="15"/>
                <w:szCs w:val="15"/>
                <w:color w:val="auto"/>
              </w:rPr>
              <w:t>HUMAN NEURAL STEM CELL</w:t>
            </w:r>
          </w:p>
        </w:tc>
        <w:tc>
          <w:tcPr>
            <w:tcW w:w="520" w:type="dxa"/>
            <w:vAlign w:val="bottom"/>
          </w:tcPr>
          <w:p>
            <w:pPr>
              <w:spacing w:after="0"/>
              <w:rPr>
                <w:sz w:val="24"/>
                <w:szCs w:val="24"/>
                <w:color w:val="auto"/>
              </w:rPr>
            </w:pPr>
          </w:p>
        </w:tc>
        <w:tc>
          <w:tcPr>
            <w:tcW w:w="5420" w:type="dxa"/>
            <w:vAlign w:val="bottom"/>
          </w:tcPr>
          <w:p>
            <w:pPr>
              <w:ind w:left="2280"/>
              <w:spacing w:after="0"/>
              <w:rPr>
                <w:sz w:val="20"/>
                <w:szCs w:val="20"/>
                <w:color w:val="auto"/>
              </w:rPr>
            </w:pPr>
            <w:r>
              <w:rPr>
                <w:rFonts w:ascii="Courier New" w:cs="Courier New" w:eastAsia="Courier New" w:hAnsi="Courier New"/>
                <w:sz w:val="15"/>
                <w:szCs w:val="15"/>
                <w:color w:val="auto"/>
              </w:rPr>
              <w:t>PRECLINICAL</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Repair or replace damaged central nervous system tissue</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Demonstrated IN VITRO the ability to initiate and expand</w:t>
            </w: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spinal cord, degenerated retinas and tissue</w:t>
            </w: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stem (including spinal cord, degenerated retinas and tissue</w:t>
            </w: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affected by certain genetic disorders)</w:t>
            </w: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cell-containing human neural cultures and specialization</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into affected by certain genetic disorders) three types of</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central nervous system cells</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Demonstrated the ability of neurosphere-initiating stem</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cells from human brain</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Demonstrated in rodent studies that transplanted human</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brain-derived stem cells are accepted and properly</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specialized into the three major cell types of the central</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nervous system</w:t>
            </w:r>
          </w:p>
        </w:tc>
      </w:tr>
      <w:tr>
        <w:trPr>
          <w:trHeight w:val="336"/>
        </w:trPr>
        <w:tc>
          <w:tcPr>
            <w:tcW w:w="5520" w:type="dxa"/>
            <w:vAlign w:val="bottom"/>
          </w:tcPr>
          <w:p>
            <w:pPr>
              <w:ind w:left="1760"/>
              <w:spacing w:after="0"/>
              <w:rPr>
                <w:sz w:val="20"/>
                <w:szCs w:val="20"/>
                <w:color w:val="auto"/>
              </w:rPr>
            </w:pPr>
            <w:r>
              <w:rPr>
                <w:rFonts w:ascii="Courier New" w:cs="Courier New" w:eastAsia="Courier New" w:hAnsi="Courier New"/>
                <w:sz w:val="15"/>
                <w:szCs w:val="15"/>
                <w:color w:val="auto"/>
              </w:rPr>
              <w:t>PANCREAS ISLET STEM CELL</w:t>
            </w:r>
          </w:p>
        </w:tc>
        <w:tc>
          <w:tcPr>
            <w:tcW w:w="520" w:type="dxa"/>
            <w:vAlign w:val="bottom"/>
          </w:tcPr>
          <w:p>
            <w:pPr>
              <w:spacing w:after="0"/>
              <w:rPr>
                <w:sz w:val="24"/>
                <w:szCs w:val="24"/>
                <w:color w:val="auto"/>
              </w:rPr>
            </w:pPr>
          </w:p>
        </w:tc>
        <w:tc>
          <w:tcPr>
            <w:tcW w:w="5420" w:type="dxa"/>
            <w:vAlign w:val="bottom"/>
          </w:tcPr>
          <w:p>
            <w:pPr>
              <w:ind w:left="2360"/>
              <w:spacing w:after="0"/>
              <w:rPr>
                <w:sz w:val="20"/>
                <w:szCs w:val="20"/>
                <w:color w:val="auto"/>
              </w:rPr>
            </w:pPr>
            <w:r>
              <w:rPr>
                <w:rFonts w:ascii="Courier New" w:cs="Courier New" w:eastAsia="Courier New" w:hAnsi="Courier New"/>
                <w:sz w:val="15"/>
                <w:szCs w:val="15"/>
                <w:color w:val="auto"/>
              </w:rPr>
              <w:t>RESEARCH</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Repair or replace damaged pancreas islet tissue</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Identified markers on the surface of cells to identify,</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isolate and culture islet stem cells of the pancreas</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Commenced small animal testing</w:t>
            </w:r>
          </w:p>
        </w:tc>
      </w:tr>
      <w:tr>
        <w:trPr>
          <w:trHeight w:val="336"/>
        </w:trPr>
        <w:tc>
          <w:tcPr>
            <w:tcW w:w="5520" w:type="dxa"/>
            <w:vAlign w:val="bottom"/>
          </w:tcPr>
          <w:p>
            <w:pPr>
              <w:jc w:val="center"/>
              <w:spacing w:after="0"/>
              <w:rPr>
                <w:sz w:val="20"/>
                <w:szCs w:val="20"/>
                <w:color w:val="auto"/>
              </w:rPr>
            </w:pPr>
            <w:r>
              <w:rPr>
                <w:rFonts w:ascii="Courier New" w:cs="Courier New" w:eastAsia="Courier New" w:hAnsi="Courier New"/>
                <w:sz w:val="15"/>
                <w:szCs w:val="15"/>
                <w:color w:val="auto"/>
                <w:w w:val="97"/>
              </w:rPr>
              <w:t>LIVER STEM CELL</w:t>
            </w:r>
          </w:p>
        </w:tc>
        <w:tc>
          <w:tcPr>
            <w:tcW w:w="520" w:type="dxa"/>
            <w:vAlign w:val="bottom"/>
          </w:tcPr>
          <w:p>
            <w:pPr>
              <w:spacing w:after="0"/>
              <w:rPr>
                <w:sz w:val="24"/>
                <w:szCs w:val="24"/>
                <w:color w:val="auto"/>
              </w:rPr>
            </w:pPr>
          </w:p>
        </w:tc>
        <w:tc>
          <w:tcPr>
            <w:tcW w:w="5420" w:type="dxa"/>
            <w:vAlign w:val="bottom"/>
          </w:tcPr>
          <w:p>
            <w:pPr>
              <w:ind w:left="2360"/>
              <w:spacing w:after="0"/>
              <w:rPr>
                <w:sz w:val="20"/>
                <w:szCs w:val="20"/>
                <w:color w:val="auto"/>
              </w:rPr>
            </w:pPr>
            <w:r>
              <w:rPr>
                <w:rFonts w:ascii="Courier New" w:cs="Courier New" w:eastAsia="Courier New" w:hAnsi="Courier New"/>
                <w:sz w:val="15"/>
                <w:szCs w:val="15"/>
                <w:color w:val="auto"/>
              </w:rPr>
              <w:t>RESEARCH</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Repair or replace damaged liver tissue including tissue</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Demonstrated the production of hepatocytes from purified</w:t>
            </w: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resulting from certain metabolic genetic diseases</w:t>
            </w: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mouse resulting from certain metabolic genetic diseases</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hematopoietic stem cells</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Identified IN VITRO culture assay for growth of human</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bipotent liver progenitor cells that can produce both bile</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duct and hepatocytes</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Showed that the in vitro culture of human bipotent liver</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cells can also grow human hepatitis virus</w:t>
            </w:r>
          </w:p>
        </w:tc>
      </w:tr>
      <w:tr>
        <w:trPr>
          <w:trHeight w:val="505"/>
        </w:trPr>
        <w:tc>
          <w:tcPr>
            <w:tcW w:w="5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24"/>
                <w:szCs w:val="24"/>
                <w:color w:val="auto"/>
              </w:rPr>
            </w:pPr>
          </w:p>
        </w:tc>
        <w:tc>
          <w:tcPr>
            <w:tcW w:w="5420" w:type="dxa"/>
            <w:vAlign w:val="bottom"/>
          </w:tcPr>
          <w:p>
            <w:pPr>
              <w:spacing w:after="0"/>
              <w:rPr>
                <w:sz w:val="24"/>
                <w:szCs w:val="24"/>
                <w:color w:val="auto"/>
              </w:rPr>
            </w:pPr>
          </w:p>
        </w:tc>
      </w:tr>
    </w:tbl>
    <w:p>
      <w:pPr>
        <w:spacing w:after="0" w:line="173" w:lineRule="exact"/>
        <w:rPr>
          <w:sz w:val="20"/>
          <w:szCs w:val="20"/>
          <w:color w:val="auto"/>
        </w:rPr>
      </w:pPr>
    </w:p>
    <w:p>
      <w:pPr>
        <w:ind w:left="620" w:right="4720" w:hanging="610"/>
        <w:spacing w:after="0" w:line="236"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3" w:lineRule="exact"/>
        <w:rPr>
          <w:sz w:val="20"/>
          <w:szCs w:val="20"/>
          <w:color w:val="auto"/>
        </w:rPr>
      </w:pPr>
    </w:p>
    <w:p>
      <w:pPr>
        <w:ind w:right="4460" w:firstLine="612"/>
        <w:spacing w:after="0" w:line="236"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3" w:lineRule="exact"/>
        <w:rPr>
          <w:sz w:val="20"/>
          <w:szCs w:val="20"/>
          <w:color w:val="auto"/>
        </w:rPr>
      </w:pPr>
    </w:p>
    <w:p>
      <w:pPr>
        <w:ind w:right="4620" w:firstLine="612"/>
        <w:spacing w:after="0" w:line="236"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76" w:lineRule="exact"/>
        <w:rPr>
          <w:sz w:val="20"/>
          <w:szCs w:val="20"/>
          <w:color w:val="auto"/>
        </w:rPr>
      </w:pPr>
    </w:p>
    <w:p>
      <w:pPr>
        <w:jc w:val="both"/>
        <w:ind w:right="4460" w:firstLine="612"/>
        <w:spacing w:after="0" w:line="235"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w:t>
      </w:r>
    </w:p>
    <w:p>
      <w:pPr>
        <w:sectPr>
          <w:pgSz w:w="11900" w:h="16838" w:orient="portrait"/>
          <w:cols w:equalWidth="0" w:num="1">
            <w:col w:w="11460"/>
          </w:cols>
          <w:pgMar w:left="220" w:top="785" w:right="219" w:bottom="1440" w:gutter="0" w:footer="0" w:header="0"/>
        </w:sectPr>
      </w:pPr>
    </w:p>
    <w:bookmarkStart w:id="5" w:name="page6"/>
    <w:bookmarkEnd w:id="5"/>
    <w:p>
      <w:pPr>
        <w:ind w:right="3319"/>
        <w:spacing w:after="0" w:line="255" w:lineRule="auto"/>
        <w:rPr>
          <w:sz w:val="20"/>
          <w:szCs w:val="20"/>
          <w:color w:val="auto"/>
        </w:rPr>
      </w:pPr>
      <w:r>
        <w:rPr>
          <w:rFonts w:ascii="Courier New" w:cs="Courier New" w:eastAsia="Courier New" w:hAnsi="Courier New"/>
          <w:sz w:val="14"/>
          <w:szCs w:val="14"/>
          <w:color w:val="auto"/>
        </w:rPr>
        <w:t>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6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A U.S. patent on those methods has since been allowed. We are expanding our preclinical efforts toward the goal of selecting the proper indications to pursue.</w:t>
      </w:r>
    </w:p>
    <w:p>
      <w:pPr>
        <w:spacing w:after="0" w:line="178"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6"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79"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176"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In January 2000, we reported what we regard as an even more important result: In long term animal studies, our researchers were able to take these purified and expanded stem cells and transplant them into the normal brains of immunodeficient mouse hosts, where they take hold and grow into neurons and glial cells.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7"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 5 million people in the United States and there are no effective long-term therapies currently available. We believe the ability to purify human brain stem cells directly from fresh tissue is important because:</w:t>
      </w:r>
    </w:p>
    <w:p>
      <w:pPr>
        <w:sectPr>
          <w:pgSz w:w="11900" w:h="16838" w:orient="portrait"/>
          <w:cols w:equalWidth="0" w:num="1">
            <w:col w:w="10239"/>
          </w:cols>
          <w:pgMar w:left="220" w:top="792" w:right="1440" w:bottom="1440" w:gutter="0" w:footer="0" w:header="0"/>
        </w:sectPr>
      </w:pPr>
    </w:p>
    <w:bookmarkStart w:id="6" w:name="page7"/>
    <w:bookmarkEnd w:id="6"/>
    <w:p>
      <w:pPr>
        <w:ind w:left="1060" w:right="3399" w:hanging="438"/>
        <w:spacing w:after="0" w:line="235"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5" w:lineRule="exact"/>
        <w:rPr>
          <w:rFonts w:ascii="Courier New" w:cs="Courier New" w:eastAsia="Courier New" w:hAnsi="Courier New"/>
          <w:sz w:val="15"/>
          <w:szCs w:val="15"/>
          <w:color w:val="auto"/>
        </w:rPr>
      </w:pPr>
    </w:p>
    <w:p>
      <w:pPr>
        <w:ind w:left="1060" w:right="3239" w:hanging="438"/>
        <w:spacing w:after="0" w:line="236"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 derived stem cell cultures might be genetically modified to produce those proteins. The modified brain stem cells could be transplanted into patients with these genetic diseases;</w:t>
      </w:r>
    </w:p>
    <w:p>
      <w:pPr>
        <w:spacing w:after="0" w:line="177" w:lineRule="exact"/>
        <w:rPr>
          <w:rFonts w:ascii="Courier New" w:cs="Courier New" w:eastAsia="Courier New" w:hAnsi="Courier New"/>
          <w:sz w:val="15"/>
          <w:szCs w:val="15"/>
          <w:color w:val="auto"/>
        </w:rPr>
      </w:pPr>
    </w:p>
    <w:p>
      <w:pPr>
        <w:ind w:left="1060" w:right="3319" w:hanging="438"/>
        <w:spacing w:after="0" w:line="236"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has, to the present, been conducted by Nora Sarvetnick, Ph.D., of The Scripps Research Institute, in collaboration with some of our senior researchers. It is our intention to bring the research on stem and progenitor cells of the pancreas in house We expect that Dr. Sarvetnick will continue to consult with us.</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5"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4"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8"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6" w:lineRule="exact"/>
        <w:rPr>
          <w:sz w:val="20"/>
          <w:szCs w:val="20"/>
          <w:color w:val="auto"/>
        </w:rPr>
      </w:pPr>
    </w:p>
    <w:p>
      <w:pPr>
        <w:ind w:right="3399" w:firstLine="612"/>
        <w:spacing w:after="0" w:line="235" w:lineRule="auto"/>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 In 1998, our researchers continued to advance methods for establishing enriched cell</w:t>
      </w:r>
    </w:p>
    <w:p>
      <w:pPr>
        <w:sectPr>
          <w:pgSz w:w="11900" w:h="16838" w:orient="portrait"/>
          <w:cols w:equalWidth="0" w:num="1">
            <w:col w:w="10239"/>
          </w:cols>
          <w:pgMar w:left="220" w:top="792" w:right="1440" w:bottom="1440" w:gutter="0" w:footer="0" w:header="0"/>
        </w:sectPr>
      </w:pPr>
    </w:p>
    <w:bookmarkStart w:id="7" w:name="page8"/>
    <w:bookmarkEnd w:id="7"/>
    <w:p>
      <w:pPr>
        <w:ind w:right="3319"/>
        <w:spacing w:after="0" w:line="235" w:lineRule="auto"/>
        <w:rPr>
          <w:sz w:val="20"/>
          <w:szCs w:val="20"/>
          <w:color w:val="auto"/>
        </w:rPr>
      </w:pPr>
      <w:r>
        <w:rPr>
          <w:rFonts w:ascii="Courier New" w:cs="Courier New" w:eastAsia="Courier New" w:hAnsi="Courier New"/>
          <w:sz w:val="15"/>
          <w:szCs w:val="15"/>
          <w:color w:val="auto"/>
        </w:rPr>
        <w:t>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7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176" w:lineRule="exact"/>
        <w:rPr>
          <w:sz w:val="20"/>
          <w:szCs w:val="20"/>
          <w:color w:val="auto"/>
        </w:rPr>
      </w:pPr>
    </w:p>
    <w:p>
      <w:pPr>
        <w:ind w:right="3399" w:firstLine="612"/>
        <w:spacing w:after="0" w:line="255" w:lineRule="auto"/>
        <w:rPr>
          <w:sz w:val="20"/>
          <w:szCs w:val="20"/>
          <w:color w:val="auto"/>
        </w:rPr>
      </w:pPr>
      <w:r>
        <w:rPr>
          <w:rFonts w:ascii="Courier New" w:cs="Courier New" w:eastAsia="Courier New" w:hAnsi="Courier New"/>
          <w:sz w:val="14"/>
          <w:szCs w:val="14"/>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16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6"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w:t>
      </w:r>
    </w:p>
    <w:p>
      <w:pPr>
        <w:sectPr>
          <w:pgSz w:w="11900" w:h="16838" w:orient="portrait"/>
          <w:cols w:equalWidth="0" w:num="1">
            <w:col w:w="10239"/>
          </w:cols>
          <w:pgMar w:left="220" w:top="792" w:right="1440" w:bottom="1440" w:gutter="0" w:footer="0" w:header="0"/>
        </w:sectPr>
      </w:pPr>
    </w:p>
    <w:bookmarkStart w:id="8" w:name="page9"/>
    <w:bookmarkEnd w:id="8"/>
    <w:p>
      <w:pPr>
        <w:ind w:right="3319"/>
        <w:spacing w:after="0" w:line="235" w:lineRule="auto"/>
        <w:rPr>
          <w:sz w:val="20"/>
          <w:szCs w:val="20"/>
          <w:color w:val="auto"/>
        </w:rPr>
      </w:pPr>
      <w:r>
        <w:rPr>
          <w:rFonts w:ascii="Courier New" w:cs="Courier New" w:eastAsia="Courier New" w:hAnsi="Courier New"/>
          <w:sz w:val="15"/>
          <w:szCs w:val="15"/>
          <w:color w:val="auto"/>
        </w:rPr>
        <w:t>of our board of directors. We, as the sole stockholder of our subsidiary, voted on February 23, 2000, to amend its Certificate of Incorporation to change its name to StemCells California,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In July 1996, we, together with certain founding scientists, established Modex Therapeutics SA,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After Modex's IPO, we owned 126,193 shares, or approximately 9%, of Modex's equity, subject to a lockup until December 23, 2000. The closing market price of Modex stock on the Swiss Neue Market exchange on January 2, 2001 was 210.00 Swiss francs, or approximately $130.39, per share. On January 9, 2001, we sold 22,616 Modex shares for a net price of 182.00 Swiss francs per share, which converts to $112.76 per share, for total proceeds of approximately $2,550,000. On April 30, 2001, we sold the remaining 103,577 Modex shares for a net price of 87.30 Swiss Francs per share, which converts to approximately $50.30, for total proceeds of approximately $5,200,000.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SPONSORED RESEARCH AGREEMENTS</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166"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Our research agreement with Scripps expired on November 14, 2000. It is our intention to bring the research on stem and progenitor cells of the pancreas in house. Dr. Nora Sarvetnick, who led the research at Scripps, will continue to consult with us. Our license agreements with Scripps are not affected by the expiration of the research agreement. They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issued 12,800 shares of common stock amounting to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ectPr>
          <w:pgSz w:w="11900" w:h="16838" w:orient="portrait"/>
          <w:cols w:equalWidth="0" w:num="1">
            <w:col w:w="10239"/>
          </w:cols>
          <w:pgMar w:left="220" w:top="79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LICENSE AGREEMENTS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 PHARMACEUTICALS, INC.</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NEUROSPHERES, LTD.</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ectPr>
          <w:pgSz w:w="11900" w:h="16838" w:orient="portrait"/>
          <w:cols w:equalWidth="0" w:num="1">
            <w:col w:w="10239"/>
          </w:cols>
          <w:pgMar w:left="220" w:top="78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6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twenty-two issued U.S. patents, seven of which issued in 2000. An additional twenty-seven patent applications are pending, five of which have been allowed.</w:t>
      </w:r>
    </w:p>
    <w:p>
      <w:pPr>
        <w:spacing w:after="0" w:line="177"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We own, or have filed, the following United States Patents and patent applications: U.S. Patent Number 5,968,829 (Human CNS neural stem cells); U.S. Patent Number 6,103,530 (Human CNS neural stem cells--culture media); Application Number WO 99/11758 (Cultures of human CNS neural stem cells); and Application Number WO 00/36091 (An animal model for identifying a common stem/progenitor to liver cells and pancreatic cells); Application Number WO98/50526 (Generation, characterization, and isolation of neuroepithelial stem cells and lineage restricted intermediate precursor); Application Number WO 00/50572 (Use of collagenase in the preparation of neural stem cell cultures); and Application Number WO 00/47762 (Enriched neural stem cell populations and methods of identifying, isolating, and enriching neural stem cells).</w:t>
      </w:r>
    </w:p>
    <w:p>
      <w:pPr>
        <w:spacing w:after="0" w:line="16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We have licensed the following United States Patents or pending patent applications from Neurospheres Holdings Ltd.: U.S. Patent Number 5,851,832 (IN VITRO proliferation); U.S. Patent Number 5,750,376 (IN VITRO genetic modification); U.S. Patent Number 5,981,165 (IN VITRO production of dopaminergic cells from mammalian central nervous system multipotent stem cell compositions); U.S. Patent Number 6,093,531 (Generation of hematopoietic cells from multipotent neural stem cells); U.S. Patent Number 5,980,885 (Methods for inducing IN VIVO proliferation of precursor cells); U.S. Patent Number 6,071,889 (Methods for IN VIVO transfer of a nucleic acid sequence to proliferating neural cells); U.S. Patent Number 6,165,783 (Methods of inducing differentiation of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Application Number WO 99/2196 (Erythropoietin-mediated neurogenesis); Application Number WO 99/16863 (Generation of hematopoietic cells); Application Number WO 98/22127 (Pretreatment with growth factors to protect against CNS damage); Application Number WO 97/3560 (IN SITU manipulation of cells of the hippocampus); Application Number WO 96/09543 (IN VITRO models of CNS functions and dysfunctions); Application Number WO 95/13364 (IN SITU modification and manipulation of stem cells of the CNS); Application Number WO 96/15226 (IN VITRO production of dopaminergic cells from mammalian central nervous system multipotent stem cell composition); and Application Number WO 96/15266 (Regulation of neural stem cell proliferation).</w:t>
      </w:r>
    </w:p>
    <w:p>
      <w:pPr>
        <w:spacing w:after="0" w:line="346"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We have licensed the following United States Patents or pending patent applications from the University of California, San Diego: U.S. Patent Number 5,776,948 (Method of production of neuroblasts); U.S. Patent Number 6,013,521 (Method of production of neuroblasts); U.S. Patent Number 6,020,197 (Method of production of neuroblasts); and Application Number WO 94/16059 (Method of production of neuroblasts).</w:t>
      </w:r>
    </w:p>
    <w:p>
      <w:pPr>
        <w:spacing w:after="0" w:line="175"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We have licensed the following United States Patents or pending patent applications from the California Institute of Technology: U.S. Patent Number 5,629,159 (Immortalization and disimmortalization of cells); Application Number WO 96/40877 (Immortalization and disimmortalization of cells); U.S. Patent Number 5,935,811 (Neuron restrictive silencer factor proteins); Application Number WO 96/27665 (Neuron restrictive silencer factor proteins); U.S. Patent</w:t>
      </w:r>
    </w:p>
    <w:p>
      <w:pPr>
        <w:sectPr>
          <w:pgSz w:w="11900" w:h="16838" w:orient="portrait"/>
          <w:cols w:equalWidth="0" w:num="1">
            <w:col w:w="10239"/>
          </w:cols>
          <w:pgMar w:left="220" w:top="785" w:right="1440" w:bottom="1440" w:gutter="0" w:footer="0" w:header="0"/>
        </w:sectPr>
      </w:pPr>
    </w:p>
    <w:bookmarkStart w:id="11" w:name="page12"/>
    <w:bookmarkEnd w:id="11"/>
    <w:p>
      <w:pPr>
        <w:ind w:right="3239"/>
        <w:spacing w:after="0" w:line="255" w:lineRule="auto"/>
        <w:rPr>
          <w:sz w:val="20"/>
          <w:szCs w:val="20"/>
          <w:color w:val="auto"/>
        </w:rPr>
      </w:pPr>
      <w:r>
        <w:rPr>
          <w:rFonts w:ascii="Courier New" w:cs="Courier New" w:eastAsia="Courier New" w:hAnsi="Courier New"/>
          <w:sz w:val="14"/>
          <w:szCs w:val="14"/>
          <w:color w:val="auto"/>
        </w:rPr>
        <w:t>Number 5,589,376 (Mammalian neural crest stem cells); U.S. Patent Number 5,824,489 (Methods for isolating mammalian multipotent neural crest stem cells); Application Number WO 94/02593 (Mammalian neural crest stem cells); U.S. Patent Number 5,654,183 (Genetically engineered mammalian neural crest stem cells); U.S. Patent Number 5,928,947 (Mammalian multipotent neural crest stem cells); U.S. Patent Number 5,693,482 (IN VITRO neural crest stem cell assay); U.S. Patent Number 6,001,654 (Methods for differentiating neural stem cells to neurons or smooth muscle cells (TGFb)); Application Number WO 98/48001 (Methods for differentiating neural stem cells to neurons or smooth muscle cells (TGFb)); U.S. Patent Number 5,672,499 (Methods for immortalizing multipotent neural crest stem cells); U.S. Patent Number 5,849,553 (Immortalizing and disimmortalizing multipotent neural crest stem cells); and U.S. Patent Number 6,033,906 (Differentiating mammalian neural stem cells to glial cells using neuregulins).</w:t>
      </w:r>
    </w:p>
    <w:p>
      <w:pPr>
        <w:spacing w:after="0" w:line="164" w:lineRule="exact"/>
        <w:rPr>
          <w:sz w:val="20"/>
          <w:szCs w:val="20"/>
          <w:color w:val="auto"/>
        </w:rPr>
      </w:pPr>
    </w:p>
    <w:p>
      <w:pPr>
        <w:ind w:right="3759" w:firstLine="612"/>
        <w:spacing w:after="0" w:line="235"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4"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79"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178"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The patent positions of pharmaceutical and biotechnology companies, including those of the Company, are uncertain and involve complex and evolving legal and factual questions. The coverage sought in a patent application can be denied or significantly reduced before or after the patent is issued. Consequently, the Company does not know whether any of its pending applications will result in the issuance of patents, or if any existing or future patents will provide significant protection or commercial advantage or will be circumvented by others. Since patent applications are secret until patents are issued in the United States or until the applications are published in foreign countries, and since publication of discoveries in the scientific or patent literature often lags behind actual discoveries, the Company cannot be certain that it was the first to make the inventions covered by each of its pending patent applications or that it was the first to file patent applications for such inventions. There can be no assurance that patents will issue from the Company's pending or future patent applications or, if issued, that such patents will be of commercial benefit to the Company, afford the Company adequate protection from competing products or not be challenged or declared invalid.</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the event that a third party has also filed a patent application relating to inventions claimed in Company patent applications, the Company may have to participate in interference proceedings declared by the United States Patent and Trademark Office to determine priority of invention, which could result in substantial uncertainties and cost for the Company, even if the eventual outcome is favorable to the Company. There can be no assurance that the Company's patents, if issued, would be held valid by a court of competent jurisdiction.</w:t>
      </w:r>
    </w:p>
    <w:p>
      <w:pPr>
        <w:spacing w:after="0" w:line="177"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the Company's expected products. The Company cannot predict which, if any, of such applications will issue as patents or the claims that might be allowed. The Company is aware that a number of companies have filed applications relating to stem cells. The Company is also aware of a number of patent applications and patents claiming use of genetically modified cells to treat disease, disorder or injury. The Company is aware of two patents issued to a competitor claiming certain methods for treating defective, diseased or damaged cells in the mammalian CNS by grafting genetically modified donor cells from the same mammalian species.</w:t>
      </w:r>
    </w:p>
    <w:p>
      <w:pPr>
        <w:sectPr>
          <w:pgSz w:w="11900" w:h="16838" w:orient="portrait"/>
          <w:cols w:equalWidth="0" w:num="1">
            <w:col w:w="10239"/>
          </w:cols>
          <w:pgMar w:left="220" w:top="792" w:right="1440" w:bottom="1440" w:gutter="0" w:footer="0" w:header="0"/>
        </w:sectPr>
      </w:pPr>
    </w:p>
    <w:bookmarkStart w:id="12" w:name="page13"/>
    <w:bookmarkEnd w:id="12"/>
    <w:p>
      <w:pPr>
        <w:ind w:right="3239" w:firstLine="612"/>
        <w:spacing w:after="0" w:line="237" w:lineRule="auto"/>
        <w:rPr>
          <w:sz w:val="20"/>
          <w:szCs w:val="20"/>
          <w:color w:val="auto"/>
        </w:rPr>
      </w:pPr>
      <w:r>
        <w:rPr>
          <w:rFonts w:ascii="Courier New" w:cs="Courier New" w:eastAsia="Courier New" w:hAnsi="Courier New"/>
          <w:sz w:val="15"/>
          <w:szCs w:val="15"/>
          <w:color w:val="auto"/>
        </w:rPr>
        <w:t>If third party patents or patent applications contain claims infringed by the Company's technology and such claims or claims in issued patents are ultimately determined to be valid, there can be no assurance that the Company would be able to obtain licenses to these patents at a reasonable cost, if at all, or be able to develop or obtain alternative technology. If the Company is unable to obtain such licenses at a reasonable cost, it may be adversely affected. There can be no assurance that the Company will not be obliged to defend itself in court against allegations of infringement of third party patents. Patent litigation is very expensive and could consume substantial resources and create significant uncertainties. An adverse outcome in such a suit could subject the Company to significant liabilities to third parties, require disputed rights to be licensed from third parties, or require the Company to cease using such technology.</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Company has obtained rights from universities and research institutions to technologies, processes and compounds that it believes may be important to the development of its products. These agreements typically require the Company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 The Company's licenses may be canceled or converted to non-exclusive licenses if the Company fails to use the relevant technology or the Company breaches its agreements. Loss of such licenses could expose the Company to the risks of third party patents and/or technology. There can be no assurance that any of these licenses will provide effective protection against the Company's competitors.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6"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8"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w:t>
      </w:r>
    </w:p>
    <w:p>
      <w:pPr>
        <w:sectPr>
          <w:pgSz w:w="11900" w:h="16838" w:orient="portrait"/>
          <w:cols w:equalWidth="0" w:num="1">
            <w:col w:w="10239"/>
          </w:cols>
          <w:pgMar w:left="220" w:top="792" w:right="1440" w:bottom="1440" w:gutter="0" w:footer="0" w:header="0"/>
        </w:sectPr>
      </w:pPr>
    </w:p>
    <w:bookmarkStart w:id="13" w:name="page14"/>
    <w:bookmarkEnd w:id="13"/>
    <w:p>
      <w:pPr>
        <w:ind w:right="4800"/>
        <w:spacing w:after="0" w:line="235" w:lineRule="auto"/>
        <w:rPr>
          <w:sz w:val="20"/>
          <w:szCs w:val="20"/>
          <w:color w:val="auto"/>
        </w:rPr>
      </w:pPr>
      <w:r>
        <w:rPr>
          <w:rFonts w:ascii="Courier New" w:cs="Courier New" w:eastAsia="Courier New" w:hAnsi="Courier New"/>
          <w:sz w:val="15"/>
          <w:szCs w:val="15"/>
          <w:color w:val="auto"/>
        </w:rPr>
        <w:t>regulatory approvals, other factors include, in certain instances, obtaining marketing exclusivity under the Orphan Drug Act, availability of supply, marketing and sales capability, reimbursement coverage, price, and patent and technology position.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3" w:lineRule="exact"/>
        <w:rPr>
          <w:sz w:val="20"/>
          <w:szCs w:val="20"/>
          <w:color w:val="auto"/>
        </w:rPr>
      </w:pPr>
    </w:p>
    <w:p>
      <w:pPr>
        <w:ind w:right="4620" w:firstLine="612"/>
        <w:spacing w:after="0" w:line="235"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5" w:lineRule="exact"/>
        <w:rPr>
          <w:sz w:val="20"/>
          <w:szCs w:val="20"/>
          <w:color w:val="auto"/>
        </w:rPr>
      </w:pPr>
    </w:p>
    <w:p>
      <w:pPr>
        <w:ind w:right="4540" w:firstLine="612"/>
        <w:spacing w:after="0" w:line="236" w:lineRule="auto"/>
        <w:rPr>
          <w:sz w:val="20"/>
          <w:szCs w:val="20"/>
          <w:color w:val="auto"/>
        </w:rPr>
      </w:pPr>
      <w:r>
        <w:rPr>
          <w:rFonts w:ascii="Courier New" w:cs="Courier New" w:eastAsia="Courier New" w:hAnsi="Courier New"/>
          <w:sz w:val="15"/>
          <w:szCs w:val="15"/>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FDA APPROVAL</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steps required before our potential products may be marketed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include:</w:t>
      </w:r>
    </w:p>
    <w:p>
      <w:pPr>
        <w:sectPr>
          <w:pgSz w:w="11900" w:h="16838" w:orient="portrait"/>
          <w:cols w:equalWidth="0" w:num="1">
            <w:col w:w="11540"/>
          </w:cols>
          <w:pgMar w:left="220" w:top="792" w:right="1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STEPS</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Preclinical laboratory and animal tests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hanging="174"/>
        <w:spacing w:after="0" w:line="235" w:lineRule="auto"/>
        <w:rPr>
          <w:sz w:val="20"/>
          <w:szCs w:val="20"/>
          <w:color w:val="auto"/>
        </w:rPr>
      </w:pPr>
      <w:r>
        <w:rPr>
          <w:rFonts w:ascii="Courier New" w:cs="Courier New" w:eastAsia="Courier New" w:hAnsi="Courier New"/>
          <w:sz w:val="15"/>
          <w:szCs w:val="15"/>
          <w:color w:val="auto"/>
        </w:rPr>
        <w:t>2.Submission to the FDA of an application for an Investigational New Drug Exemption, or IND, which must become effective before U.S. human clinical trials may commence</w:t>
      </w:r>
    </w:p>
    <w:p>
      <w:pPr>
        <w:spacing w:after="0" w:line="175" w:lineRule="exact"/>
        <w:rPr>
          <w:sz w:val="20"/>
          <w:szCs w:val="20"/>
          <w:color w:val="auto"/>
        </w:rPr>
      </w:pPr>
    </w:p>
    <w:p>
      <w:pPr>
        <w:ind w:left="180" w:hanging="170"/>
        <w:spacing w:after="0" w:line="234"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CONSIDERATIONS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240"/>
        <w:spacing w:after="0" w:line="256" w:lineRule="auto"/>
        <w:rPr>
          <w:sz w:val="20"/>
          <w:szCs w:val="20"/>
          <w:color w:val="auto"/>
        </w:rPr>
      </w:pPr>
      <w:r>
        <w:rPr>
          <w:rFonts w:ascii="Courier New" w:cs="Courier New" w:eastAsia="Courier New" w:hAnsi="Courier New"/>
          <w:sz w:val="14"/>
          <w:szCs w:val="14"/>
          <w:color w:val="auto"/>
        </w:rPr>
        <w:t>Preclinical tests include laboratory evaluation of the product and animal studies in specific disease models to assess the potential safety and efficacy of the product and our formulation as well as the quality and consistency of the manufacturing process.</w:t>
      </w:r>
    </w:p>
    <w:p>
      <w:pPr>
        <w:spacing w:after="0" w:line="16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175"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 Clinical development is traditionally conducted in three sequential phases, which may overlap:</w:t>
      </w:r>
    </w:p>
    <w:p>
      <w:pPr>
        <w:spacing w:after="0" w:line="331" w:lineRule="exact"/>
        <w:rPr>
          <w:sz w:val="20"/>
          <w:szCs w:val="20"/>
          <w:color w:val="auto"/>
        </w:rPr>
      </w:pPr>
    </w:p>
    <w:p>
      <w:pPr>
        <w:ind w:left="780" w:right="160" w:hanging="430"/>
        <w:spacing w:after="0" w:line="261"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 into selected patient populations to</w:t>
      </w:r>
    </w:p>
    <w:p>
      <w:pPr>
        <w:sectPr>
          <w:pgSz w:w="11900" w:h="16838" w:orient="portrait"/>
          <w:cols w:equalWidth="0" w:num="2">
            <w:col w:w="4900" w:space="620"/>
            <w:col w:w="6020"/>
          </w:cols>
          <w:pgMar w:left="220" w:top="792" w:right="1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right="520" w:hanging="170"/>
        <w:spacing w:after="0" w:line="234" w:lineRule="auto"/>
        <w:tabs>
          <w:tab w:leader="none" w:pos="2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341" w:lineRule="exact"/>
        <w:rPr>
          <w:sz w:val="20"/>
          <w:szCs w:val="20"/>
          <w:color w:val="auto"/>
        </w:rPr>
      </w:pPr>
    </w:p>
    <w:p>
      <w:pPr>
        <w:ind w:left="180" w:hanging="174"/>
        <w:spacing w:after="0" w:line="236" w:lineRule="auto"/>
        <w:rPr>
          <w:sz w:val="20"/>
          <w:szCs w:val="20"/>
          <w:color w:val="auto"/>
        </w:rPr>
      </w:pPr>
      <w:r>
        <w:rPr>
          <w:rFonts w:ascii="Courier New" w:cs="Courier New" w:eastAsia="Courier New" w:hAnsi="Courier New"/>
          <w:sz w:val="15"/>
          <w:szCs w:val="15"/>
          <w:color w:val="auto"/>
        </w:rPr>
        <w:t>5.FDA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left="860"/>
        <w:spacing w:after="0" w:line="235" w:lineRule="auto"/>
        <w:rPr>
          <w:sz w:val="20"/>
          <w:szCs w:val="20"/>
          <w:color w:val="auto"/>
        </w:rPr>
      </w:pPr>
      <w:r>
        <w:rPr>
          <w:rFonts w:ascii="Courier New" w:cs="Courier New" w:eastAsia="Courier New" w:hAnsi="Courier New"/>
          <w:sz w:val="15"/>
          <w:szCs w:val="15"/>
          <w:color w:val="auto"/>
        </w:rPr>
        <w:t>test for adverse reactions, dosage tolerance, absorption and distribution, metabolism, excretion and clinical pharmacology.</w:t>
      </w:r>
    </w:p>
    <w:p>
      <w:pPr>
        <w:spacing w:after="0" w:line="174" w:lineRule="exact"/>
        <w:rPr>
          <w:sz w:val="20"/>
          <w:szCs w:val="20"/>
          <w:color w:val="auto"/>
        </w:rPr>
      </w:pPr>
    </w:p>
    <w:p>
      <w:pPr>
        <w:ind w:left="860" w:hanging="430"/>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w:t>
      </w:r>
    </w:p>
    <w:p>
      <w:pPr>
        <w:spacing w:after="0" w:line="9" w:lineRule="exact"/>
        <w:rPr>
          <w:rFonts w:ascii="Courier New" w:cs="Courier New" w:eastAsia="Courier New" w:hAnsi="Courier New"/>
          <w:sz w:val="14"/>
          <w:szCs w:val="14"/>
          <w:color w:val="auto"/>
        </w:rPr>
      </w:pPr>
    </w:p>
    <w:p>
      <w:pPr>
        <w:ind w:left="860" w:firstLine="7"/>
        <w:spacing w:after="0" w:line="236" w:lineRule="auto"/>
        <w:tabs>
          <w:tab w:leader="none" w:pos="121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75" w:lineRule="exact"/>
        <w:rPr>
          <w:rFonts w:ascii="Courier New" w:cs="Courier New" w:eastAsia="Courier New" w:hAnsi="Courier New"/>
          <w:sz w:val="15"/>
          <w:szCs w:val="15"/>
          <w:color w:val="auto"/>
        </w:rPr>
      </w:pPr>
    </w:p>
    <w:p>
      <w:pPr>
        <w:ind w:left="860" w:right="80" w:hanging="430"/>
        <w:spacing w:after="0" w:line="235" w:lineRule="auto"/>
        <w:tabs>
          <w:tab w:leader="none" w:pos="8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III trials are undertaken to conclusively demonstrate clinical efficacy and to test further for safety within an expanded patient population, generally at multiple study sites.</w:t>
      </w:r>
    </w:p>
    <w:p>
      <w:pPr>
        <w:spacing w:after="0" w:line="175" w:lineRule="exact"/>
        <w:rPr>
          <w:sz w:val="20"/>
          <w:szCs w:val="20"/>
          <w:color w:val="auto"/>
        </w:rPr>
      </w:pPr>
    </w:p>
    <w:p>
      <w:pPr>
        <w:ind w:left="80" w:right="80"/>
        <w:spacing w:after="0" w:line="235"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174" w:lineRule="exact"/>
        <w:rPr>
          <w:sz w:val="20"/>
          <w:szCs w:val="20"/>
          <w:color w:val="auto"/>
        </w:rPr>
      </w:pPr>
    </w:p>
    <w:p>
      <w:pPr>
        <w:ind w:left="80" w:right="80"/>
        <w:spacing w:after="0" w:line="235"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174"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5000" w:space="440"/>
            <w:col w:w="6100"/>
          </w:cols>
          <w:pgMar w:left="220" w:top="960" w:right="139" w:bottom="1440" w:gutter="0" w:footer="0" w:header="0"/>
        </w:sectPr>
      </w:pPr>
    </w:p>
    <w:p>
      <w:pPr>
        <w:spacing w:after="0" w:line="144" w:lineRule="exact"/>
        <w:rPr>
          <w:sz w:val="20"/>
          <w:szCs w:val="20"/>
          <w:color w:val="auto"/>
        </w:rPr>
      </w:pPr>
    </w:p>
    <w:p>
      <w:pPr>
        <w:ind w:right="4540" w:firstLine="612"/>
        <w:spacing w:after="0" w:line="236"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FDA MANUFACTURING REQUIREMENTS</w:t>
      </w:r>
    </w:p>
    <w:p>
      <w:pPr>
        <w:spacing w:after="0" w:line="173" w:lineRule="exact"/>
        <w:rPr>
          <w:sz w:val="20"/>
          <w:szCs w:val="20"/>
          <w:color w:val="auto"/>
        </w:rPr>
      </w:pPr>
    </w:p>
    <w:p>
      <w:pPr>
        <w:ind w:right="4540" w:firstLine="612"/>
        <w:spacing w:after="0" w:line="236"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ORPHAN DRUG ACT</w:t>
      </w:r>
    </w:p>
    <w:p>
      <w:pPr>
        <w:spacing w:after="0" w:line="173" w:lineRule="exact"/>
        <w:rPr>
          <w:sz w:val="20"/>
          <w:szCs w:val="20"/>
          <w:color w:val="auto"/>
        </w:rPr>
      </w:pPr>
    </w:p>
    <w:p>
      <w:pPr>
        <w:ind w:right="4540" w:firstLine="612"/>
        <w:spacing w:after="0" w:line="236"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w:t>
      </w:r>
    </w:p>
    <w:p>
      <w:pPr>
        <w:sectPr>
          <w:pgSz w:w="11900" w:h="16838" w:orient="portrait"/>
          <w:cols w:equalWidth="0" w:num="1">
            <w:col w:w="11540"/>
          </w:cols>
          <w:pgMar w:left="220" w:top="960" w:right="139" w:bottom="1440" w:gutter="0" w:footer="0" w:header="0"/>
          <w:type w:val="continuous"/>
        </w:sectPr>
      </w:pPr>
    </w:p>
    <w:bookmarkStart w:id="15" w:name="page16"/>
    <w:bookmarkEnd w:id="15"/>
    <w:p>
      <w:pPr>
        <w:ind w:right="3239"/>
        <w:spacing w:after="0" w:line="236" w:lineRule="auto"/>
        <w:rPr>
          <w:sz w:val="20"/>
          <w:szCs w:val="20"/>
          <w:color w:val="auto"/>
        </w:rPr>
      </w:pPr>
      <w:r>
        <w:rPr>
          <w:rFonts w:ascii="Courier New" w:cs="Courier New" w:eastAsia="Courier New" w:hAnsi="Courier New"/>
          <w:sz w:val="15"/>
          <w:szCs w:val="15"/>
          <w:color w:val="auto"/>
        </w:rPr>
        <w:t>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FDA REGULATIONS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177"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REGULATIONS</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As of December 31, 2000, we had twenty-six full-time employees, of whom six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ectPr>
          <w:pgSz w:w="11900" w:h="16838" w:orient="portrait"/>
          <w:cols w:equalWidth="0" w:num="1">
            <w:col w:w="10239"/>
          </w:cols>
          <w:pgMar w:left="220" w:top="79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74" w:lineRule="exact"/>
        <w:rPr>
          <w:sz w:val="20"/>
          <w:szCs w:val="20"/>
          <w:color w:val="auto"/>
        </w:rPr>
      </w:pPr>
    </w:p>
    <w:p>
      <w:pPr>
        <w:ind w:left="1060" w:right="3239" w:hanging="438"/>
        <w:spacing w:after="0" w:line="236"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175" w:lineRule="exact"/>
        <w:rPr>
          <w:rFonts w:ascii="Courier New" w:cs="Courier New" w:eastAsia="Courier New" w:hAnsi="Courier New"/>
          <w:sz w:val="15"/>
          <w:szCs w:val="15"/>
          <w:color w:val="auto"/>
        </w:rPr>
      </w:pPr>
    </w:p>
    <w:p>
      <w:pPr>
        <w:ind w:left="1060" w:right="3679" w:hanging="438"/>
        <w:spacing w:after="0" w:line="235"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3" w:lineRule="exact"/>
        <w:rPr>
          <w:rFonts w:ascii="Courier New" w:cs="Courier New" w:eastAsia="Courier New" w:hAnsi="Courier New"/>
          <w:sz w:val="15"/>
          <w:szCs w:val="15"/>
          <w:color w:val="auto"/>
        </w:rPr>
      </w:pPr>
    </w:p>
    <w:p>
      <w:pPr>
        <w:ind w:left="1060" w:right="3319" w:hanging="438"/>
        <w:spacing w:after="0" w:line="235"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3" w:lineRule="exact"/>
        <w:rPr>
          <w:sz w:val="20"/>
          <w:szCs w:val="20"/>
          <w:color w:val="auto"/>
        </w:rPr>
      </w:pPr>
    </w:p>
    <w:p>
      <w:pPr>
        <w:jc w:val="both"/>
        <w:ind w:right="3319" w:firstLine="612"/>
        <w:spacing w:after="0" w:line="254" w:lineRule="auto"/>
        <w:rPr>
          <w:sz w:val="20"/>
          <w:szCs w:val="20"/>
          <w:color w:val="auto"/>
        </w:rPr>
      </w:pPr>
      <w:r>
        <w:rPr>
          <w:rFonts w:ascii="Courier New" w:cs="Courier New" w:eastAsia="Courier New" w:hAnsi="Courier New"/>
          <w:sz w:val="14"/>
          <w:szCs w:val="14"/>
          <w:color w:val="auto"/>
        </w:rPr>
        <w:t>Our current research laboratories and administrative offices are located in a leased 7,950 square-foot multipurpose building housing wet labs, specialty research areas and administrative offices located in Sunnyvale, California. The facilities are leased pursuant to lease agreements expiring August 31, 2001.</w:t>
      </w:r>
    </w:p>
    <w:p>
      <w:pPr>
        <w:spacing w:after="0" w:line="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These facilities were sufficient to accommodate our needs through the end of 2000, but our expanding endeavors require more space for both research and development in the future.</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therefore entered a 5-year lease, as of February 1, 2001, for a 40,000 square foot facility, located in the Stanford Research Park in Palo Alto, California, which includes vivarium space as well as laboratories, offices, and a GMP (Good Manufacturing Practices) suite, signifying that the facility can be used to manufacture materials for clinical trials. The new facility will better enable us to achieve our goal of utilizing genetically unmodified human stem cells for the treatment of disorders of the nervous system, liver, and pancreas. We expect to vacate our current premises and be moved into the new facility by May, 2001.</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fifteen-year lease agreement, as well as a 21,000 square-foot pilot manufacturing facility and a 3,000 square-foot cell processing facility financed by bonds issued by the Rhode Island Industrial Facilities Corporation. In February, 2001, we subleased the 3,000 square foot facility and approximately one-third of the 65,000 square foot facility. We are actively seeking to sublease, assign or sell our remaining interests in these properties.</w:t>
      </w:r>
    </w:p>
    <w:p>
      <w:pPr>
        <w:sectPr>
          <w:pgSz w:w="11900" w:h="16838" w:orient="portrait"/>
          <w:cols w:equalWidth="0" w:num="1">
            <w:col w:w="10239"/>
          </w:cols>
          <w:pgMar w:left="220" w:top="78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MARKET FOR REGISTRANT'S COMMON EQUITY AND RELATED STOCKHOLDERS MATTERS</w:t>
      </w:r>
    </w:p>
    <w:p>
      <w:pPr>
        <w:spacing w:after="0" w:line="173" w:lineRule="exact"/>
        <w:rPr>
          <w:sz w:val="20"/>
          <w:szCs w:val="20"/>
          <w:color w:val="auto"/>
        </w:rPr>
      </w:pPr>
    </w:p>
    <w:p>
      <w:pPr>
        <w:jc w:val="both"/>
        <w:ind w:right="4540" w:firstLine="612"/>
        <w:spacing w:after="0" w:line="235" w:lineRule="auto"/>
        <w:rPr>
          <w:sz w:val="20"/>
          <w:szCs w:val="20"/>
          <w:color w:val="auto"/>
        </w:rPr>
      </w:pPr>
      <w:r>
        <w:rPr>
          <w:rFonts w:ascii="Courier New" w:cs="Courier New" w:eastAsia="Courier New" w:hAnsi="Courier New"/>
          <w:sz w:val="15"/>
          <w:szCs w:val="15"/>
          <w:color w:val="auto"/>
        </w:rPr>
        <w:t>The common stock of StemCells is traded on the National Market System of NASDAQ under the Symbol STEM (Previously traded under the Symbol CTII until May 2000). The quarterly ranges of high and low sales prices for the last two fiscal years are shown below:</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HIGH</w:t>
            </w:r>
          </w:p>
        </w:tc>
        <w:tc>
          <w:tcPr>
            <w:tcW w:w="156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LOW</w:t>
            </w:r>
          </w:p>
        </w:tc>
        <w:tc>
          <w:tcPr>
            <w:tcW w:w="1040" w:type="dxa"/>
            <w:vAlign w:val="bottom"/>
          </w:tcPr>
          <w:p>
            <w:pPr>
              <w:spacing w:after="0"/>
              <w:rPr>
                <w:sz w:val="14"/>
                <w:szCs w:val="1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336"/>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w w:val="81"/>
              </w:rPr>
              <w:t>First Quarter...........................................................................</w:t>
            </w:r>
          </w:p>
        </w:tc>
        <w:tc>
          <w:tcPr>
            <w:tcW w:w="1320" w:type="dxa"/>
            <w:vAlign w:val="bottom"/>
          </w:tcPr>
          <w:p>
            <w:pPr>
              <w:spacing w:after="0"/>
              <w:rPr>
                <w:sz w:val="24"/>
                <w:szCs w:val="2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w:t>
            </w:r>
          </w:p>
        </w:tc>
        <w:tc>
          <w:tcPr>
            <w:tcW w:w="15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 3/8</w:t>
            </w:r>
          </w:p>
        </w:tc>
        <w:tc>
          <w:tcPr>
            <w:tcW w:w="1040" w:type="dxa"/>
            <w:vAlign w:val="bottom"/>
          </w:tcPr>
          <w:p>
            <w:pPr>
              <w:spacing w:after="0"/>
              <w:rPr>
                <w:sz w:val="24"/>
                <w:szCs w:val="2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1"/>
              </w:rPr>
              <w:t>Second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 5/8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w:t>
            </w:r>
          </w:p>
        </w:tc>
        <w:tc>
          <w:tcPr>
            <w:tcW w:w="1040" w:type="dxa"/>
            <w:vAlign w:val="bottom"/>
          </w:tcPr>
          <w:p>
            <w:pPr>
              <w:spacing w:after="0"/>
              <w:rPr>
                <w:sz w:val="14"/>
                <w:szCs w:val="1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1"/>
              </w:rPr>
              <w:t>Third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 41/61</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1"/>
              </w:rPr>
              <w:t>$ 11/16</w:t>
            </w:r>
          </w:p>
        </w:tc>
        <w:tc>
          <w:tcPr>
            <w:tcW w:w="1040" w:type="dxa"/>
            <w:vAlign w:val="bottom"/>
          </w:tcPr>
          <w:p>
            <w:pPr>
              <w:spacing w:after="0"/>
              <w:rPr>
                <w:sz w:val="14"/>
                <w:szCs w:val="1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1"/>
              </w:rPr>
              <w:t>Fourth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 1/8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 1/4</w:t>
            </w:r>
          </w:p>
        </w:tc>
        <w:tc>
          <w:tcPr>
            <w:tcW w:w="1040" w:type="dxa"/>
            <w:vAlign w:val="bottom"/>
          </w:tcPr>
          <w:p>
            <w:pPr>
              <w:spacing w:after="0"/>
              <w:rPr>
                <w:sz w:val="14"/>
                <w:szCs w:val="14"/>
                <w:color w:val="auto"/>
              </w:rPr>
            </w:pPr>
          </w:p>
        </w:tc>
      </w:tr>
      <w:tr>
        <w:trPr>
          <w:trHeight w:val="841"/>
        </w:trPr>
        <w:tc>
          <w:tcPr>
            <w:tcW w:w="55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HIGH</w:t>
            </w:r>
          </w:p>
        </w:tc>
        <w:tc>
          <w:tcPr>
            <w:tcW w:w="156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LOW</w:t>
            </w:r>
          </w:p>
        </w:tc>
        <w:tc>
          <w:tcPr>
            <w:tcW w:w="104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336"/>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w w:val="80"/>
              </w:rPr>
              <w:t>First Quarter............................................................................</w:t>
            </w:r>
          </w:p>
        </w:tc>
        <w:tc>
          <w:tcPr>
            <w:tcW w:w="1320" w:type="dxa"/>
            <w:vAlign w:val="bottom"/>
          </w:tcPr>
          <w:p>
            <w:pPr>
              <w:spacing w:after="0"/>
              <w:rPr>
                <w:sz w:val="24"/>
                <w:szCs w:val="2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 25/32</w:t>
            </w:r>
          </w:p>
        </w:tc>
        <w:tc>
          <w:tcPr>
            <w:tcW w:w="156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1"/>
              </w:rPr>
              <w:t>$1 5/32</w:t>
            </w:r>
          </w:p>
        </w:tc>
        <w:tc>
          <w:tcPr>
            <w:tcW w:w="1040" w:type="dxa"/>
            <w:vAlign w:val="bottom"/>
          </w:tcPr>
          <w:p>
            <w:pPr>
              <w:spacing w:after="0"/>
              <w:rPr>
                <w:sz w:val="24"/>
                <w:szCs w:val="2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0"/>
              </w:rPr>
              <w:t>Second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 3/8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1"/>
              </w:rPr>
              <w:t>$ 17/32</w:t>
            </w:r>
          </w:p>
        </w:tc>
        <w:tc>
          <w:tcPr>
            <w:tcW w:w="1040" w:type="dxa"/>
            <w:vAlign w:val="bottom"/>
          </w:tcPr>
          <w:p>
            <w:pPr>
              <w:spacing w:after="0"/>
              <w:rPr>
                <w:sz w:val="14"/>
                <w:szCs w:val="1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0"/>
              </w:rPr>
              <w:t>Third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 3/8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1"/>
              </w:rPr>
              <w:t>$ 11/16</w:t>
            </w:r>
          </w:p>
        </w:tc>
        <w:tc>
          <w:tcPr>
            <w:tcW w:w="1040" w:type="dxa"/>
            <w:vAlign w:val="bottom"/>
          </w:tcPr>
          <w:p>
            <w:pPr>
              <w:spacing w:after="0"/>
              <w:rPr>
                <w:sz w:val="14"/>
                <w:szCs w:val="1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0"/>
              </w:rPr>
              <w:t>Fourth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 5/8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spacing w:after="0"/>
              <w:rPr>
                <w:sz w:val="14"/>
                <w:szCs w:val="14"/>
                <w:color w:val="auto"/>
              </w:rPr>
            </w:pPr>
          </w:p>
        </w:tc>
      </w:tr>
      <w:tr>
        <w:trPr>
          <w:trHeight w:val="505"/>
        </w:trPr>
        <w:tc>
          <w:tcPr>
            <w:tcW w:w="77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No cash dividends have been declared on the Company common stock since</w:t>
            </w: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Company's inception.</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77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As of March 20th, 2001, there were approximately 278 holders of record of</w:t>
            </w: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common stock.</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73"/>
        </w:trPr>
        <w:tc>
          <w:tcPr>
            <w:tcW w:w="5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60" w:type="dxa"/>
            <w:vAlign w:val="bottom"/>
            <w:gridSpan w:val="3"/>
          </w:tcPr>
          <w:p>
            <w:pPr>
              <w:jc w:val="right"/>
              <w:ind w:right="1147"/>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tcPr>
          <w:p>
            <w:pPr>
              <w:spacing w:after="0"/>
              <w:rPr>
                <w:sz w:val="24"/>
                <w:szCs w:val="24"/>
                <w:color w:val="auto"/>
              </w:rPr>
            </w:pPr>
          </w:p>
        </w:tc>
      </w:tr>
      <w:tr>
        <w:trPr>
          <w:trHeight w:val="168"/>
        </w:trPr>
        <w:tc>
          <w:tcPr>
            <w:tcW w:w="5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(IN THOUSANDS, EXCEPT PER SHARE AMOUNTS)</w:t>
            </w:r>
          </w:p>
        </w:tc>
        <w:tc>
          <w:tcPr>
            <w:tcW w:w="104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collaborative &amp; licensing agreements(1)....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$5,022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$8,803</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$10,617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$7,104</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 expenses.......................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5,979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9,984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17,659</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18,604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17,130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 research and development.......................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8,344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ECT wind-down and corporate relocation expenses.........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3,327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6,048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$(11,125)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$(15,709)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$(12,628)</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$(18,114)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$(13,759)</w:t>
            </w:r>
          </w:p>
        </w:tc>
      </w:tr>
      <w:tr>
        <w:trPr>
          <w:trHeight w:val="505"/>
        </w:trPr>
        <w:tc>
          <w:tcPr>
            <w:tcW w:w="55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available to common</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$(0.57)</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before cumulative effect of an accounting</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Net loss per share applicable to common shareholders....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r>
      <w:tr>
        <w:trPr>
          <w:trHeight w:val="505"/>
        </w:trPr>
        <w:tc>
          <w:tcPr>
            <w:tcW w:w="55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20,067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18,291</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16,704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15,430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620" w:hanging="610"/>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3 in the consolidated financial statements</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2 in the consolidated financial statements</w:t>
      </w:r>
    </w:p>
    <w:p>
      <w:pPr>
        <w:sectPr>
          <w:pgSz w:w="11900" w:h="16838" w:orient="portrait"/>
          <w:cols w:equalWidth="0" w:num="1">
            <w:col w:w="11540"/>
          </w:cols>
          <w:pgMar w:left="220" w:top="785" w:right="1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31,</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42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96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1999</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96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cash equivalents and marketable securities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$ 6,069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$ 4,760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$17,386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$29,050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$42,607</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Restricted investments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16,356</w:t>
            </w:r>
          </w:p>
        </w:tc>
        <w:tc>
          <w:tcPr>
            <w:tcW w:w="8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29,795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15,781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32,866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44,301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58,397</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Long-term debt, including capitalized leases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3,762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Redeemable common stock ...............................</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5,249</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8,159</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22,982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17,897</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28,900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34,747</w:t>
            </w:r>
          </w:p>
        </w:tc>
      </w:tr>
    </w:tbl>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jc w:val="both"/>
        <w:ind w:right="3839" w:firstLine="612"/>
        <w:spacing w:after="0" w:line="235"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should be read in conjunction with the accompanying financial statements and the related footnotes thereto.</w:t>
      </w:r>
    </w:p>
    <w:p>
      <w:pPr>
        <w:spacing w:after="0" w:line="174"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The statements contained in this report, other than statements of historical fact, constitute forward-looking statements. Such statements include, without limitation, all statements as to expectation or belief and statements as to our future results of operations, the progress of our research and product development programs, the need for, and timing of, additional capital and capital expenditures, partnering prospects,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165"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ectPr>
          <w:pgSz w:w="11900" w:h="16838" w:orient="portrait"/>
          <w:cols w:equalWidth="0" w:num="1">
            <w:col w:w="10239"/>
          </w:cols>
          <w:pgMar w:left="220" w:top="1122" w:right="1440" w:bottom="1440" w:gutter="0" w:footer="0" w:header="0"/>
        </w:sectPr>
      </w:pPr>
    </w:p>
    <w:bookmarkStart w:id="19" w:name="page20"/>
    <w:bookmarkEnd w:id="19"/>
    <w:p>
      <w:pPr>
        <w:ind w:right="3239" w:firstLine="612"/>
        <w:spacing w:after="0" w:line="236"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Revenues totaled $74,000, $5,022,000 and $8,803,000 for the years ending December 31, 2000, 1999 and 1998, respectively. Revenues for 2000 are from Neurotech, S.A. in return for the assignment of our intellectual property assets relating to Encapsulated Cell Technology. Revenues for 1999 and 1998 were from collaborative agreements, earned primarily from a Development, Marketing and License Agreement with AstraZeneca Group plc, which was signed in March 1995 (the "Astra Agreement"). The decrease in revenues from 1998 to 1999 to 2000 resulted primarily from the June 1999 termination of the Astra Agreement.</w:t>
      </w:r>
    </w:p>
    <w:p>
      <w:pPr>
        <w:spacing w:after="0" w:line="16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Research and development expenses totaled $5,979,000 in 2000, as compared to $9,984,000 in 1999 and $17,659,000 in 1998. The decrease of $4,005,000, or 40%, from 1999 to 2000 and the decrease of $7,675,000 or 43%, from 1998 to 1999, was primarily attributable to the wind-down of research activities relating to our encapsulated cell technology, precipitated by termination of the Astra Agreement.</w:t>
      </w:r>
    </w:p>
    <w:p>
      <w:pPr>
        <w:spacing w:after="0" w:line="175"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General and administrative expenses were $3,361,000 in 2000, compared with $4,927,000 in 1999 and $4,603,000 in 1998. The decrease of $1,566,000 or 32%, from 1999 to 2000 was primarily attributable to the relocation of our headquarters to a smaller facility as well as a reduction of personnel. Due to the wind-down of our encapsulated cell technology and relocation of our headquarters in October, the 1999 expenses are less than they would have been had these events not occurred.</w:t>
      </w:r>
    </w:p>
    <w:p>
      <w:pPr>
        <w:spacing w:after="0" w:line="17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Wind-down expenses related to our ECT research, our Rhode Island operations and the transfer of our headquarters to Sunnyvale, California totaled $3,327,000 and $6,048,000 for 2000 and 1999, respectively. No such expenses were incurred in 1998. 1999 expenses included accruals of approximately $1.6 million for employee severance costs, $1.9 million in losses and reserves for the write-down of related patents and fixed assets, $1.2 million for our costs of settlement of a 1989 funding agreement with RIPSAT, $700,000 of estimated additional carrying costs through June 30, 2000, and other related expenses totaling $760,000.</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as we were unable to dispose of them, as expected. We have created a reserve of $1,780,000 related to the carrying costs for the Rhode Island facilities through 2001. On February 2001, we subleased portions of the facilities and are actively seeking to sublease, assign or sell our remaining interests in the properties. However, there can be no assurance that we will be able to dispose of these facilities in a reasonable time, if at all.</w:t>
      </w:r>
    </w:p>
    <w:p>
      <w:pPr>
        <w:spacing w:after="0" w:line="165"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Interest income for the years ended December 31, 2000, 1999 and 1998 totaled $303,000, $564,000 and $1,254,000, respectively. The average cash and investment balances were $5,668,000, $10,663,000 and $21,795,000 in 2000, 1999 and 1998, respectively. The decrease in interest income from 1998 to 1999 to 2000 was attributable to lower average balances.</w:t>
      </w:r>
    </w:p>
    <w:p>
      <w:pPr>
        <w:spacing w:after="0" w:line="174"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In 2000, interest expense was $273,000, compared to $335,000 in 1999 and $472,000 in 1998. The decrease from 1998 to 1999 to 2000 was attributable to lower outstanding debt and capital lease balances.</w:t>
      </w:r>
    </w:p>
    <w:p>
      <w:pPr>
        <w:spacing w:after="0" w:line="174" w:lineRule="exact"/>
        <w:rPr>
          <w:sz w:val="20"/>
          <w:szCs w:val="20"/>
          <w:color w:val="auto"/>
        </w:rPr>
      </w:pPr>
    </w:p>
    <w:p>
      <w:pPr>
        <w:ind w:right="4099" w:firstLine="612"/>
        <w:spacing w:after="0" w:line="234" w:lineRule="auto"/>
        <w:rPr>
          <w:sz w:val="20"/>
          <w:szCs w:val="20"/>
          <w:color w:val="auto"/>
        </w:rPr>
      </w:pPr>
      <w:r>
        <w:rPr>
          <w:rFonts w:ascii="Courier New" w:cs="Courier New" w:eastAsia="Courier New" w:hAnsi="Courier New"/>
          <w:sz w:val="15"/>
          <w:szCs w:val="15"/>
          <w:color w:val="auto"/>
        </w:rPr>
        <w:t>During the second quarter 2000 we realized a $1,427,000 gain in connection with the sale of a portion of our</w:t>
      </w:r>
    </w:p>
    <w:p>
      <w:pPr>
        <w:sectPr>
          <w:pgSz w:w="11900" w:h="16838" w:orient="portrait"/>
          <w:cols w:equalWidth="0" w:num="1">
            <w:col w:w="10239"/>
          </w:cols>
          <w:pgMar w:left="220" w:top="792" w:right="1440" w:bottom="1440" w:gutter="0" w:footer="0" w:header="0"/>
        </w:sectPr>
      </w:pPr>
    </w:p>
    <w:bookmarkStart w:id="20" w:name="page21"/>
    <w:bookmarkEnd w:id="20"/>
    <w:p>
      <w:pPr>
        <w:ind w:right="3579"/>
        <w:spacing w:after="0" w:line="235" w:lineRule="auto"/>
        <w:rPr>
          <w:sz w:val="20"/>
          <w:szCs w:val="20"/>
          <w:color w:val="auto"/>
        </w:rPr>
      </w:pPr>
      <w:r>
        <w:rPr>
          <w:rFonts w:ascii="Courier New" w:cs="Courier New" w:eastAsia="Courier New" w:hAnsi="Courier New"/>
          <w:sz w:val="15"/>
          <w:szCs w:val="15"/>
          <w:color w:val="auto"/>
        </w:rPr>
        <w:t>investment in Modex. Modex Therapeutics Ltd ("Modex"), a Swiss biotechnology company that completed an initial public offering on June 23, 2000, and is publicly traded on the Swiss Neue Market exchange.</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net loss in 2000, 1999 and 1998 was $11,125,000, $15,709,000,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$12,628,000, respectively. The loss per share was $0.58, $.84 and $.69 in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1998, respectively. The decrease from 1999 to 2000 is primarily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wind-down of our encapsulated cell technology research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Rhode Island operations and offset by the elimination of revenue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Astra Agreement. The increase from 1998 to 1999 is primarily attributable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elimination of revenue from the Astra Agreement, which was terminated in June</w:t>
      </w:r>
    </w:p>
    <w:p>
      <w:pPr>
        <w:spacing w:after="0" w:line="237" w:lineRule="auto"/>
        <w:rPr>
          <w:sz w:val="20"/>
          <w:szCs w:val="20"/>
          <w:color w:val="auto"/>
        </w:rPr>
      </w:pPr>
      <w:r>
        <w:rPr>
          <w:rFonts w:ascii="Courier New" w:cs="Courier New" w:eastAsia="Courier New" w:hAnsi="Courier New"/>
          <w:sz w:val="15"/>
          <w:szCs w:val="15"/>
          <w:color w:val="auto"/>
        </w:rPr>
        <w:t>1999, as well as expenses related to the wind-down of our encapsulated cell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research and our other Rhode Island operations, the transfer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headquarters to Sunnyvale, California and an accrual for the our</w:t>
      </w:r>
    </w:p>
    <w:p>
      <w:pPr>
        <w:spacing w:after="0" w:line="237" w:lineRule="auto"/>
        <w:rPr>
          <w:sz w:val="20"/>
          <w:szCs w:val="20"/>
          <w:color w:val="auto"/>
        </w:rPr>
      </w:pPr>
      <w:r>
        <w:rPr>
          <w:rFonts w:ascii="Courier New" w:cs="Courier New" w:eastAsia="Courier New" w:hAnsi="Courier New"/>
          <w:sz w:val="15"/>
          <w:szCs w:val="15"/>
          <w:color w:val="auto"/>
        </w:rPr>
        <w:t>estimate of the costs of settlement of a funding agreement with RIPSAT.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75"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had cash and cash equivalents totaling $6,069,000 at December 31, 2000. Cash equivalents are invested in money market funds. We also held shares of Modex Therapeutics Ltd ("Modex"), a Swiss biotechnology company that completed an initial public offering on June 23, 2000, and is publicly traded on the Swiss Neue Market exchange. During the second quarter 2000 we realized a $1,427,000 gain in connection with the sale of a portion of our investment in Modex. On January 9, 2001, we sold 22,616 Modex shares for a net price of 182.00 Swiss francs per share, which converts to $112.76 per share, for total proceeds of $2,550,000. On April 30, 2001, we sold the remaining 103,577 Modex shares for a net price of 87.30 Swiss Francs per share, which converts to approximately $50.30, for total proceeds of approximately $5,200,000.</w:t>
      </w:r>
    </w:p>
    <w:p>
      <w:pPr>
        <w:spacing w:after="0" w:line="165"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the third quarter of 1999, we announced restructuring plans for the wind-down of operations relating to our ECT and to focus our resources on the research and development of our platform of proprietary stem cell technologies. We terminated approximately 68 full time employees and, in October 1999, relocated our corporate headquarters to Sunnyvale, California.</w:t>
      </w:r>
    </w:p>
    <w:p>
      <w:pPr>
        <w:spacing w:after="0" w:line="174"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were used to fund our continuing operations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On December 30, 1999 we sold our ECT and assigned our intellectual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assets in it to Neurotech S.A. for a payment of $3,000,000, royalties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future product sales, and a portion of certain Neurotech revenues from third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parties. In addition, we retained certain non-exclusive rights to use ECT in</w:t>
      </w:r>
    </w:p>
    <w:p>
      <w:pPr>
        <w:spacing w:after="0" w:line="237" w:lineRule="auto"/>
        <w:rPr>
          <w:sz w:val="20"/>
          <w:szCs w:val="20"/>
          <w:color w:val="auto"/>
        </w:rPr>
      </w:pPr>
      <w:r>
        <w:rPr>
          <w:rFonts w:ascii="Courier New" w:cs="Courier New" w:eastAsia="Courier New" w:hAnsi="Courier New"/>
          <w:sz w:val="15"/>
          <w:szCs w:val="15"/>
          <w:color w:val="auto"/>
        </w:rPr>
        <w:t>combination with our proprietary stem cell technologies and in the field of</w:t>
      </w:r>
    </w:p>
    <w:p>
      <w:pPr>
        <w:spacing w:after="0" w:line="238" w:lineRule="auto"/>
        <w:rPr>
          <w:sz w:val="20"/>
          <w:szCs w:val="20"/>
          <w:color w:val="auto"/>
        </w:rPr>
      </w:pPr>
      <w:r>
        <w:rPr>
          <w:rFonts w:ascii="Courier New" w:cs="Courier New" w:eastAsia="Courier New" w:hAnsi="Courier New"/>
          <w:sz w:val="15"/>
          <w:szCs w:val="15"/>
          <w:color w:val="auto"/>
        </w:rPr>
        <w:t>vaccines for prevention and treatment of infectious diseases. We received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$2,800,000 of the initial payment on January 3, 2000 with a remaining balance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 placed in escrow, to be released to us upon demonstration satisfactory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Neurotech that certain intellectual property is not subject to other claims.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received the remaining balance of $200,000 on December 04, 2000.</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In July 1999, as a result of our decision to close our Rhode Island facilities, the Rhode Island Partnership for Science and Technology, or RIPSAT, alleged that we were in default under a June, 1989 Funding Agreement, and demanded payment of approximately $2.6 million. While we believe we were not in default under the Funding Agreement, we deemed it best to resolve the dispute without litigation and, on March 3, 2000, entered into a settlement agreement with RIPSAT, the Rhode Island Industrial Recreational Building Authority, or IRBA, and the Rhode Island Industrial Facilities Corporation, or RIIFC. We agreed to pay RIPSAT $1,172,000 in full satisfaction of all of our obligations to them under the Funding Agreement. At the same time, IRBA agreed to return to us the full amount of our debt service reserve, comprising</w:t>
      </w:r>
    </w:p>
    <w:p>
      <w:pPr>
        <w:sectPr>
          <w:pgSz w:w="11900" w:h="16838" w:orient="portrait"/>
          <w:cols w:equalWidth="0" w:num="1">
            <w:col w:w="10239"/>
          </w:cols>
          <w:pgMar w:left="220" w:top="792" w:right="1440" w:bottom="1440" w:gutter="0" w:footer="0" w:header="0"/>
        </w:sectPr>
      </w:pPr>
    </w:p>
    <w:bookmarkStart w:id="21" w:name="page22"/>
    <w:bookmarkEnd w:id="21"/>
    <w:p>
      <w:pPr>
        <w:jc w:val="both"/>
        <w:ind w:right="3319"/>
        <w:spacing w:after="0" w:line="235" w:lineRule="auto"/>
        <w:rPr>
          <w:sz w:val="20"/>
          <w:szCs w:val="20"/>
          <w:color w:val="auto"/>
        </w:rPr>
      </w:pPr>
      <w:r>
        <w:rPr>
          <w:rFonts w:ascii="Courier New" w:cs="Courier New" w:eastAsia="Courier New" w:hAnsi="Courier New"/>
          <w:sz w:val="15"/>
          <w:szCs w:val="15"/>
          <w:color w:val="auto"/>
        </w:rPr>
        <w:t>approximately $610,000 of principal and interest, relating to the bonds we had with IRBA and RIIFC. The $610,000 debt service reserve was transferred directly to RIPSAT, leaving the remainder of approximately $562,000 to be paid by us. We made this payment in March of 2000.</w:t>
      </w:r>
    </w:p>
    <w:p>
      <w:pPr>
        <w:spacing w:after="0" w:line="17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34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6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34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 addition, the Fund has the option for twelve months to purchase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million of additional common stock. On August 23, 2000 the Fund exercised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 of its option to purchase additional common stock at $5.53 per share.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Fund paid $750,000 of the purchase price in connection with the closing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 2000, and paid the remaining $250,000 upon effectiveness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covering the shares owned by the Fund. At the closing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w:t>
      </w:r>
    </w:p>
    <w:p>
      <w:pPr>
        <w:sectPr>
          <w:pgSz w:w="11900" w:h="16838" w:orient="portrait"/>
          <w:cols w:equalWidth="0" w:num="1">
            <w:col w:w="10239"/>
          </w:cols>
          <w:pgMar w:left="220" w:top="792" w:right="1440" w:bottom="1440" w:gutter="0" w:footer="0" w:header="0"/>
        </w:sectPr>
      </w:pPr>
    </w:p>
    <w:bookmarkStart w:id="22" w:name="page23"/>
    <w:bookmarkEnd w:id="22"/>
    <w:p>
      <w:pPr>
        <w:ind w:right="3239"/>
        <w:spacing w:after="0" w:line="236" w:lineRule="auto"/>
        <w:rPr>
          <w:sz w:val="20"/>
          <w:szCs w:val="20"/>
          <w:color w:val="auto"/>
        </w:rPr>
      </w:pPr>
      <w:r>
        <w:rPr>
          <w:rFonts w:ascii="Courier New" w:cs="Courier New" w:eastAsia="Courier New" w:hAnsi="Courier New"/>
          <w:sz w:val="15"/>
          <w:szCs w:val="15"/>
          <w:color w:val="auto"/>
        </w:rPr>
        <w:t>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174"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6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 While our cash requirements may vary, as noted above, we currently expect that our existing capital resources, including income earned on invested capital, will be sufficient to fund our operations through December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We are required to adopt SFAS 133 effective January 1, 2001. Because we do not hold any derivative instruments and do not engage in hedging activities, management does not believe the adoption of SFAS 133 will have an impact on our financial position or results of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QUANTITIVE AND QUALITATIVE DISCLOSURES ABOUT MARKET RISK</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On December 31, 2000, we had an investment in common stock of Modex Therapeutics Ltd. (Modex), a Swiss Biotherapeutics company. On January 9, 2001, we sold 22,616 Modex shares for a net price of 182.00 Swiss francs per share, which converts to $112.76 per share, for total proceeds of $2,550,230. On April 30, 2001, we sold the remaining 103,577 Modex shares for a net price of 87.30 Swiss Francs per share, which converts to approximately $50.30, for total proceeds of approximately $5,200,000.</w:t>
      </w:r>
    </w:p>
    <w:p>
      <w:pPr>
        <w:sectPr>
          <w:pgSz w:w="11900" w:h="16838" w:orient="portrait"/>
          <w:cols w:equalWidth="0" w:num="1">
            <w:col w:w="10239"/>
          </w:cols>
          <w:pgMar w:left="220" w:top="79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FINANCIAL STATEMENTS AND SUPPLEMENTARY DATA</w:t>
      </w:r>
    </w:p>
    <w:p>
      <w:pPr>
        <w:sectPr>
          <w:pgSz w:w="11900" w:h="16838" w:orient="portrait"/>
          <w:cols w:equalWidth="0" w:num="1">
            <w:col w:w="10239"/>
          </w:cols>
          <w:pgMar w:left="220" w:top="792" w:right="1440" w:bottom="1440" w:gutter="0" w:footer="0" w:header="0"/>
        </w:sectPr>
      </w:pPr>
    </w:p>
    <w:bookmarkStart w:id="24" w:name="page25"/>
    <w:bookmarkEnd w:id="24"/>
    <w:p>
      <w:pPr>
        <w:ind w:left="140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237" w:lineRule="auto"/>
        <w:rPr>
          <w:sz w:val="20"/>
          <w:szCs w:val="20"/>
          <w:color w:val="auto"/>
        </w:rPr>
      </w:pPr>
      <w:r>
        <w:rPr>
          <w:rFonts w:ascii="Courier New" w:cs="Courier New" w:eastAsia="Courier New" w:hAnsi="Courier New"/>
          <w:sz w:val="15"/>
          <w:szCs w:val="15"/>
          <w:color w:val="auto"/>
        </w:rPr>
        <w:t>StemCells,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StemCells, Inc. (formerly CytoTherapeutics, Inc.) as of December 31, 2000 and 1999, and the related consolidated statements of operations, changes in redeemable common stock and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StemCells,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175" w:lineRule="exact"/>
        <w:rPr>
          <w:sz w:val="20"/>
          <w:szCs w:val="20"/>
          <w:color w:val="auto"/>
        </w:rPr>
      </w:pPr>
    </w:p>
    <w:p>
      <w:pPr>
        <w:ind w:right="3679" w:firstLine="612"/>
        <w:spacing w:after="0" w:line="235"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the beneficial conversion of preferred shares.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ERNST &amp; YOUNG LLP</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237" w:lineRule="auto"/>
        <w:rPr>
          <w:sz w:val="20"/>
          <w:szCs w:val="20"/>
          <w:color w:val="auto"/>
        </w:rPr>
      </w:pPr>
      <w:r>
        <w:rPr>
          <w:rFonts w:ascii="Courier New" w:cs="Courier New" w:eastAsia="Courier New" w:hAnsi="Courier New"/>
          <w:sz w:val="15"/>
          <w:szCs w:val="15"/>
          <w:color w:val="auto"/>
        </w:rPr>
        <w:t>February 23, 2001</w:t>
      </w:r>
    </w:p>
    <w:p>
      <w:pPr>
        <w:sectPr>
          <w:pgSz w:w="11900" w:h="16838" w:orient="portrait"/>
          <w:cols w:equalWidth="0" w:num="1">
            <w:col w:w="10239"/>
          </w:cols>
          <w:pgMar w:left="220" w:top="785"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7760" w:type="dxa"/>
            <w:vAlign w:val="bottom"/>
          </w:tcPr>
          <w:p>
            <w:pPr>
              <w:spacing w:after="0"/>
              <w:rPr>
                <w:sz w:val="20"/>
                <w:szCs w:val="20"/>
                <w:color w:val="auto"/>
              </w:rPr>
            </w:pPr>
            <w:r>
              <w:rPr>
                <w:rFonts w:ascii="Courier New" w:cs="Courier New" w:eastAsia="Courier New" w:hAnsi="Courier New"/>
                <w:sz w:val="15"/>
                <w:szCs w:val="15"/>
                <w:color w:val="auto"/>
              </w:rPr>
              <w:t>StemCells, Inc. Consolidated Balance Sheets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6,068,947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4,760,064</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Short-term restricted investments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16,356,334</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Accrued interest receivable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16,725</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42,212</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Technology sale receivable ..........................................................</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3,000,000</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Debt service fund ...................................................................</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609,905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 current assets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524,509</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558,674</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current assets ..................................................................</w:t>
            </w:r>
          </w:p>
        </w:tc>
        <w:tc>
          <w:tcPr>
            <w:tcW w:w="20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22,966,515</w:t>
            </w:r>
          </w:p>
        </w:tc>
        <w:tc>
          <w:tcPr>
            <w:tcW w:w="22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8,970,855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Property held for sale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3,203,491</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3,203,491</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Property, plant and equipment, net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1,451,061</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1,747,885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Other assets, net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2,173,912</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1,858,768</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assets ..........................................................................</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29,794,979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15,780,999</w:t>
            </w:r>
          </w:p>
        </w:tc>
      </w:tr>
      <w:tr>
        <w:trPr>
          <w:trHeight w:val="336"/>
        </w:trPr>
        <w:tc>
          <w:tcPr>
            <w:tcW w:w="77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Accounts payable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526,191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631,315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Accrued expenses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837,358</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970,546</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Accrued wind-down costs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1,780,579</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1,634,522</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Current maturities of capital lease obligations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332,083</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324,167</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current liabilities .............................................................</w:t>
            </w:r>
          </w:p>
        </w:tc>
        <w:tc>
          <w:tcPr>
            <w:tcW w:w="20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3,476,211</w:t>
            </w:r>
          </w:p>
        </w:tc>
        <w:tc>
          <w:tcPr>
            <w:tcW w:w="22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3,560,550</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Capital lease obligations, less current maturities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2,605,000</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2,937,083</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Deposits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26,000</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Deferred rent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705,746</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502,353</w:t>
            </w: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Redeemable common stock, $.01 par value; 524,337 shares issued and outstanding at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December 31, 1999, none at December 31, 2000 ........................................</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5,248,610</w:t>
            </w: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Convertible Preferred Stock, $.01 par value; 1,000,000 shares authorized, 2,626</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designated as 6% Cumulative Convertible Preferred Stock 1,500 shares issued and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outstanding at December 31, 2000, none at December 31, 1999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1,500,000</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Common stock, $.01 par value; 45,000,000 shares authorized; 20,956,887 and 18,635,565</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shares issued and outstanding at December 31, 2000 and 1999, respectively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209,569</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186,355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Additional paid-in capital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138,150,067</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123,917,758</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Accumulated deficit .................................................................</w:t>
            </w:r>
          </w:p>
        </w:tc>
        <w:tc>
          <w:tcPr>
            <w:tcW w:w="2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(130,498,187)</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(119,372,710)</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Accumulated other comprehensive income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16,356,334</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Deferred compensation ...............................................................</w:t>
            </w:r>
          </w:p>
        </w:tc>
        <w:tc>
          <w:tcPr>
            <w:tcW w:w="2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(2,735,761)</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(1,225,000)</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stockholders' equity ............................................................</w:t>
            </w:r>
          </w:p>
        </w:tc>
        <w:tc>
          <w:tcPr>
            <w:tcW w:w="20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22,982,022</w:t>
            </w:r>
          </w:p>
        </w:tc>
        <w:tc>
          <w:tcPr>
            <w:tcW w:w="22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3,506,403</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liabilities and stockholders' equity ............................................</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29,794,979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15,780,999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600"/>
          </w:cols>
          <w:pgMar w:left="220" w:top="785" w:right="10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20"/>
                <w:szCs w:val="20"/>
                <w:color w:val="auto"/>
              </w:rPr>
            </w:pPr>
            <w:r>
              <w:rPr>
                <w:rFonts w:ascii="Courier New" w:cs="Courier New" w:eastAsia="Courier New" w:hAnsi="Courier New"/>
                <w:sz w:val="15"/>
                <w:szCs w:val="15"/>
                <w:color w:val="auto"/>
              </w:rPr>
              <w:t>StemCells, Inc. Consolidated Statements of Operations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5"/>
          </w:tcPr>
          <w:p>
            <w:pPr>
              <w:jc w:val="right"/>
              <w:ind w:right="8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5"/>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and licensing agreements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5,021,707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8,803,163</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Research and development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5,979,007</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9,984,027</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17,658,530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General and administrative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3,361,231</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4,927,303</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4,602,758</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Encapsulated Cell Therapy wind-down and corporate relocation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3,327,360</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6,047,806</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12,667,598</w:t>
            </w: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20,959,136</w:t>
            </w:r>
          </w:p>
        </w:tc>
        <w:tc>
          <w:tcPr>
            <w:tcW w:w="22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22,261,288</w:t>
            </w:r>
          </w:p>
        </w:tc>
      </w:tr>
      <w:tr>
        <w:trPr>
          <w:trHeight w:val="336"/>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Loss from operations .................................................</w:t>
            </w:r>
          </w:p>
        </w:tc>
        <w:tc>
          <w:tcPr>
            <w:tcW w:w="22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(12,593,298)</w:t>
            </w:r>
          </w:p>
        </w:tc>
        <w:tc>
          <w:tcPr>
            <w:tcW w:w="22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(15,937,429)</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(13,458,125)</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Interest income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303,746</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564,006</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1,253,781</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2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(272,513)</w:t>
            </w:r>
          </w:p>
        </w:tc>
        <w:tc>
          <w:tcPr>
            <w:tcW w:w="2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(335,203)</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(472,400)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Gain on sale of Investment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1,427,686</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Other income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8,902</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48,914</w:t>
            </w:r>
          </w:p>
        </w:tc>
      </w:tr>
      <w:tr>
        <w:trPr>
          <w:trHeight w:val="336"/>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1,467,821</w:t>
            </w: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228,803</w:t>
            </w:r>
          </w:p>
        </w:tc>
        <w:tc>
          <w:tcPr>
            <w:tcW w:w="22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830,295</w:t>
            </w:r>
          </w:p>
        </w:tc>
      </w:tr>
      <w:tr>
        <w:trPr>
          <w:trHeight w:val="336"/>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loss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(11,125,477)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(15,708,626)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(12,627,830)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Deemed dividend to preferred shareholders ............................</w:t>
            </w:r>
          </w:p>
        </w:tc>
        <w:tc>
          <w:tcPr>
            <w:tcW w:w="2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(265,000)</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Net loss applicable to common shareholders before a cumulative effect</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of a change in accounting principle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(11,390,477)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(15,708,626)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(12,627,830)</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 due to deemed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dividend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(216,000)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loss applicable to common shareholders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(11,606,477)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(15,708,626)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505"/>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Basic and diluted net loss per share applicable to common shareholders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before cumulative effect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Cumulative effect of a change in accounting principle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Basic and diluted net loss per share applicable to common shareholders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Shares used in computing basic and diluted net loss per share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20,067,760</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18,705,838</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18,290,548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340"/>
          </w:cols>
          <w:pgMar w:left="220" w:top="785" w:right="1339" w:bottom="1440" w:gutter="0" w:footer="0" w:header="0"/>
        </w:sectPr>
      </w:pPr>
    </w:p>
    <w:bookmarkStart w:id="27" w:name="page28"/>
    <w:bookmarkEnd w:id="27"/>
    <w:p>
      <w:pPr>
        <w:jc w:val="center"/>
        <w:ind w:right="3139"/>
        <w:spacing w:after="0"/>
        <w:rPr>
          <w:sz w:val="20"/>
          <w:szCs w:val="20"/>
          <w:color w:val="auto"/>
        </w:rPr>
      </w:pPr>
      <w:r>
        <w:rPr>
          <w:rFonts w:ascii="Courier New" w:cs="Courier New" w:eastAsia="Courier New" w:hAnsi="Courier New"/>
          <w:sz w:val="15"/>
          <w:szCs w:val="15"/>
          <w:color w:val="auto"/>
        </w:rPr>
        <w:t>STEMCELLS,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CHANGES IN</w:t>
      </w:r>
    </w:p>
    <w:tbl>
      <w:tblPr>
        <w:tblLayout w:type="fixed"/>
        <w:tblInd w:w="0" w:type="dxa"/>
        <w:tblCellMar>
          <w:top w:w="0" w:type="dxa"/>
          <w:left w:w="0" w:type="dxa"/>
          <w:bottom w:w="0" w:type="dxa"/>
          <w:right w:w="0" w:type="dxa"/>
        </w:tblCellMar>
      </w:tblPr>
      <w:tr>
        <w:trPr>
          <w:trHeight w:val="169"/>
        </w:trPr>
        <w:tc>
          <w:tcPr>
            <w:tcW w:w="5740" w:type="dxa"/>
            <w:vAlign w:val="bottom"/>
            <w:gridSpan w:val="5"/>
          </w:tcPr>
          <w:p>
            <w:pPr>
              <w:ind w:left="1400"/>
              <w:spacing w:after="0" w:line="169" w:lineRule="exact"/>
              <w:rPr>
                <w:sz w:val="20"/>
                <w:szCs w:val="20"/>
                <w:color w:val="auto"/>
              </w:rPr>
            </w:pPr>
            <w:r>
              <w:rPr>
                <w:rFonts w:ascii="Courier New" w:cs="Courier New" w:eastAsia="Courier New" w:hAnsi="Courier New"/>
                <w:sz w:val="15"/>
                <w:szCs w:val="15"/>
                <w:color w:val="auto"/>
                <w:w w:val="99"/>
              </w:rPr>
              <w:t>REDEEMABLE COMMON STOCK AND STOCKHOLDERS' EQUITY</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REDEEMABLE</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COMMON STOCK</w:t>
            </w:r>
          </w:p>
        </w:tc>
        <w:tc>
          <w:tcPr>
            <w:tcW w:w="2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COMMON STOCK</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Balances, December 31, 1997.......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557,754</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$5,583,110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17,526,220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$175,262</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$121,472,844</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Issuance of common stock under the</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43,542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83,622</w:t>
            </w:r>
          </w:p>
        </w:tc>
      </w:tr>
      <w:tr>
        <w:trPr>
          <w:trHeight w:val="168"/>
        </w:trPr>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stock purchase plan.............</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84,812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848</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143,025</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Issuance of common stock--</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StemCells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101,320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1,013</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505,587</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Redeemable common stock lapses....</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(33,417)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(334,500)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33,417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334,166</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11,012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321,108</w:t>
            </w:r>
          </w:p>
        </w:tc>
      </w:tr>
      <w:tr>
        <w:trPr>
          <w:trHeight w:val="168"/>
        </w:trPr>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and cancellations...............</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Change in unrealized losses on</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marketable securities</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Net loss..........................</w:t>
            </w:r>
          </w:p>
        </w:tc>
        <w:tc>
          <w:tcPr>
            <w:tcW w:w="1000" w:type="dxa"/>
            <w:vAlign w:val="bottom"/>
          </w:tcPr>
          <w:p>
            <w:pPr>
              <w:spacing w:after="0"/>
              <w:rPr>
                <w:sz w:val="14"/>
                <w:szCs w:val="14"/>
                <w:color w:val="auto"/>
              </w:rPr>
            </w:pP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w w:val="73"/>
              </w:rPr>
              <w:t>Comprehensive loss................</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6"/>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Balances, December 31, 1998.......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524,337</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5,248,610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17,800,323</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178,003</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122,861,606</w:t>
            </w:r>
          </w:p>
        </w:tc>
      </w:tr>
      <w:tr>
        <w:trPr>
          <w:trHeight w:val="505"/>
        </w:trPr>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6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6"/>
              </w:rPr>
              <w:t>ACCUMULATED</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OTHER</w:t>
            </w:r>
          </w:p>
        </w:tc>
        <w:tc>
          <w:tcPr>
            <w:tcW w:w="140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ACCUMULATED</w:t>
            </w:r>
          </w:p>
        </w:tc>
        <w:tc>
          <w:tcPr>
            <w:tcW w:w="236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DEFERRED</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DEFICIT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INCOME (LOSS)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COMPENSATION</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Balances, December 31, 1997.......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(91,036,254)</w:t>
            </w:r>
          </w:p>
        </w:tc>
        <w:tc>
          <w:tcPr>
            <w:tcW w:w="100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$(8,877)</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$(1,702,820)</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$28,900,155</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Issuance of common stock under the</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84,058</w:t>
            </w:r>
          </w:p>
        </w:tc>
      </w:tr>
      <w:tr>
        <w:trPr>
          <w:trHeight w:val="168"/>
        </w:trPr>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stock purchase plan.............</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143,873</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Issuance of common stock--</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StemCells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506,600</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Redeemable common stock lapses....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334,500</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229,901</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551,009</w:t>
            </w:r>
          </w:p>
        </w:tc>
      </w:tr>
      <w:tr>
        <w:trPr>
          <w:trHeight w:val="168"/>
        </w:trPr>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and cancellations...............</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Change in unrealized losses on</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3,679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3,679</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marketable securities</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Net loss..........................</w:t>
            </w:r>
          </w:p>
        </w:tc>
        <w:tc>
          <w:tcPr>
            <w:tcW w:w="1000" w:type="dxa"/>
            <w:vAlign w:val="bottom"/>
          </w:tcPr>
          <w:p>
            <w:pPr>
              <w:spacing w:after="0"/>
              <w:rPr>
                <w:sz w:val="14"/>
                <w:szCs w:val="14"/>
                <w:color w:val="auto"/>
              </w:rPr>
            </w:pP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(12,627,830)</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(12,627,830)</w:t>
            </w:r>
          </w:p>
        </w:tc>
      </w:tr>
      <w:tr>
        <w:trPr>
          <w:trHeight w:val="336"/>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w w:val="73"/>
              </w:rPr>
              <w:t>Comprehensive loss................</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(12,624,151)</w:t>
            </w:r>
          </w:p>
        </w:tc>
      </w:tr>
      <w:tr>
        <w:trPr>
          <w:trHeight w:val="336"/>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Balances, December 31, 1998.......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(103,664,084)</w:t>
            </w:r>
          </w:p>
        </w:tc>
        <w:tc>
          <w:tcPr>
            <w:tcW w:w="100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(5,198)</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(1,472,919)</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17,897,408</w:t>
            </w:r>
          </w:p>
        </w:tc>
      </w:tr>
    </w:tbl>
    <w:p>
      <w:pPr>
        <w:sectPr>
          <w:pgSz w:w="11900" w:h="16838" w:orient="portrait"/>
          <w:cols w:equalWidth="0" w:num="1">
            <w:col w:w="10239"/>
          </w:cols>
          <w:pgMar w:left="220" w:top="785" w:right="1440" w:bottom="1440" w:gutter="0" w:footer="0" w:header="0"/>
        </w:sectPr>
      </w:pPr>
    </w:p>
    <w:bookmarkStart w:id="28" w:name="page29"/>
    <w:bookmarkEnd w:id="28"/>
    <w:p>
      <w:pPr>
        <w:jc w:val="center"/>
        <w:ind w:right="3139"/>
        <w:spacing w:after="0"/>
        <w:rPr>
          <w:sz w:val="20"/>
          <w:szCs w:val="20"/>
          <w:color w:val="auto"/>
        </w:rPr>
      </w:pPr>
      <w:r>
        <w:rPr>
          <w:rFonts w:ascii="Courier New" w:cs="Courier New" w:eastAsia="Courier New" w:hAnsi="Courier New"/>
          <w:sz w:val="15"/>
          <w:szCs w:val="15"/>
          <w:color w:val="auto"/>
        </w:rPr>
        <w:t>STEMCELLS,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CHANGES IN</w:t>
      </w:r>
    </w:p>
    <w:tbl>
      <w:tblPr>
        <w:tblLayout w:type="fixed"/>
        <w:tblInd w:w="0" w:type="dxa"/>
        <w:tblCellMar>
          <w:top w:w="0" w:type="dxa"/>
          <w:left w:w="0" w:type="dxa"/>
          <w:bottom w:w="0" w:type="dxa"/>
          <w:right w:w="0" w:type="dxa"/>
        </w:tblCellMar>
      </w:tblPr>
      <w:tr>
        <w:trPr>
          <w:trHeight w:val="169"/>
        </w:trPr>
        <w:tc>
          <w:tcPr>
            <w:tcW w:w="7100" w:type="dxa"/>
            <w:vAlign w:val="bottom"/>
            <w:gridSpan w:val="5"/>
          </w:tcPr>
          <w:p>
            <w:pPr>
              <w:ind w:left="880"/>
              <w:spacing w:after="0" w:line="169" w:lineRule="exact"/>
              <w:rPr>
                <w:sz w:val="20"/>
                <w:szCs w:val="20"/>
                <w:color w:val="auto"/>
              </w:rPr>
            </w:pPr>
            <w:r>
              <w:rPr>
                <w:rFonts w:ascii="Courier New" w:cs="Courier New" w:eastAsia="Courier New" w:hAnsi="Courier New"/>
                <w:sz w:val="15"/>
                <w:szCs w:val="15"/>
                <w:color w:val="auto"/>
              </w:rPr>
              <w:t>REDEEMABLE COMMON STOCK AND STOCKHOLDERS' EQUITY (CONTINUED)</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REDEEMABLE</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COMMON STOCK</w:t>
            </w:r>
          </w:p>
        </w:tc>
        <w:tc>
          <w:tcPr>
            <w:tcW w:w="29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ADDITIONAL</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w:t>
            </w:r>
          </w:p>
        </w:tc>
        <w:tc>
          <w:tcPr>
            <w:tcW w:w="29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524,337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$5,248,610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17,800,323</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$178,003</w:t>
            </w:r>
          </w:p>
        </w:tc>
        <w:tc>
          <w:tcPr>
            <w:tcW w:w="1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$122,861,606</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196,213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$1,962</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$318,221</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 under the</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stock purchase plan.............</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57,398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41,619</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90,798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908</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102,502</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490,833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4,908</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513,534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cancellations...............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80,276</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Change in unrealized losses on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marketable securities</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6"/>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524,337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5,248,610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18,635,565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186,355</w:t>
            </w:r>
          </w:p>
        </w:tc>
        <w:tc>
          <w:tcPr>
            <w:tcW w:w="1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123,917,758</w:t>
            </w:r>
          </w:p>
        </w:tc>
      </w:tr>
      <w:tr>
        <w:trPr>
          <w:trHeight w:val="505"/>
        </w:trPr>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6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6"/>
              </w:rPr>
              <w:t>ACCUMULATED</w:t>
            </w: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OTHER</w:t>
            </w:r>
          </w:p>
        </w:tc>
        <w:tc>
          <w:tcPr>
            <w:tcW w:w="1400" w:type="dxa"/>
            <w:vAlign w:val="bottom"/>
          </w:tcPr>
          <w:p>
            <w:pPr>
              <w:spacing w:after="0"/>
              <w:rPr>
                <w:sz w:val="14"/>
                <w:szCs w:val="14"/>
                <w:color w:val="auto"/>
              </w:rPr>
            </w:pP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ACCUMULATED</w:t>
            </w:r>
          </w:p>
        </w:tc>
        <w:tc>
          <w:tcPr>
            <w:tcW w:w="236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DEFERRED</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DEFICIT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INCOME (LOSS)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COMPENSATION</w:t>
            </w: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23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 (103,664,084)</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$(5,198)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$(1,472,919)</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$17,897,408</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$320,183</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 under the</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stock purchase plan.............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42,193</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103,410</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518,442</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cancellations...............</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247,919</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328,195</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Change in unrealized losses on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marketable securities</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5,198</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5,198</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3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(15,708,626)</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(15,708,626)</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(15,703,428)</w:t>
            </w:r>
          </w:p>
        </w:tc>
      </w:tr>
      <w:tr>
        <w:trPr>
          <w:trHeight w:val="336"/>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23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(119,372,710)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(1,225,000)</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3,506,403</w:t>
            </w:r>
          </w:p>
        </w:tc>
      </w:tr>
    </w:tbl>
    <w:p>
      <w:pPr>
        <w:sectPr>
          <w:pgSz w:w="11900" w:h="16838" w:orient="portrait"/>
          <w:cols w:equalWidth="0" w:num="1">
            <w:col w:w="10239"/>
          </w:cols>
          <w:pgMar w:left="220" w:top="785" w:right="1440" w:bottom="1440" w:gutter="0" w:footer="0" w:header="0"/>
        </w:sectPr>
      </w:pPr>
    </w:p>
    <w:bookmarkStart w:id="29" w:name="page30"/>
    <w:bookmarkEnd w:id="29"/>
    <w:p>
      <w:pPr>
        <w:jc w:val="center"/>
        <w:ind w:right="4280"/>
        <w:spacing w:after="0"/>
        <w:rPr>
          <w:sz w:val="20"/>
          <w:szCs w:val="20"/>
          <w:color w:val="auto"/>
        </w:rPr>
      </w:pPr>
      <w:r>
        <w:rPr>
          <w:rFonts w:ascii="Courier New" w:cs="Courier New" w:eastAsia="Courier New" w:hAnsi="Courier New"/>
          <w:sz w:val="15"/>
          <w:szCs w:val="15"/>
          <w:color w:val="auto"/>
        </w:rPr>
        <w:t>STEMCELLS, INC.</w:t>
      </w:r>
    </w:p>
    <w:p>
      <w:pPr>
        <w:jc w:val="center"/>
        <w:ind w:right="4280"/>
        <w:spacing w:after="0" w:line="237" w:lineRule="auto"/>
        <w:rPr>
          <w:sz w:val="20"/>
          <w:szCs w:val="20"/>
          <w:color w:val="auto"/>
        </w:rPr>
      </w:pPr>
      <w:r>
        <w:rPr>
          <w:rFonts w:ascii="Courier New" w:cs="Courier New" w:eastAsia="Courier New" w:hAnsi="Courier New"/>
          <w:sz w:val="15"/>
          <w:szCs w:val="15"/>
          <w:color w:val="auto"/>
        </w:rPr>
        <w:t>CONSOLIDATED STATEMENTS OF CHANGES IN</w:t>
      </w:r>
    </w:p>
    <w:tbl>
      <w:tblPr>
        <w:tblLayout w:type="fixed"/>
        <w:tblInd w:w="0" w:type="dxa"/>
        <w:tblCellMar>
          <w:top w:w="0" w:type="dxa"/>
          <w:left w:w="0" w:type="dxa"/>
          <w:bottom w:w="0" w:type="dxa"/>
          <w:right w:w="0" w:type="dxa"/>
        </w:tblCellMar>
      </w:tblPr>
      <w:tr>
        <w:trPr>
          <w:trHeight w:val="169"/>
        </w:trPr>
        <w:tc>
          <w:tcPr>
            <w:tcW w:w="6440" w:type="dxa"/>
            <w:vAlign w:val="bottom"/>
            <w:gridSpan w:val="4"/>
          </w:tcPr>
          <w:p>
            <w:pPr>
              <w:jc w:val="right"/>
              <w:ind w:right="227"/>
              <w:spacing w:after="0" w:line="169" w:lineRule="exact"/>
              <w:rPr>
                <w:sz w:val="20"/>
                <w:szCs w:val="20"/>
                <w:color w:val="auto"/>
              </w:rPr>
            </w:pPr>
            <w:r>
              <w:rPr>
                <w:rFonts w:ascii="Courier New" w:cs="Courier New" w:eastAsia="Courier New" w:hAnsi="Courier New"/>
                <w:sz w:val="15"/>
                <w:szCs w:val="15"/>
                <w:color w:val="auto"/>
              </w:rPr>
              <w:t>REDEEMABLE COMMON STOCK AND STOCKHOLDERS' EQUITY (CONTINUED)</w:t>
            </w: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2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REDEEMABLE</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2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COMMON STOCK</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PREFERRED STOCK</w:t>
            </w:r>
          </w:p>
        </w:tc>
        <w:tc>
          <w:tcPr>
            <w:tcW w:w="28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COMMON STOCK</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SHARES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524,337</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$5,248,610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18,635,565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$186,355</w:t>
            </w: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Millennium Partners LP,</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net of issuance costs</w:t>
            </w: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$598,563.....................</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1,104,435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$11,044</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 related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license agreements..............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77,800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$778</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6,672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Exercise of employee stock options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608,078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$6,081</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 common stock conversion.</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(524,337)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$(5,248,610)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524,337</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$5,243</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preferred stock.......</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$1,500,000</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cancellations...............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Unrealized gain on short-term</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restricted investments..........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2000.......</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$1,500,000</w:t>
            </w: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20,956,887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$209,569</w:t>
            </w:r>
          </w:p>
        </w:tc>
      </w:tr>
      <w:tr>
        <w:trPr>
          <w:trHeight w:val="505"/>
        </w:trPr>
        <w:tc>
          <w:tcPr>
            <w:tcW w:w="2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ACCUMULATED</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ADDITIONAL</w:t>
            </w: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OTHER</w:t>
            </w:r>
          </w:p>
        </w:tc>
        <w:tc>
          <w:tcPr>
            <w:tcW w:w="1520" w:type="dxa"/>
            <w:vAlign w:val="bottom"/>
          </w:tcPr>
          <w:p>
            <w:pPr>
              <w:spacing w:after="0"/>
              <w:rPr>
                <w:sz w:val="14"/>
                <w:szCs w:val="14"/>
                <w:color w:val="auto"/>
              </w:rPr>
            </w:pP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PAID-IN</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w:t>
            </w:r>
          </w:p>
        </w:tc>
        <w:tc>
          <w:tcPr>
            <w:tcW w:w="21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COMPREHENSIVE</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DEFERRED</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CAPITAL</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DEFICIT</w:t>
            </w:r>
          </w:p>
        </w:tc>
        <w:tc>
          <w:tcPr>
            <w:tcW w:w="56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INCOME (LOSS)</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COMPENSATION</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$123,917,758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$(119,372,710)</w:t>
            </w:r>
          </w:p>
        </w:tc>
        <w:tc>
          <w:tcPr>
            <w:tcW w:w="560" w:type="dxa"/>
            <w:vAlign w:val="bottom"/>
          </w:tcPr>
          <w:p>
            <w:pPr>
              <w:spacing w:after="0"/>
              <w:rPr>
                <w:sz w:val="24"/>
                <w:szCs w:val="2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$3,506,403</w:t>
            </w: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Millennium Partners LP,</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net of issuance costs</w:t>
            </w: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$598,563.....................</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$4,390,393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$4,401,437</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 related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license agreements..............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$364,222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$365,000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$27,112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$27,180</w:t>
            </w: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Exercise of employee stock options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$651,828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$657,909</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 common stock conversion</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$5,243,367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$5,248,610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preferred stock.......</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cancellations...............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$3,555,387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$(1,510,760)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$2,044,627</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Unrealized gain on short-term</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restricted investments..........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$16,356,334</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$16,356,334</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$(11,125,477)</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$(11,125,477)</w:t>
            </w:r>
          </w:p>
        </w:tc>
      </w:tr>
      <w:tr>
        <w:trPr>
          <w:trHeight w:val="336"/>
        </w:trPr>
        <w:tc>
          <w:tcPr>
            <w:tcW w:w="3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$5,230,858</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2000.......</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$138,150,067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$(130,498,187)</w:t>
            </w:r>
          </w:p>
        </w:tc>
        <w:tc>
          <w:tcPr>
            <w:tcW w:w="560" w:type="dxa"/>
            <w:vAlign w:val="bottom"/>
          </w:tcPr>
          <w:p>
            <w:pPr>
              <w:spacing w:after="0"/>
              <w:rPr>
                <w:sz w:val="24"/>
                <w:szCs w:val="24"/>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$16,356,334</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9"/>
              </w:rPr>
              <w:t>$(2,735,761)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$22,982,022</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1380"/>
          </w:cols>
          <w:pgMar w:left="220" w:top="617"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20"/>
                <w:szCs w:val="20"/>
                <w:color w:val="auto"/>
              </w:rPr>
            </w:pPr>
            <w:r>
              <w:rPr>
                <w:rFonts w:ascii="Courier New" w:cs="Courier New" w:eastAsia="Courier New" w:hAnsi="Courier New"/>
                <w:sz w:val="15"/>
                <w:szCs w:val="15"/>
                <w:color w:val="auto"/>
              </w:rPr>
              <w:t>STEMCELLS, INC. CONSOLIDATED STATEMENTS OF CASH FLOWS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0" w:type="dxa"/>
            <w:vAlign w:val="bottom"/>
            <w:gridSpan w:val="4"/>
          </w:tcPr>
          <w:p>
            <w:pPr>
              <w:jc w:val="right"/>
              <w:ind w:right="707"/>
              <w:spacing w:after="0"/>
              <w:rPr>
                <w:sz w:val="20"/>
                <w:szCs w:val="20"/>
                <w:color w:val="auto"/>
              </w:rPr>
            </w:pPr>
            <w:r>
              <w:rPr>
                <w:rFonts w:ascii="Courier New" w:cs="Courier New" w:eastAsia="Courier New" w:hAnsi="Courier New"/>
                <w:sz w:val="15"/>
                <w:szCs w:val="15"/>
                <w:color w:val="auto"/>
                <w:w w:val="96"/>
              </w:rPr>
              <w:t>YEAR ENDED DECEMBER 31,</w:t>
            </w:r>
          </w:p>
        </w:tc>
      </w:tr>
      <w:tr>
        <w:trPr>
          <w:trHeight w:val="168"/>
        </w:trPr>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(11,125,477)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(15,708,626)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(12,627,830)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Adjustments to reconcile net loss to net cash used in operating</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4447"/>
              <w:spacing w:after="0" w:line="168" w:lineRule="exact"/>
              <w:rPr>
                <w:sz w:val="20"/>
                <w:szCs w:val="20"/>
                <w:color w:val="auto"/>
              </w:rPr>
            </w:pPr>
            <w:r>
              <w:rPr>
                <w:rFonts w:ascii="Courier New" w:cs="Courier New" w:eastAsia="Courier New" w:hAnsi="Courier New"/>
                <w:sz w:val="15"/>
                <w:szCs w:val="15"/>
                <w:color w:val="auto"/>
              </w:rPr>
              <w:t>activities: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738,593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1,717,975</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2,244,146</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Acquired research and development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551,009</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 of deferred compensation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2,044,627</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328,195</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Fair market adjustment for property held for sale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non-cash charges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320,183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410,173</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Gain on investment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(1,427,686)</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Loss on sale of property, plant and equipment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1,117,286</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Loss on sale of intangibles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440,486</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1207"/>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interest receivable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25,488</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164,397</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346,577</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Technology receivable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3,000,000</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current assets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315,213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283,000</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(265,665)</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and accrued expenses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(92,255)</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1,344,142</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(2,378,613)</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rent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203,393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279,680</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(2,500,000)</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2,483,856</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cash used in operating activities .........................</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(6,318,104)</w:t>
            </w:r>
          </w:p>
        </w:tc>
        <w:tc>
          <w:tcPr>
            <w:tcW w:w="34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(11,913,282)</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(9,236,347)</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sale of Investments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1,427,686</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Purchases of marketable securities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(4,397,676)</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(18,982,387)</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sales of marketable securities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13,923,813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22,573,625</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Purchases of property, plant and equipment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(151,212)</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(192,747)</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(2,153,525)</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on sale of fixed assets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746,448</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Acquisition of other assets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(886,751)</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(558,311)</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(400,219)</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Disposal of other assets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440,486</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cash provided by investing activities .....................</w:t>
            </w:r>
          </w:p>
        </w:tc>
        <w:tc>
          <w:tcPr>
            <w:tcW w:w="20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389,723</w:t>
            </w:r>
          </w:p>
        </w:tc>
        <w:tc>
          <w:tcPr>
            <w:tcW w:w="340" w:type="dxa"/>
            <w:vAlign w:val="bottom"/>
          </w:tcPr>
          <w:p>
            <w:pPr>
              <w:spacing w:after="0"/>
              <w:rPr>
                <w:sz w:val="24"/>
                <w:szCs w:val="24"/>
                <w:color w:val="auto"/>
              </w:rPr>
            </w:pP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9,962,013</w:t>
            </w:r>
          </w:p>
        </w:tc>
        <w:tc>
          <w:tcPr>
            <w:tcW w:w="2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1,037,494</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issuance of common stock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4,401,437</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145,603</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227,931</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the exercise of stock options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685,089</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518,442</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1,364</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Common stock issued for agreements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365,000</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issuance of preferred stock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1,500,000</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debt financings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1,259,300</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Change in debt service fund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609,905</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Repayments of debt and lease obligations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(324,167)</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(1,817,500)</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(1,366,655)</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cash provided by (used in) financing activities ...........</w:t>
            </w:r>
          </w:p>
        </w:tc>
        <w:tc>
          <w:tcPr>
            <w:tcW w:w="20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7,237,264</w:t>
            </w:r>
          </w:p>
        </w:tc>
        <w:tc>
          <w:tcPr>
            <w:tcW w:w="34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(1,153,455)</w:t>
            </w:r>
          </w:p>
        </w:tc>
        <w:tc>
          <w:tcPr>
            <w:tcW w:w="2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121,940</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Increase (decrease) in cash and cash equivalents ..............</w:t>
            </w:r>
          </w:p>
        </w:tc>
        <w:tc>
          <w:tcPr>
            <w:tcW w:w="20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1,308,883</w:t>
            </w:r>
          </w:p>
        </w:tc>
        <w:tc>
          <w:tcPr>
            <w:tcW w:w="34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(3,104,724)</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(8,076,913)</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year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4,760,064</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7,864,788</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15,941,701</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Cash and cash equivalents at end of the year ..................</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6,068,947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4,760,064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7,864,788</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paid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272,513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335,203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444,047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239"/>
          </w:cols>
          <w:pgMar w:left="220" w:top="78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StemCells, Inc. Notes to Consolidated Financial Statements December 31, 2000</w:t>
      </w:r>
    </w:p>
    <w:p>
      <w:pPr>
        <w:spacing w:after="0" w:line="166" w:lineRule="exact"/>
        <w:rPr>
          <w:sz w:val="20"/>
          <w:szCs w:val="20"/>
          <w:color w:val="auto"/>
        </w:rPr>
      </w:pPr>
    </w:p>
    <w:p>
      <w:pPr>
        <w:ind w:left="360" w:hanging="350"/>
        <w:spacing w:after="0"/>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StemCells, Inc. (the "Company") is a biopharmaceutical company that operates in one segment, engaged in the development of novel stem cell therapies designed to treat human diseases and disorders. On May 23, 2000, the Company's name was changed to Stem Cells, Inc. from CytoTherapeutics, Inc. by vote of the shareholders at the Annual Meeting.</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As of December 31, 2000, the Company had cash and cash equivalents of</w:t>
      </w:r>
    </w:p>
    <w:p>
      <w:pPr>
        <w:spacing w:after="0" w:line="237" w:lineRule="auto"/>
        <w:rPr>
          <w:sz w:val="20"/>
          <w:szCs w:val="20"/>
          <w:color w:val="auto"/>
        </w:rPr>
      </w:pPr>
      <w:r>
        <w:rPr>
          <w:rFonts w:ascii="Courier New" w:cs="Courier New" w:eastAsia="Courier New" w:hAnsi="Courier New"/>
          <w:sz w:val="15"/>
          <w:szCs w:val="15"/>
          <w:color w:val="auto"/>
        </w:rPr>
        <w:t>approximately $6.1 million and a restricted short-term equity investment of</w:t>
      </w:r>
    </w:p>
    <w:p>
      <w:pPr>
        <w:spacing w:after="0" w:line="238" w:lineRule="auto"/>
        <w:rPr>
          <w:sz w:val="20"/>
          <w:szCs w:val="20"/>
          <w:color w:val="auto"/>
        </w:rPr>
      </w:pPr>
      <w:r>
        <w:rPr>
          <w:rFonts w:ascii="Courier New" w:cs="Courier New" w:eastAsia="Courier New" w:hAnsi="Courier New"/>
          <w:sz w:val="15"/>
          <w:szCs w:val="15"/>
          <w:color w:val="auto"/>
        </w:rPr>
        <w:t>approximately $16.4 million in Modex Therapeutics, a Swiss Biotherapeutics</w:t>
      </w:r>
    </w:p>
    <w:p>
      <w:pPr>
        <w:spacing w:after="0" w:line="237" w:lineRule="auto"/>
        <w:rPr>
          <w:sz w:val="20"/>
          <w:szCs w:val="20"/>
          <w:color w:val="auto"/>
        </w:rPr>
      </w:pPr>
      <w:r>
        <w:rPr>
          <w:rFonts w:ascii="Courier New" w:cs="Courier New" w:eastAsia="Courier New" w:hAnsi="Courier New"/>
          <w:sz w:val="15"/>
          <w:szCs w:val="15"/>
          <w:color w:val="auto"/>
        </w:rPr>
        <w:t>company. Since inception, the Company has incurred annual losses and negative</w:t>
      </w:r>
    </w:p>
    <w:p>
      <w:pPr>
        <w:spacing w:after="0" w:line="238" w:lineRule="auto"/>
        <w:rPr>
          <w:sz w:val="20"/>
          <w:szCs w:val="20"/>
          <w:color w:val="auto"/>
        </w:rPr>
      </w:pPr>
      <w:r>
        <w:rPr>
          <w:rFonts w:ascii="Courier New" w:cs="Courier New" w:eastAsia="Courier New" w:hAnsi="Courier New"/>
          <w:sz w:val="15"/>
          <w:szCs w:val="15"/>
          <w:color w:val="auto"/>
        </w:rPr>
        <w:t>cash flows from operations and has an accumulated deficit of approximately</w:t>
      </w:r>
    </w:p>
    <w:p>
      <w:pPr>
        <w:spacing w:after="0" w:line="237" w:lineRule="auto"/>
        <w:rPr>
          <w:sz w:val="20"/>
          <w:szCs w:val="20"/>
          <w:color w:val="auto"/>
        </w:rPr>
      </w:pPr>
      <w:r>
        <w:rPr>
          <w:rFonts w:ascii="Courier New" w:cs="Courier New" w:eastAsia="Courier New" w:hAnsi="Courier New"/>
          <w:sz w:val="15"/>
          <w:szCs w:val="15"/>
          <w:color w:val="auto"/>
        </w:rPr>
        <w:t>$130.5 million at December 31, 2000. The Company has not derived any revenues</w:t>
      </w:r>
    </w:p>
    <w:p>
      <w:pPr>
        <w:spacing w:after="0" w:line="238" w:lineRule="auto"/>
        <w:rPr>
          <w:sz w:val="20"/>
          <w:szCs w:val="20"/>
          <w:color w:val="auto"/>
        </w:rPr>
      </w:pPr>
      <w:r>
        <w:rPr>
          <w:rFonts w:ascii="Courier New" w:cs="Courier New" w:eastAsia="Courier New" w:hAnsi="Courier New"/>
          <w:sz w:val="15"/>
          <w:szCs w:val="15"/>
          <w:color w:val="auto"/>
        </w:rPr>
        <w:t>from the sale of any products, and does not expect to receive revenues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sales for at least several years. As a result, the Company is dependent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external financing from equity and debt offerings and revenues from</w:t>
      </w:r>
    </w:p>
    <w:p>
      <w:pPr>
        <w:spacing w:after="0" w:line="237" w:lineRule="auto"/>
        <w:rPr>
          <w:sz w:val="20"/>
          <w:szCs w:val="20"/>
          <w:color w:val="auto"/>
        </w:rPr>
      </w:pPr>
      <w:r>
        <w:rPr>
          <w:rFonts w:ascii="Courier New" w:cs="Courier New" w:eastAsia="Courier New" w:hAnsi="Courier New"/>
          <w:sz w:val="15"/>
          <w:szCs w:val="15"/>
          <w:color w:val="auto"/>
        </w:rPr>
        <w:t>collaborative research arrangements with corporate sponsors to finance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There are no such collaborative research arrangements at this time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there can be no assurance that such financing or partnering revenues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when needed or on terms acceptable to the Company.</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As noted above, the Company has a restricted investment in Modex Therapeutics, a Swiss Biotherapeutics company with a fair market value of approximately $16.4 million at December 31, 2000. On January 9, 2001, the Company sold 22,616 shares of Modex common stock for total proceeds of approximately $2.5 million. The Company is restricted from selling any of the remaining 103,577 shares until April 12, 2001. The value of the Company's holdings is subject to market risk and foreign currency fluctuation and could decrease significantly. The Company is currently in discussions with Modex to sell the remaining shares during 2001. If the Company decided to sell the Modex shares, due to relatively small trading volume in Modex shares and the relatively large size of the Company holdings, or other factors, the Company may not be able to sell its Modex shares at their market value or at all, and the Company may have to sell these shares at a significant discount to the market price.</w:t>
      </w:r>
    </w:p>
    <w:p>
      <w:pPr>
        <w:spacing w:after="0" w:line="174"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If the Company is unable to obtain the necessary proceeds from the sale of Modex shares, significant reductions in spending and the delay or cancellation of planned activities may be necessary. In such event, the Company intends to implement expense reduction plans in a timely manner to enable the Company to meet its operating cash requirements through December 31, 2001.</w:t>
      </w:r>
    </w:p>
    <w:p>
      <w:pPr>
        <w:spacing w:after="0" w:line="163" w:lineRule="exact"/>
        <w:rPr>
          <w:sz w:val="20"/>
          <w:szCs w:val="20"/>
          <w:color w:val="auto"/>
        </w:rPr>
      </w:pPr>
    </w:p>
    <w:p>
      <w:pPr>
        <w:ind w:right="6199" w:firstLine="10"/>
        <w:spacing w:after="0" w:line="46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4" w:lineRule="exact"/>
        <w:rPr>
          <w:sz w:val="20"/>
          <w:szCs w:val="20"/>
          <w:color w:val="auto"/>
        </w:rPr>
      </w:pPr>
    </w:p>
    <w:p>
      <w:pPr>
        <w:jc w:val="both"/>
        <w:ind w:right="3239" w:firstLine="612"/>
        <w:spacing w:after="0" w:line="235"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accounting principles generally accepted in the United States, that requires management to make estimates and assumptions that affect the amounts reported in the consolidated financial statements and accompanying notes. Actual results could differ from those estimates.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 AND INVESTMENTS</w:t>
      </w:r>
    </w:p>
    <w:p>
      <w:pPr>
        <w:spacing w:after="0" w:line="173" w:lineRule="exact"/>
        <w:rPr>
          <w:sz w:val="20"/>
          <w:szCs w:val="20"/>
          <w:color w:val="auto"/>
        </w:rPr>
      </w:pPr>
    </w:p>
    <w:p>
      <w:pPr>
        <w:ind w:right="3239" w:firstLine="612"/>
        <w:spacing w:after="0" w:line="256" w:lineRule="auto"/>
        <w:rPr>
          <w:sz w:val="20"/>
          <w:szCs w:val="20"/>
          <w:color w:val="auto"/>
        </w:rPr>
      </w:pPr>
      <w:r>
        <w:rPr>
          <w:rFonts w:ascii="Courier New" w:cs="Courier New" w:eastAsia="Courier New" w:hAnsi="Courier New"/>
          <w:sz w:val="14"/>
          <w:szCs w:val="14"/>
          <w:color w:val="auto"/>
        </w:rPr>
        <w:t>Cash equivalents include funds held in investments with original maturities of three months or less when purchased. The Company's policy regarding selection of investments, pending their use, is to ensure safety, liquidity, and capital preservation while obtaining a reasonable rate of return.</w:t>
      </w:r>
    </w:p>
    <w:p>
      <w:pPr>
        <w:sectPr>
          <w:pgSz w:w="11900" w:h="16838" w:orient="portrait"/>
          <w:cols w:equalWidth="0" w:num="1">
            <w:col w:w="10239"/>
          </w:cols>
          <w:pgMar w:left="220" w:top="785" w:right="1440" w:bottom="1440" w:gutter="0" w:footer="0" w:header="0"/>
        </w:sectPr>
      </w:pPr>
    </w:p>
    <w:bookmarkStart w:id="32" w:name="page33"/>
    <w:bookmarkEnd w:id="32"/>
    <w:p>
      <w:pPr>
        <w:ind w:right="3319" w:firstLine="612"/>
        <w:spacing w:after="0" w:line="236" w:lineRule="auto"/>
        <w:rPr>
          <w:sz w:val="20"/>
          <w:szCs w:val="20"/>
          <w:color w:val="auto"/>
        </w:rPr>
      </w:pPr>
      <w:r>
        <w:rPr>
          <w:rFonts w:ascii="Courier New" w:cs="Courier New" w:eastAsia="Courier New" w:hAnsi="Courier New"/>
          <w:sz w:val="15"/>
          <w:szCs w:val="15"/>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 (LOSS)</w:t>
      </w:r>
    </w:p>
    <w:p>
      <w:pPr>
        <w:spacing w:after="0" w:line="173" w:lineRule="exact"/>
        <w:rPr>
          <w:sz w:val="20"/>
          <w:szCs w:val="20"/>
          <w:color w:val="auto"/>
        </w:rPr>
      </w:pPr>
    </w:p>
    <w:p>
      <w:pPr>
        <w:jc w:val="both"/>
        <w:ind w:right="3399" w:firstLine="612"/>
        <w:spacing w:after="0" w:line="254" w:lineRule="auto"/>
        <w:rPr>
          <w:sz w:val="20"/>
          <w:szCs w:val="20"/>
          <w:color w:val="auto"/>
        </w:rPr>
      </w:pPr>
      <w:r>
        <w:rPr>
          <w:rFonts w:ascii="Courier New" w:cs="Courier New" w:eastAsia="Courier New" w:hAnsi="Courier New"/>
          <w:sz w:val="14"/>
          <w:szCs w:val="14"/>
          <w:color w:val="auto"/>
        </w:rPr>
        <w:t>Comprehensive income (loss) is comprised of net income (loss) and other comprehensive income (loss). The only component of other comprehensive income (loss) is unrealized gains and losses on our available-for-sale securities.</w:t>
      </w:r>
    </w:p>
    <w:p>
      <w:pPr>
        <w:spacing w:after="0" w:line="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Comprehensive income (loss) has been disclosed in the statement of changes in redeemable common stock and stockholders' Equity.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California,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5" w:lineRule="exact"/>
        <w:rPr>
          <w:sz w:val="20"/>
          <w:szCs w:val="20"/>
          <w:color w:val="auto"/>
        </w:rPr>
      </w:pPr>
    </w:p>
    <w:p>
      <w:pPr>
        <w:jc w:val="both"/>
        <w:ind w:right="3399" w:firstLine="612"/>
        <w:spacing w:after="0" w:line="235" w:lineRule="auto"/>
        <w:rPr>
          <w:sz w:val="20"/>
          <w:szCs w:val="20"/>
          <w:color w:val="auto"/>
        </w:rPr>
      </w:pPr>
      <w:r>
        <w:rPr>
          <w:rFonts w:ascii="Courier New" w:cs="Courier New" w:eastAsia="Courier New" w:hAnsi="Courier New"/>
          <w:sz w:val="15"/>
          <w:szCs w:val="15"/>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gridSpan w:val="2"/>
          </w:tcPr>
          <w:p>
            <w:pPr>
              <w:spacing w:after="0"/>
              <w:rPr>
                <w:sz w:val="20"/>
                <w:szCs w:val="20"/>
                <w:color w:val="auto"/>
              </w:rPr>
            </w:pPr>
            <w:r>
              <w:rPr>
                <w:rFonts w:ascii="Courier New" w:cs="Courier New" w:eastAsia="Courier New" w:hAnsi="Courier New"/>
                <w:sz w:val="15"/>
                <w:szCs w:val="15"/>
                <w:color w:val="auto"/>
                <w:w w:val="98"/>
              </w:rPr>
              <w:t>Building and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w:t>
            </w: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and equipment................................................................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w:t>
            </w: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and fixtures.................................................................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AND LICENSE COSTS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At December 31, 2000 and 1999, total costs capitalized were $638,000 and $718,000 and the related accumulated amortization were $9,000 and $9,000, respectively. Patent expense totaled $305,000, $539,000, and $3,000 in 2000, 1999 and 1998, respectively.</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which was paid in 2000,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In year 2000 the Company received $74,300 representing a portion of revenues received by Neurotech from third parties.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BASED COMPENSATION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5"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w:t>
      </w:r>
    </w:p>
    <w:p>
      <w:pPr>
        <w:sectPr>
          <w:pgSz w:w="11900" w:h="16838" w:orient="portrait"/>
          <w:cols w:equalWidth="0" w:num="1">
            <w:col w:w="10239"/>
          </w:cols>
          <w:pgMar w:left="220" w:top="792" w:right="1440" w:bottom="1440" w:gutter="0" w:footer="0" w:header="0"/>
        </w:sectPr>
      </w:pPr>
    </w:p>
    <w:bookmarkStart w:id="33" w:name="page34"/>
    <w:bookmarkEnd w:id="33"/>
    <w:p>
      <w:pPr>
        <w:ind w:right="3239"/>
        <w:spacing w:after="0" w:line="255" w:lineRule="auto"/>
        <w:rPr>
          <w:sz w:val="20"/>
          <w:szCs w:val="20"/>
          <w:color w:val="auto"/>
        </w:rPr>
      </w:pPr>
      <w:r>
        <w:rPr>
          <w:rFonts w:ascii="Courier New" w:cs="Courier New" w:eastAsia="Courier New" w:hAnsi="Courier New"/>
          <w:sz w:val="14"/>
          <w:szCs w:val="14"/>
          <w:color w:val="auto"/>
        </w:rPr>
        <w:t>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and is remeasured during the vesting period. Fair value is determined using methodologies allowable by FAS No. 123. The cost is amortized over the vesting period of each option or the recipient's contractual arrangement, if shorter.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LIVED ASSETS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StemCells recognizes non-refundable upfront license fees and certain other related fees on a straight-line basis over the development period. Fees associated with substantive at risk, performance milestones are recognized as revenue upon their completion, as defined in the respective agreements.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The Company is required to adopt SFAS 133 effective January 1, 2001. Because the Company does we does not hold any derivative instruments and does not engage in hedging activities, management does not believe the adoption of SFAS 133 will have an impact on our financial position or results of operations.</w:t>
      </w:r>
    </w:p>
    <w:p>
      <w:pPr>
        <w:spacing w:after="0" w:line="180"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In November 2000, the FASB issued Emerging Issues Task Force Issue No. 00-27, "Application of EITF Issue No. 98-5, Accounting for Convertible Securities with Beneficial Conversion Features or Contingently Adjustable Conversion Ratios, to Certain Convertible Instruments" ("EITF 00-27") which is effective retroactively to September 1999 for all such instruments. EITF 00-27 clarifies the accounting for instruments with beneficial conversion features or contingently adjustable conversion ratios. According to the new accounting principle, the beneficial conversion features should be calculated by first allocating the proceeds received from the financing among the convertible instrument and the detachable warrants and then, measuring the beneficial conversion feature between the stated conversion price of the convertible instrument and the effective conversion price based on the allocated proceeds. Previously, the beneficial conversion feature calculation was based on the difference between the stated conversion price of the convertible instrument and the fair value of the Company's stock price on the closing date of the financing. As a result of the new accounting principle, the Company modified the calculation of the beneficial conversion features associated with its 6% cumulative convertible preferred stock.</w:t>
      </w:r>
    </w:p>
    <w:p>
      <w:pPr>
        <w:spacing w:after="0" w:line="175" w:lineRule="exact"/>
        <w:rPr>
          <w:sz w:val="20"/>
          <w:szCs w:val="20"/>
          <w:color w:val="auto"/>
        </w:rPr>
      </w:pPr>
    </w:p>
    <w:p>
      <w:pPr>
        <w:ind w:right="3759" w:firstLine="612"/>
        <w:spacing w:after="0" w:line="234" w:lineRule="auto"/>
        <w:rPr>
          <w:sz w:val="20"/>
          <w:szCs w:val="20"/>
          <w:color w:val="auto"/>
        </w:rPr>
      </w:pPr>
      <w:r>
        <w:rPr>
          <w:rFonts w:ascii="Courier New" w:cs="Courier New" w:eastAsia="Courier New" w:hAnsi="Courier New"/>
          <w:sz w:val="15"/>
          <w:szCs w:val="15"/>
          <w:color w:val="auto"/>
        </w:rPr>
        <w:t>The Company has presented the effect of adopting the new accounting principle as a cumulative effect of a change in</w:t>
      </w:r>
    </w:p>
    <w:p>
      <w:pPr>
        <w:sectPr>
          <w:pgSz w:w="11900" w:h="16838" w:orient="portrait"/>
          <w:cols w:equalWidth="0" w:num="1">
            <w:col w:w="10239"/>
          </w:cols>
          <w:pgMar w:left="220" w:top="792" w:right="1440" w:bottom="1440" w:gutter="0" w:footer="0" w:header="0"/>
        </w:sectPr>
      </w:pPr>
    </w:p>
    <w:bookmarkStart w:id="34" w:name="page35"/>
    <w:bookmarkEnd w:id="34"/>
    <w:p>
      <w:pPr>
        <w:ind w:right="3319"/>
        <w:spacing w:after="0" w:line="234" w:lineRule="auto"/>
        <w:rPr>
          <w:sz w:val="20"/>
          <w:szCs w:val="20"/>
          <w:color w:val="auto"/>
        </w:rPr>
      </w:pPr>
      <w:r>
        <w:rPr>
          <w:rFonts w:ascii="Courier New" w:cs="Courier New" w:eastAsia="Courier New" w:hAnsi="Courier New"/>
          <w:sz w:val="15"/>
          <w:szCs w:val="15"/>
          <w:color w:val="auto"/>
        </w:rPr>
        <w:t>accounting principle as allowed for in EITF 00-27. Accordingly, the Company has recognized an additional $216,000 of deemed dividend on preferred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COSTS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The Company has excluded outstanding stock options and warrants, and shares subject to repurchase from the calculation of diluted loss per common share because all such securities are anti-dilutive for all applicable periods presented.</w:t>
      </w:r>
    </w:p>
    <w:p>
      <w:pPr>
        <w:spacing w:after="0" w:line="175" w:lineRule="exact"/>
        <w:rPr>
          <w:sz w:val="20"/>
          <w:szCs w:val="20"/>
          <w:color w:val="auto"/>
        </w:rPr>
      </w:pPr>
    </w:p>
    <w:p>
      <w:pPr>
        <w:ind w:left="360" w:hanging="350"/>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WIND-DOWN OF ENCAPSULATED CELL TECHNOLOGY RESEARCH AND DEVELOPMENT PROGRAM</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66" w:lineRule="exact"/>
        <w:rPr>
          <w:sz w:val="20"/>
          <w:szCs w:val="20"/>
          <w:color w:val="auto"/>
        </w:rPr>
      </w:pPr>
    </w:p>
    <w:p>
      <w:pPr>
        <w:ind w:right="3579" w:firstLine="612"/>
        <w:spacing w:after="0" w:line="235"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 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34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Wind-down expenses totaled $3,327,360 and $6,047,806, for the year ended December 31, 2000 and 1999, respectively. No such expenses were incurred in 1998. These expenses relate to the wind-down of our encapsulated cell technology research and other Rhode Island operations and the transfer of the corporate headquarters to Sunnyvale, California. Expenses for the year 2000, includes an accrual for the estimated lease and facility costs related to the facilities in Rhode Island through 2001. Expenses for the year 1999 also includes an accrual for the estimate of the costs of settlement of a 1989 funding agreement with the Rhode Island Partnership for Science and Technology ("RIPSAT").</w:t>
      </w:r>
    </w:p>
    <w:p>
      <w:pPr>
        <w:spacing w:after="0" w:line="16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At December 31, 1999, the Company's $1.6 million wind-down reserve included approximately $1.2 million for the RIPSAT settlement and approximately $0.4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w:t>
      </w:r>
    </w:p>
    <w:p>
      <w:pPr>
        <w:sectPr>
          <w:pgSz w:w="11900" w:h="16838" w:orient="portrait"/>
          <w:cols w:equalWidth="0" w:num="1">
            <w:col w:w="10239"/>
          </w:cols>
          <w:pgMar w:left="220" w:top="79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At December 31, 2000 the remaining wind-down reserve totaled $1.7 million.</w:t>
      </w:r>
    </w:p>
    <w:p>
      <w:pPr>
        <w:spacing w:after="0" w:line="173" w:lineRule="exact"/>
        <w:rPr>
          <w:sz w:val="20"/>
          <w:szCs w:val="20"/>
          <w:color w:val="auto"/>
        </w:rPr>
      </w:pPr>
    </w:p>
    <w:p>
      <w:pPr>
        <w:ind w:right="3239" w:firstLine="612"/>
        <w:spacing w:after="0" w:line="234" w:lineRule="auto"/>
        <w:rPr>
          <w:sz w:val="20"/>
          <w:szCs w:val="20"/>
          <w:color w:val="auto"/>
        </w:rPr>
      </w:pPr>
      <w:r>
        <w:rPr>
          <w:rFonts w:ascii="Courier New" w:cs="Courier New" w:eastAsia="Courier New" w:hAnsi="Courier New"/>
          <w:sz w:val="15"/>
          <w:szCs w:val="15"/>
          <w:color w:val="auto"/>
        </w:rPr>
        <w:t>A description of wind-down expenses, including the amounts and periods of recognition,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YEAR ENDED</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3820" w:type="dxa"/>
            <w:vAlign w:val="bottom"/>
          </w:tcPr>
          <w:p>
            <w:pPr>
              <w:spacing w:after="0"/>
              <w:rPr>
                <w:sz w:val="14"/>
                <w:szCs w:val="14"/>
                <w:color w:val="auto"/>
              </w:rPr>
            </w:pPr>
          </w:p>
        </w:tc>
        <w:tc>
          <w:tcPr>
            <w:tcW w:w="1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 1999</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2000</w:t>
            </w:r>
          </w:p>
        </w:tc>
      </w:tr>
      <w:tr>
        <w:trPr>
          <w:trHeight w:val="168"/>
        </w:trPr>
        <w:tc>
          <w:tcPr>
            <w:tcW w:w="3820" w:type="dxa"/>
            <w:vAlign w:val="bottom"/>
          </w:tcPr>
          <w:p>
            <w:pPr>
              <w:spacing w:after="0"/>
              <w:rPr>
                <w:sz w:val="14"/>
                <w:szCs w:val="14"/>
                <w:color w:val="auto"/>
              </w:rPr>
            </w:pPr>
          </w:p>
        </w:tc>
        <w:tc>
          <w:tcPr>
            <w:tcW w:w="1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Employee severance costs .................</w:t>
            </w: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$1,554,000</w:t>
            </w:r>
          </w:p>
        </w:tc>
        <w:tc>
          <w:tcPr>
            <w:tcW w:w="162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losses(1):</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Fixed assets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800,000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ECT patents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260,000</w:t>
            </w:r>
          </w:p>
        </w:tc>
        <w:tc>
          <w:tcPr>
            <w:tcW w:w="16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1,060,000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Rhode Island facilities carrying costs(2):</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Corporate headquarters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702,000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$3,327,000</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Pilot manufacturing plant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562,000</w:t>
            </w:r>
          </w:p>
        </w:tc>
        <w:tc>
          <w:tcPr>
            <w:tcW w:w="16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1,264,000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3,327,000</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Employee outplacement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RIPSAT settlement(3)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1,172,000</w:t>
            </w:r>
          </w:p>
        </w:tc>
        <w:tc>
          <w:tcPr>
            <w:tcW w:w="162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assets(4):</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Fixed assets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318,000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ECT patents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180,000</w:t>
            </w:r>
          </w:p>
        </w:tc>
        <w:tc>
          <w:tcPr>
            <w:tcW w:w="16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498,000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Write-down of pilot plant(5)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300,000</w:t>
            </w:r>
          </w:p>
        </w:tc>
        <w:tc>
          <w:tcPr>
            <w:tcW w:w="16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$6,048,000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$3,327,000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620" w:right="3319" w:hanging="610"/>
        <w:spacing w:after="0" w:line="235"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5" w:lineRule="exact"/>
        <w:rPr>
          <w:rFonts w:ascii="Courier New" w:cs="Courier New" w:eastAsia="Courier New" w:hAnsi="Courier New"/>
          <w:sz w:val="15"/>
          <w:szCs w:val="15"/>
          <w:color w:val="auto"/>
        </w:rPr>
      </w:pPr>
    </w:p>
    <w:p>
      <w:pPr>
        <w:ind w:left="620" w:right="3399" w:hanging="610"/>
        <w:spacing w:after="0" w:line="256"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Facilities carrying costs include operating lease payments, utilities, property taxes, insurance, maintenance, interest and other non-employee related expenses necessary to maintaining these facilities through the expected date of disposition (December 31, 2001)</w:t>
      </w:r>
    </w:p>
    <w:p>
      <w:pPr>
        <w:spacing w:after="0" w:line="164" w:lineRule="exact"/>
        <w:rPr>
          <w:rFonts w:ascii="Courier New" w:cs="Courier New" w:eastAsia="Courier New" w:hAnsi="Courier New"/>
          <w:sz w:val="14"/>
          <w:szCs w:val="14"/>
          <w:color w:val="auto"/>
        </w:rPr>
      </w:pPr>
    </w:p>
    <w:p>
      <w:pPr>
        <w:ind w:left="620" w:right="3239" w:hanging="610"/>
        <w:spacing w:after="0" w:line="255"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65" w:lineRule="exact"/>
        <w:rPr>
          <w:rFonts w:ascii="Courier New" w:cs="Courier New" w:eastAsia="Courier New" w:hAnsi="Courier New"/>
          <w:sz w:val="14"/>
          <w:szCs w:val="14"/>
          <w:color w:val="auto"/>
        </w:rPr>
      </w:pPr>
    </w:p>
    <w:p>
      <w:pPr>
        <w:ind w:left="620" w:right="3399" w:hanging="610"/>
        <w:spacing w:after="0" w:line="235"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3" w:lineRule="exact"/>
        <w:rPr>
          <w:rFonts w:ascii="Courier New" w:cs="Courier New" w:eastAsia="Courier New" w:hAnsi="Courier New"/>
          <w:sz w:val="15"/>
          <w:szCs w:val="15"/>
          <w:color w:val="auto"/>
        </w:rPr>
      </w:pPr>
    </w:p>
    <w:p>
      <w:pPr>
        <w:ind w:left="620" w:right="3499" w:hanging="610"/>
        <w:spacing w:after="0" w:line="234"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the pilot plant was based on an independent property appraisal.</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Property held for sale at December 31, 2000 and 1999, consisted of $3.2 million relating to the Company's pilot plant facility located in Lincoln, Rhode Island. The company suspended depreciation of these assets in 1999. The balance reflected the $300,000 write-down included as part of the additional wind-down expenses recognized in accordance with Financial</w:t>
      </w:r>
    </w:p>
    <w:p>
      <w:pPr>
        <w:sectPr>
          <w:pgSz w:w="11900" w:h="16838" w:orient="portrait"/>
          <w:cols w:equalWidth="0" w:num="1">
            <w:col w:w="10239"/>
          </w:cols>
          <w:pgMar w:left="220" w:top="785" w:right="1440" w:bottom="1440" w:gutter="0" w:footer="0" w:header="0"/>
        </w:sectPr>
      </w:pPr>
    </w:p>
    <w:bookmarkStart w:id="36" w:name="page37"/>
    <w:bookmarkEnd w:id="36"/>
    <w:p>
      <w:pPr>
        <w:ind w:right="3239"/>
        <w:spacing w:after="0" w:line="235" w:lineRule="auto"/>
        <w:rPr>
          <w:sz w:val="20"/>
          <w:szCs w:val="20"/>
          <w:color w:val="auto"/>
        </w:rPr>
      </w:pPr>
      <w:r>
        <w:rPr>
          <w:rFonts w:ascii="Courier New" w:cs="Courier New" w:eastAsia="Courier New" w:hAnsi="Courier New"/>
          <w:sz w:val="15"/>
          <w:szCs w:val="15"/>
          <w:color w:val="auto"/>
        </w:rPr>
        <w:t>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69"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 Dr. Anderson, the Company recorded deferred compensation of $1,750,000, the fair value of such options at the date of grant, which will be amortized over an eight-year period. The fair value was determined using the Black-Scholes method.</w:t>
      </w:r>
    </w:p>
    <w:p>
      <w:pPr>
        <w:spacing w:after="0" w:line="345"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as compensation expense for the fair market value of the vested portion of such options in an amount determined using the Black-Scholes method. The deferred compensation expense associated with the unvested portion of the grants was determined to be approximately $1,338,000.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We plan to revalue the options using the Black-Scholes method on a quarterly basis and recognize additional compensation expense accordingly.</w:t>
      </w:r>
    </w:p>
    <w:p>
      <w:pPr>
        <w:spacing w:after="0" w:line="325" w:lineRule="exact"/>
        <w:rPr>
          <w:sz w:val="20"/>
          <w:szCs w:val="20"/>
          <w:color w:val="auto"/>
        </w:rPr>
      </w:pPr>
    </w:p>
    <w:p>
      <w:pPr>
        <w:ind w:left="360" w:hanging="350"/>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w:t>
      </w:r>
    </w:p>
    <w:p>
      <w:pPr>
        <w:spacing w:after="0" w:line="174"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At December 31, 2000 the Company owned 126,193 shares of Modex. Modex completed an initial public offering of shares on the Swiss Exchange on June 23, 2000. Accordingly, with an established market value, the investment is recorded as available-for-sale at a fair market value of $16,356,334 as at December 31, 2000. The unrealized gain was reported as other comprehensive income in the statement of stockholders' equity.</w:t>
      </w:r>
    </w:p>
    <w:p>
      <w:pPr>
        <w:spacing w:after="0" w:line="175" w:lineRule="exact"/>
        <w:rPr>
          <w:sz w:val="20"/>
          <w:szCs w:val="20"/>
          <w:color w:val="auto"/>
        </w:rPr>
      </w:pPr>
    </w:p>
    <w:p>
      <w:pPr>
        <w:jc w:val="both"/>
        <w:ind w:right="3579" w:firstLine="612"/>
        <w:spacing w:after="0" w:line="254" w:lineRule="auto"/>
        <w:rPr>
          <w:sz w:val="20"/>
          <w:szCs w:val="20"/>
          <w:color w:val="auto"/>
        </w:rPr>
      </w:pPr>
      <w:r>
        <w:rPr>
          <w:rFonts w:ascii="Courier New" w:cs="Courier New" w:eastAsia="Courier New" w:hAnsi="Courier New"/>
          <w:sz w:val="14"/>
          <w:szCs w:val="14"/>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w:t>
      </w:r>
    </w:p>
    <w:p>
      <w:pPr>
        <w:spacing w:after="0" w:line="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Under the terms of the sale to Neurotech, the Company will receive a portion of revenues Neurotech receives from Modex under the Cross License Agreement.</w:t>
      </w:r>
    </w:p>
    <w:p>
      <w:pPr>
        <w:sectPr>
          <w:pgSz w:w="11900" w:h="16838" w:orient="portrait"/>
          <w:cols w:equalWidth="0" w:num="1">
            <w:col w:w="10239"/>
          </w:cols>
          <w:pgMar w:left="220" w:top="792" w:right="1440" w:bottom="1440" w:gutter="0" w:footer="0" w:header="0"/>
        </w:sectPr>
      </w:pPr>
    </w:p>
    <w:bookmarkStart w:id="37" w:name="page38"/>
    <w:bookmarkEnd w:id="37"/>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Building and improvements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703,095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665,890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 ......................</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1,766,448</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1,691,136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 .......................</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188,736</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219,260</w:t>
            </w: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2,658,279</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2,576,286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(1,207,218)</w:t>
            </w:r>
          </w:p>
        </w:tc>
        <w:tc>
          <w:tcPr>
            <w:tcW w:w="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(828,401)</w:t>
            </w:r>
          </w:p>
        </w:tc>
      </w:tr>
      <w:tr>
        <w:trPr>
          <w:trHeight w:val="168"/>
        </w:trPr>
        <w:tc>
          <w:tcPr>
            <w:tcW w:w="43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1,451,061</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1,747,885</w:t>
            </w:r>
          </w:p>
        </w:tc>
      </w:tr>
    </w:tbl>
    <w:p>
      <w:pPr>
        <w:spacing w:after="0" w:line="341"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Depreciation expense was $451,000, $1,436,000, and $1,720,000 for the years ending December 31, 2000, 1999 and 1998, respectively.</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As part of restructuring our operations, sale of our encapsulated cell technology ("ECT"), and relocation of our corporate headquarters to Sunnyvale, California, we identified fixed assets associated with the ECT or otherwise no longer needed. In December of 1999, we disposed of these excess fixed assets, realizing proceeds of approximately $746,000. These assets had a net book value of approximately $1,063,000 after a write-down of 800,000, which was based on an estimate of expected sale proceeds.</w:t>
      </w:r>
    </w:p>
    <w:p>
      <w:pPr>
        <w:spacing w:after="0" w:line="176"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Certain property, plant and equipment have been acquired under capital lease obligations. These assets totaled $5,827,000 at December 31, 2000 and 1999, respectively, with related accumulated amortization of $2,747,000 at December 31, 2000 and 1999, respectively. As a result of the Company's decision to exit ECT and relocate to Sunnyvale, California, this property has been classified as held for sale.</w:t>
      </w:r>
    </w:p>
    <w:p>
      <w:pPr>
        <w:spacing w:after="0" w:line="168" w:lineRule="exact"/>
        <w:rPr>
          <w:sz w:val="20"/>
          <w:szCs w:val="20"/>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1"/>
                <w:szCs w:val="11"/>
                <w:color w:val="auto"/>
                <w:w w:val="73"/>
              </w:rPr>
              <w:t>Patents, net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629,203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708,823</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License agreements, net ........</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669,000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282,750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Security deposit--</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building lease</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750,000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750,000</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Deposit--other .................</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16,321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Deferred financing costs, net ..</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109,388</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117,195</w:t>
            </w:r>
          </w:p>
        </w:tc>
      </w:tr>
      <w:tr>
        <w:trPr>
          <w:trHeight w:val="168"/>
        </w:trPr>
        <w:tc>
          <w:tcPr>
            <w:tcW w:w="158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2,173,912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1,858,768</w:t>
            </w:r>
          </w:p>
        </w:tc>
      </w:tr>
    </w:tbl>
    <w:p>
      <w:pPr>
        <w:spacing w:after="0" w:line="341"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At December 31, 2000 and 1999, accumulated amortization was $1,140,000 and $857,000, respectively, for patents and license agreements.</w:t>
      </w:r>
    </w:p>
    <w:p>
      <w:pPr>
        <w:spacing w:after="0" w:line="167" w:lineRule="exact"/>
        <w:rPr>
          <w:sz w:val="20"/>
          <w:szCs w:val="20"/>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Accrued expenses are as follows:</w:t>
      </w:r>
    </w:p>
    <w:p>
      <w:pPr>
        <w:sectPr>
          <w:pgSz w:w="11900" w:h="16838" w:orient="portrait"/>
          <w:cols w:equalWidth="0" w:num="1">
            <w:col w:w="10239"/>
          </w:cols>
          <w:pgMar w:left="220" w:top="785"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24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24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External services ....</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$219,051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$ 97,439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compensation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109,007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306,342</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Collaborative research</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222,140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509,300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344,625</w:t>
            </w:r>
          </w:p>
        </w:tc>
      </w:tr>
      <w:tr>
        <w:trPr>
          <w:trHeight w:val="168"/>
        </w:trPr>
        <w:tc>
          <w:tcPr>
            <w:tcW w:w="22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$837,358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$970,546</w:t>
            </w:r>
          </w:p>
        </w:tc>
      </w:tr>
    </w:tbl>
    <w:p>
      <w:pPr>
        <w:spacing w:after="0" w:line="335" w:lineRule="exact"/>
        <w:rPr>
          <w:sz w:val="20"/>
          <w:szCs w:val="20"/>
          <w:color w:val="auto"/>
        </w:rPr>
      </w:pPr>
    </w:p>
    <w:p>
      <w:pPr>
        <w:ind w:left="360" w:hanging="350"/>
        <w:spacing w:after="0"/>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880" w:firstLine="612"/>
        <w:spacing w:after="0" w:line="254"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serve reserve ("Reserve Funds") of approximately $610,000 of principal and interest, relating to the bonds the Company has with IRBA and RIIFC. In order to avoid the loss of interest on the Reserve Funds due to early termination of certain investments, the parties agreed that the Company would render a net payment to RIPSAT in the amount of approximately $562,000.</w:t>
      </w:r>
    </w:p>
    <w:p>
      <w:pPr>
        <w:spacing w:after="0" w:line="175" w:lineRule="exact"/>
        <w:rPr>
          <w:sz w:val="20"/>
          <w:szCs w:val="20"/>
          <w:color w:val="auto"/>
        </w:rPr>
      </w:pPr>
    </w:p>
    <w:p>
      <w:pPr>
        <w:ind w:right="960" w:firstLine="612"/>
        <w:spacing w:after="0" w:line="236" w:lineRule="auto"/>
        <w:rPr>
          <w:sz w:val="20"/>
          <w:szCs w:val="20"/>
          <w:color w:val="auto"/>
        </w:rPr>
      </w:pPr>
      <w:r>
        <w:rPr>
          <w:rFonts w:ascii="Courier New" w:cs="Courier New" w:eastAsia="Courier New" w:hAnsi="Courier New"/>
          <w:sz w:val="15"/>
          <w:szCs w:val="15"/>
          <w:color w:val="auto"/>
        </w:rPr>
        <w:t>The Company entered into a fifteen-year lease for a laboratory facility in connection with a sale and leaseback arrangement in 1997. The lease has a rent escalation clause and accordingly, the Company is recognizing rent expense on a straight line basis. At December 31, 2000, the Company has $705,746 in deferred rent expense.</w:t>
      </w:r>
    </w:p>
    <w:p>
      <w:pPr>
        <w:spacing w:after="0" w:line="174" w:lineRule="exact"/>
        <w:rPr>
          <w:sz w:val="20"/>
          <w:szCs w:val="20"/>
          <w:color w:val="auto"/>
        </w:rPr>
      </w:pPr>
    </w:p>
    <w:p>
      <w:pPr>
        <w:ind w:right="880" w:firstLine="612"/>
        <w:spacing w:after="0" w:line="236" w:lineRule="auto"/>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 The new facility includes vivarium space, laboratories, offices, and a GMP (Good Manufacturing Practices) suite. GMP facilities can be used to manufacture materials for clinical trials. The rent will average approximately $3.15 million per year over the term of the lease.</w:t>
      </w:r>
    </w:p>
    <w:p>
      <w:pPr>
        <w:spacing w:after="0" w:line="175" w:lineRule="exact"/>
        <w:rPr>
          <w:sz w:val="20"/>
          <w:szCs w:val="20"/>
          <w:color w:val="auto"/>
        </w:rPr>
      </w:pPr>
    </w:p>
    <w:p>
      <w:pPr>
        <w:ind w:right="1140" w:firstLine="612"/>
        <w:spacing w:after="0" w:line="261" w:lineRule="auto"/>
        <w:rPr>
          <w:sz w:val="20"/>
          <w:szCs w:val="20"/>
          <w:color w:val="auto"/>
        </w:rPr>
      </w:pPr>
      <w:r>
        <w:rPr>
          <w:rFonts w:ascii="Courier New" w:cs="Courier New" w:eastAsia="Courier New" w:hAnsi="Courier New"/>
          <w:sz w:val="14"/>
          <w:szCs w:val="14"/>
          <w:color w:val="auto"/>
        </w:rPr>
        <w:t>As of December 31, 2000, future minimum lease payments under operating and capital leases and principal payments on equipment loans are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CAPITAL LEASES</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OPERATING LEASES</w:t>
            </w:r>
          </w:p>
        </w:tc>
      </w:tr>
      <w:tr>
        <w:trPr>
          <w:trHeight w:val="168"/>
        </w:trPr>
        <w:tc>
          <w:tcPr>
            <w:tcW w:w="490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2001 .................................................</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589,217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3,584,061</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519,719</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2,392,988</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436,909</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4,568,274</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425,713</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4,677,197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412,587</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4,789,388</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2,311,577</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8,797,417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minimum lease payments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4,695,722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28,809,325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SUBLEASE INCOME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600" w:hanging="346"/>
        <w:spacing w:after="0"/>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295,854</w:t>
      </w:r>
    </w:p>
    <w:p>
      <w:pPr>
        <w:ind w:left="6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400,658</w:t>
      </w:r>
    </w:p>
    <w:p>
      <w:pPr>
        <w:ind w:left="6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395,676</w:t>
      </w:r>
    </w:p>
    <w:p>
      <w:pPr>
        <w:ind w:left="6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416,507</w:t>
      </w:r>
    </w:p>
    <w:p>
      <w:pPr>
        <w:ind w:left="600"/>
        <w:spacing w:after="0" w:line="238" w:lineRule="auto"/>
        <w:rPr>
          <w:sz w:val="20"/>
          <w:szCs w:val="20"/>
          <w:color w:val="auto"/>
        </w:rPr>
      </w:pPr>
      <w:r>
        <w:rPr>
          <w:rFonts w:ascii="Courier New" w:cs="Courier New" w:eastAsia="Courier New" w:hAnsi="Courier New"/>
          <w:sz w:val="15"/>
          <w:szCs w:val="15"/>
          <w:color w:val="auto"/>
        </w:rPr>
        <w:t>437,338</w:t>
      </w:r>
    </w:p>
    <w:p>
      <w:pPr>
        <w:ind w:left="600"/>
        <w:spacing w:after="0" w:line="237" w:lineRule="auto"/>
        <w:rPr>
          <w:sz w:val="20"/>
          <w:szCs w:val="20"/>
          <w:color w:val="auto"/>
        </w:rPr>
      </w:pPr>
      <w:r>
        <w:rPr>
          <w:rFonts w:ascii="Courier New" w:cs="Courier New" w:eastAsia="Courier New" w:hAnsi="Courier New"/>
          <w:sz w:val="15"/>
          <w:szCs w:val="15"/>
          <w:color w:val="auto"/>
        </w:rPr>
        <w:t>130,761</w:t>
      </w:r>
    </w:p>
    <w:p>
      <w:pPr>
        <w:ind w:left="260"/>
        <w:spacing w:after="0" w:line="238" w:lineRule="auto"/>
        <w:rPr>
          <w:sz w:val="20"/>
          <w:szCs w:val="20"/>
          <w:color w:val="auto"/>
        </w:rPr>
      </w:pPr>
      <w:r>
        <w:rPr>
          <w:rFonts w:ascii="Courier New" w:cs="Courier New" w:eastAsia="Courier New" w:hAnsi="Courier New"/>
          <w:sz w:val="15"/>
          <w:szCs w:val="15"/>
          <w:color w:val="auto"/>
        </w:rPr>
        <w:t>$ 2,076,794</w:t>
      </w:r>
    </w:p>
    <w:p>
      <w:pPr>
        <w:sectPr>
          <w:pgSz w:w="11900" w:h="16838" w:orient="portrait"/>
          <w:cols w:equalWidth="0" w:num="2">
            <w:col w:w="7880" w:space="360"/>
            <w:col w:w="1999"/>
          </w:cols>
          <w:pgMar w:left="220" w:top="1122"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 ...................</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$ 1,758,639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 value of minimum lease payments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2,937,083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332,083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lease obligations, less current maturities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$ 2,605,000</w:t>
            </w:r>
          </w:p>
        </w:tc>
      </w:tr>
    </w:tbl>
    <w:p>
      <w:pPr>
        <w:spacing w:after="0" w:line="341"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Rent expense for the years ended December 31, 2000, 1999 and 1998, was $1,111,000, $947,000 and $1,052,000, respectively.</w:t>
      </w:r>
    </w:p>
    <w:p>
      <w:pPr>
        <w:spacing w:after="0" w:line="173" w:lineRule="exact"/>
        <w:rPr>
          <w:sz w:val="20"/>
          <w:szCs w:val="20"/>
          <w:color w:val="auto"/>
        </w:rPr>
      </w:pPr>
    </w:p>
    <w:p>
      <w:pPr>
        <w:ind w:right="8039" w:firstLine="10"/>
        <w:spacing w:after="0" w:line="509" w:lineRule="auto"/>
        <w:tabs>
          <w:tab w:leader="none" w:pos="43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SALE OF COMMON STOCK</w:t>
      </w:r>
    </w:p>
    <w:p>
      <w:pPr>
        <w:ind w:right="3239" w:firstLine="612"/>
        <w:spacing w:after="0" w:line="254"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StemCells received $3 million of the purchase price at the 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was treated as a credit to paid in capital in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347"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accounted for as a credit to paid in capital.</w:t>
      </w:r>
    </w:p>
    <w:p>
      <w:pPr>
        <w:spacing w:after="0" w:line="34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w:t>
      </w:r>
    </w:p>
    <w:p>
      <w:pPr>
        <w:sectPr>
          <w:pgSz w:w="11900" w:h="16838" w:orient="portrait"/>
          <w:cols w:equalWidth="0" w:num="1">
            <w:col w:w="10239"/>
          </w:cols>
          <w:pgMar w:left="220" w:top="1122" w:right="1440" w:bottom="1440" w:gutter="0" w:footer="0" w:header="0"/>
        </w:sectPr>
      </w:pPr>
    </w:p>
    <w:bookmarkStart w:id="40" w:name="page41"/>
    <w:bookmarkEnd w:id="40"/>
    <w:p>
      <w:pPr>
        <w:ind w:right="3499"/>
        <w:spacing w:after="0" w:line="234" w:lineRule="auto"/>
        <w:rPr>
          <w:sz w:val="20"/>
          <w:szCs w:val="20"/>
          <w:color w:val="auto"/>
        </w:rPr>
      </w:pPr>
      <w:r>
        <w:rPr>
          <w:rFonts w:ascii="Courier New" w:cs="Courier New" w:eastAsia="Courier New" w:hAnsi="Courier New"/>
          <w:sz w:val="15"/>
          <w:szCs w:val="15"/>
          <w:color w:val="auto"/>
        </w:rPr>
        <w:t>be beneficially owned by the Fund to 9.99% of the total number of outstanding shares of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COMMON STOCK</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 November 1996, the Company signed certain collaborative development</w:t>
      </w:r>
    </w:p>
    <w:p>
      <w:pPr>
        <w:spacing w:after="0" w:line="237" w:lineRule="auto"/>
        <w:rPr>
          <w:sz w:val="20"/>
          <w:szCs w:val="20"/>
          <w:color w:val="auto"/>
        </w:rPr>
      </w:pPr>
      <w:r>
        <w:rPr>
          <w:rFonts w:ascii="Courier New" w:cs="Courier New" w:eastAsia="Courier New" w:hAnsi="Courier New"/>
          <w:sz w:val="15"/>
          <w:szCs w:val="15"/>
          <w:color w:val="auto"/>
        </w:rPr>
        <w:t>and licensing agreements with Genentech, Inc, including one under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purchased 829,171 shares of redeemable common stock for $8.3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fund development of products to treat Parkinson's disease. The Agreement also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Genentech had the right, at its discretion, to terminate the</w:t>
      </w:r>
    </w:p>
    <w:p>
      <w:pPr>
        <w:spacing w:after="0" w:line="237" w:lineRule="auto"/>
        <w:rPr>
          <w:sz w:val="20"/>
          <w:szCs w:val="20"/>
          <w:color w:val="auto"/>
        </w:rPr>
      </w:pPr>
      <w:r>
        <w:rPr>
          <w:rFonts w:ascii="Courier New" w:cs="Courier New" w:eastAsia="Courier New" w:hAnsi="Courier New"/>
          <w:sz w:val="15"/>
          <w:szCs w:val="15"/>
          <w:color w:val="auto"/>
        </w:rPr>
        <w:t>Parkinson's program at specified milestones in the program, and that if the</w:t>
      </w:r>
    </w:p>
    <w:p>
      <w:pPr>
        <w:spacing w:after="0" w:line="238" w:lineRule="auto"/>
        <w:rPr>
          <w:sz w:val="20"/>
          <w:szCs w:val="20"/>
          <w:color w:val="auto"/>
        </w:rPr>
      </w:pPr>
      <w:r>
        <w:rPr>
          <w:rFonts w:ascii="Courier New" w:cs="Courier New" w:eastAsia="Courier New" w:hAnsi="Courier New"/>
          <w:sz w:val="15"/>
          <w:szCs w:val="15"/>
          <w:color w:val="auto"/>
        </w:rPr>
        <w:t>program were terminated, Genentech had the right to require the Company to</w:t>
      </w:r>
    </w:p>
    <w:p>
      <w:pPr>
        <w:spacing w:after="0" w:line="237" w:lineRule="auto"/>
        <w:rPr>
          <w:sz w:val="20"/>
          <w:szCs w:val="20"/>
          <w:color w:val="auto"/>
        </w:rPr>
      </w:pPr>
      <w:r>
        <w:rPr>
          <w:rFonts w:ascii="Courier New" w:cs="Courier New" w:eastAsia="Courier New" w:hAnsi="Courier New"/>
          <w:sz w:val="15"/>
          <w:szCs w:val="15"/>
          <w:color w:val="auto"/>
        </w:rPr>
        <w:t>repurchase from Genentech the shares of the Company's common stock having a</w:t>
      </w:r>
    </w:p>
    <w:p>
      <w:pPr>
        <w:spacing w:after="0" w:line="238" w:lineRule="auto"/>
        <w:rPr>
          <w:sz w:val="20"/>
          <w:szCs w:val="20"/>
          <w:color w:val="auto"/>
        </w:rPr>
      </w:pPr>
      <w:r>
        <w:rPr>
          <w:rFonts w:ascii="Courier New" w:cs="Courier New" w:eastAsia="Courier New" w:hAnsi="Courier New"/>
          <w:sz w:val="15"/>
          <w:szCs w:val="15"/>
          <w:color w:val="auto"/>
        </w:rPr>
        <w:t>value equal to the amount by which the $8.3 million exceeded the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incurred by the Company in connection with such studies by more than $1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upon the share price paid by Genentech. Accordingly, the common stock 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classified as redeemable common stock until such time as the related funds 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expended. At December 31, 1998, $3,051,000 had been spent on the collaboration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Genentech and, accordingly, the Company has reclassified those common</w:t>
      </w:r>
    </w:p>
    <w:p>
      <w:pPr>
        <w:spacing w:after="0" w:line="237" w:lineRule="auto"/>
        <w:rPr>
          <w:sz w:val="20"/>
          <w:szCs w:val="20"/>
          <w:color w:val="auto"/>
        </w:rPr>
      </w:pPr>
      <w:r>
        <w:rPr>
          <w:rFonts w:ascii="Courier New" w:cs="Courier New" w:eastAsia="Courier New" w:hAnsi="Courier New"/>
          <w:sz w:val="15"/>
          <w:szCs w:val="15"/>
          <w:color w:val="auto"/>
        </w:rPr>
        <w:t>shares and related value to stockholders' equity. On May 21, 1998, Genentech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exercised its right to terminate the collaboration and negotiations ensued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the amount of redeemable common stock to be redeemed in accordance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agreement and the method of such redemption. In March 2000,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reached a settlement of this matter with Genentech. Under the settlement</w:t>
      </w:r>
    </w:p>
    <w:p>
      <w:pPr>
        <w:spacing w:after="0" w:line="237" w:lineRule="auto"/>
        <w:rPr>
          <w:sz w:val="20"/>
          <w:szCs w:val="20"/>
          <w:color w:val="auto"/>
        </w:rPr>
      </w:pPr>
      <w:r>
        <w:rPr>
          <w:rFonts w:ascii="Courier New" w:cs="Courier New" w:eastAsia="Courier New" w:hAnsi="Courier New"/>
          <w:sz w:val="15"/>
          <w:szCs w:val="15"/>
          <w:color w:val="auto"/>
        </w:rPr>
        <w:t>agreement, Genentech released the Company from any obligation to redeem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the Company's Common Stock held by Genentech. Accordingly,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reclassified the amount currently recorded as Redeemable Common Stock</w:t>
      </w:r>
    </w:p>
    <w:p>
      <w:pPr>
        <w:spacing w:after="0" w:line="237" w:lineRule="auto"/>
        <w:rPr>
          <w:sz w:val="20"/>
          <w:szCs w:val="20"/>
          <w:color w:val="auto"/>
        </w:rPr>
      </w:pPr>
      <w:r>
        <w:rPr>
          <w:rFonts w:ascii="Courier New" w:cs="Courier New" w:eastAsia="Courier New" w:hAnsi="Courier New"/>
          <w:sz w:val="15"/>
          <w:szCs w:val="15"/>
          <w:color w:val="auto"/>
        </w:rPr>
        <w:t>($5,248,000) to Stockholders' Equity in March 2000. The Company and Genentech</w:t>
      </w:r>
    </w:p>
    <w:p>
      <w:pPr>
        <w:spacing w:after="0" w:line="238" w:lineRule="auto"/>
        <w:rPr>
          <w:sz w:val="20"/>
          <w:szCs w:val="20"/>
          <w:color w:val="auto"/>
        </w:rPr>
      </w:pPr>
      <w:r>
        <w:rPr>
          <w:rFonts w:ascii="Courier New" w:cs="Courier New" w:eastAsia="Courier New" w:hAnsi="Courier New"/>
          <w:sz w:val="15"/>
          <w:szCs w:val="15"/>
          <w:color w:val="auto"/>
        </w:rPr>
        <w:t>also agreed that all of the agreements between them were terminated and that</w:t>
      </w:r>
    </w:p>
    <w:p>
      <w:pPr>
        <w:spacing w:after="0" w:line="237" w:lineRule="auto"/>
        <w:rPr>
          <w:sz w:val="20"/>
          <w:szCs w:val="20"/>
          <w:color w:val="auto"/>
        </w:rPr>
      </w:pPr>
      <w:r>
        <w:rPr>
          <w:rFonts w:ascii="Courier New" w:cs="Courier New" w:eastAsia="Courier New" w:hAnsi="Courier New"/>
          <w:sz w:val="15"/>
          <w:szCs w:val="15"/>
          <w:color w:val="auto"/>
        </w:rPr>
        <w:t>neither had any claim to the intellectual property of the other.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ISSUED FOR TECHNOLOGY LICENSES</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Under a 1997 License Agreement with NeuroSpheres, Ltd., the Company obtained an exclusive patent license in the field of transplantation. The Company entered into an additional license agreement with NeuroSpheres as of October 31, 2000, under which the Company obtained an exclusive license in the field of non-transplant uses, such as drug discovery and drug testing, so that together the licenses are exclusive for all uses of the technology. The Company made up-front payments to NeuroSpheres of 65,000 shares of its common stock and $50,000, and will make additional cash payments when milestones are achieved in the non-transplant field, or in any products employing NeuroSpheres patents for generating cells of the blood and immune system from neural stem cells.</w:t>
      </w:r>
    </w:p>
    <w:p>
      <w:pPr>
        <w:spacing w:after="0" w:line="165"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The Company also entered into license agreements with the California Institute of Technology and issued 12,800 shares of common stock upon execution of the license agreements. The Company must pay an additional $10,000 upon the issuance of the patent licensed under the relevant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ISSUED</w:t>
      </w:r>
    </w:p>
    <w:p>
      <w:pPr>
        <w:spacing w:after="0" w:line="173"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ectPr>
          <w:pgSz w:w="11900" w:h="16838" w:orient="portrait"/>
          <w:cols w:equalWidth="0" w:num="1">
            <w:col w:w="10239"/>
          </w:cols>
          <w:pgMar w:left="220" w:top="79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StemCells, Inc. Notes to Consolidated Financial Statements December 31, 2000</w:t>
      </w:r>
    </w:p>
    <w:p>
      <w:pPr>
        <w:spacing w:after="0" w:line="166"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6% CUMULATIVE CONVERTIBLE PREFERRED STOCK</w:t>
      </w:r>
    </w:p>
    <w:p>
      <w:pPr>
        <w:spacing w:after="0" w:line="173" w:lineRule="exact"/>
        <w:rPr>
          <w:sz w:val="20"/>
          <w:szCs w:val="20"/>
          <w:color w:val="auto"/>
        </w:rPr>
      </w:pPr>
    </w:p>
    <w:p>
      <w:pPr>
        <w:ind w:right="1500" w:firstLine="612"/>
        <w:spacing w:after="0" w:line="237" w:lineRule="auto"/>
        <w:rPr>
          <w:sz w:val="20"/>
          <w:szCs w:val="20"/>
          <w:color w:val="auto"/>
        </w:rPr>
      </w:pPr>
      <w:r>
        <w:rPr>
          <w:rFonts w:ascii="Courier New" w:cs="Courier New" w:eastAsia="Courier New" w:hAnsi="Courier New"/>
          <w:sz w:val="15"/>
          <w:szCs w:val="15"/>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convertible at the option of the holders into common stock at $3.77 per share (based on the face value of the preferred shares). The conversion price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3" w:lineRule="exact"/>
        <w:rPr>
          <w:sz w:val="20"/>
          <w:szCs w:val="20"/>
          <w:color w:val="auto"/>
        </w:rPr>
      </w:pPr>
    </w:p>
    <w:p>
      <w:pPr>
        <w:ind w:right="1500" w:firstLine="612"/>
        <w:spacing w:after="0" w:line="236"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2000, the Company had reserved 3,828,371 shares of common stock for the exercise of stock options.</w:t>
      </w:r>
    </w:p>
    <w:p>
      <w:pPr>
        <w:spacing w:after="0" w:line="179" w:lineRule="exact"/>
        <w:rPr>
          <w:sz w:val="20"/>
          <w:szCs w:val="20"/>
          <w:color w:val="auto"/>
        </w:rPr>
      </w:pPr>
    </w:p>
    <w:p>
      <w:pPr>
        <w:ind w:right="1500" w:firstLine="612"/>
        <w:spacing w:after="0" w:line="235"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94"/>
              </w:rPr>
              <w:t>2000</w:t>
            </w:r>
          </w:p>
        </w:tc>
        <w:tc>
          <w:tcPr>
            <w:tcW w:w="1000" w:type="dxa"/>
            <w:vAlign w:val="bottom"/>
          </w:tcPr>
          <w:p>
            <w:pPr>
              <w:spacing w:after="0"/>
              <w:rPr>
                <w:sz w:val="14"/>
                <w:szCs w:val="14"/>
                <w:color w:val="auto"/>
              </w:rPr>
            </w:pPr>
          </w:p>
        </w:tc>
        <w:tc>
          <w:tcPr>
            <w:tcW w:w="158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88"/>
              </w:rPr>
              <w:t>1999</w:t>
            </w:r>
          </w:p>
        </w:tc>
      </w:tr>
      <w:tr>
        <w:trPr>
          <w:trHeight w:val="168"/>
        </w:trPr>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tcPr>
          <w:p>
            <w:pPr>
              <w:spacing w:after="0"/>
              <w:rPr>
                <w:sz w:val="14"/>
                <w:szCs w:val="14"/>
                <w:color w:val="auto"/>
              </w:rPr>
            </w:pPr>
          </w:p>
        </w:tc>
        <w:tc>
          <w:tcPr>
            <w:tcW w:w="158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WEIGHTED AVERAGE</w:t>
            </w:r>
          </w:p>
        </w:tc>
        <w:tc>
          <w:tcPr>
            <w:tcW w:w="10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WEIGHTED AVERAGE</w:t>
            </w:r>
          </w:p>
        </w:tc>
      </w:tr>
      <w:tr>
        <w:trPr>
          <w:trHeight w:val="168"/>
        </w:trPr>
        <w:tc>
          <w:tcPr>
            <w:tcW w:w="31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OPTIONS</w:t>
            </w: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EXERCISE PRICE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31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939,335</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$2.65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1,654,126</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2,485,090</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4.08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536,078</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(540,927)</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1.015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(604,362)</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(166,532)</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4.77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(646,507)</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5.31</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2,716,966</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4.32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939,335</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$2.65</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731,523</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$4.01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594,216</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$3.44</w:t>
            </w:r>
          </w:p>
        </w:tc>
      </w:tr>
    </w:tbl>
    <w:p>
      <w:pPr>
        <w:spacing w:after="0" w:line="341" w:lineRule="exact"/>
        <w:rPr>
          <w:sz w:val="20"/>
          <w:szCs w:val="20"/>
          <w:color w:val="auto"/>
        </w:rPr>
      </w:pPr>
    </w:p>
    <w:p>
      <w:pPr>
        <w:ind w:right="1500" w:firstLine="612"/>
        <w:spacing w:after="0" w:line="254" w:lineRule="auto"/>
        <w:rPr>
          <w:sz w:val="20"/>
          <w:szCs w:val="20"/>
          <w:color w:val="auto"/>
        </w:rPr>
      </w:pPr>
      <w:r>
        <w:rPr>
          <w:rFonts w:ascii="Courier New" w:cs="Courier New" w:eastAsia="Courier New" w:hAnsi="Courier New"/>
          <w:sz w:val="14"/>
          <w:szCs w:val="14"/>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96,750 of these options vest and become exercisable only upon achievement of specified milestones, and the remaining 78,210 options vest over three years from the date of grant. Additionally, the Company adopted the 1997 StemCells,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were exercisable immediately, 1,031,000 of these options vest and become exercisable only upon achievement of specified milestones and the remaining 469,000 options vest over eight years. For the year 2000 the options have been incorporated into the number of options granted so as to be reflected in the total of options outstanding as of December 31,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1998</w:t>
      </w:r>
    </w:p>
    <w:p>
      <w:pPr>
        <w:ind w:left="9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WEIGHTED AVERAGE</w:t>
      </w:r>
    </w:p>
    <w:p>
      <w:pPr>
        <w:spacing w:after="0" w:line="3"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EXERCISE PRICE</w:t>
      </w:r>
    </w:p>
    <w:p>
      <w:pPr>
        <w:spacing w:after="0" w:line="5"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5"/>
          <w:szCs w:val="15"/>
          <w:color w:val="auto"/>
        </w:rPr>
        <w:t>2,446,573</w:t>
      </w:r>
      <w:r>
        <w:rPr>
          <w:sz w:val="20"/>
          <w:szCs w:val="20"/>
          <w:color w:val="auto"/>
        </w:rPr>
        <w:tab/>
      </w:r>
      <w:r>
        <w:rPr>
          <w:rFonts w:ascii="Courier New" w:cs="Courier New" w:eastAsia="Courier New" w:hAnsi="Courier New"/>
          <w:sz w:val="15"/>
          <w:szCs w:val="15"/>
          <w:color w:val="auto"/>
        </w:rPr>
        <w:t>$7.48</w:t>
      </w:r>
    </w:p>
    <w:p>
      <w:pPr>
        <w:ind w:left="100"/>
        <w:spacing w:after="0" w:line="237" w:lineRule="auto"/>
        <w:tabs>
          <w:tab w:leader="none" w:pos="1640" w:val="left"/>
        </w:tabs>
        <w:rPr>
          <w:sz w:val="20"/>
          <w:szCs w:val="20"/>
          <w:color w:val="auto"/>
        </w:rPr>
      </w:pPr>
      <w:r>
        <w:rPr>
          <w:rFonts w:ascii="Courier New" w:cs="Courier New" w:eastAsia="Courier New" w:hAnsi="Courier New"/>
          <w:sz w:val="15"/>
          <w:szCs w:val="15"/>
          <w:color w:val="auto"/>
        </w:rPr>
        <w:t>1,174,118</w:t>
      </w:r>
      <w:r>
        <w:rPr>
          <w:sz w:val="20"/>
          <w:szCs w:val="20"/>
          <w:color w:val="auto"/>
        </w:rPr>
        <w:tab/>
      </w:r>
      <w:r>
        <w:rPr>
          <w:rFonts w:ascii="Courier New" w:cs="Courier New" w:eastAsia="Courier New" w:hAnsi="Courier New"/>
          <w:sz w:val="15"/>
          <w:szCs w:val="15"/>
          <w:color w:val="auto"/>
        </w:rPr>
        <w:t>1.70</w:t>
      </w:r>
    </w:p>
    <w:p>
      <w:pPr>
        <w:ind w:left="260"/>
        <w:spacing w:after="0" w:line="238" w:lineRule="auto"/>
        <w:tabs>
          <w:tab w:leader="none" w:pos="1740" w:val="left"/>
        </w:tabs>
        <w:rPr>
          <w:sz w:val="20"/>
          <w:szCs w:val="20"/>
          <w:color w:val="auto"/>
        </w:rPr>
      </w:pPr>
      <w:r>
        <w:rPr>
          <w:rFonts w:ascii="Courier New" w:cs="Courier New" w:eastAsia="Courier New" w:hAnsi="Courier New"/>
          <w:sz w:val="15"/>
          <w:szCs w:val="15"/>
          <w:color w:val="auto"/>
        </w:rPr>
        <w:t>(11,012)</w:t>
      </w:r>
      <w:r>
        <w:rPr>
          <w:sz w:val="20"/>
          <w:szCs w:val="20"/>
          <w:color w:val="auto"/>
        </w:rPr>
        <w:tab/>
      </w:r>
      <w:r>
        <w:rPr>
          <w:rFonts w:ascii="Courier New" w:cs="Courier New" w:eastAsia="Courier New" w:hAnsi="Courier New"/>
          <w:sz w:val="15"/>
          <w:szCs w:val="15"/>
          <w:color w:val="auto"/>
        </w:rPr>
        <w:t>.12</w:t>
      </w:r>
    </w:p>
    <w:p>
      <w:pPr>
        <w:spacing w:after="0" w:line="237" w:lineRule="auto"/>
        <w:tabs>
          <w:tab w:leader="none" w:pos="1640" w:val="left"/>
        </w:tabs>
        <w:rPr>
          <w:sz w:val="20"/>
          <w:szCs w:val="20"/>
          <w:color w:val="auto"/>
        </w:rPr>
      </w:pPr>
      <w:r>
        <w:rPr>
          <w:rFonts w:ascii="Courier New" w:cs="Courier New" w:eastAsia="Courier New" w:hAnsi="Courier New"/>
          <w:sz w:val="15"/>
          <w:szCs w:val="15"/>
          <w:color w:val="auto"/>
        </w:rPr>
        <w:t>(1,955,553)</w:t>
      </w:r>
      <w:r>
        <w:rPr>
          <w:sz w:val="20"/>
          <w:szCs w:val="20"/>
          <w:color w:val="auto"/>
        </w:rPr>
        <w:tab/>
      </w:r>
      <w:r>
        <w:rPr>
          <w:rFonts w:ascii="Courier New" w:cs="Courier New" w:eastAsia="Courier New" w:hAnsi="Courier New"/>
          <w:sz w:val="15"/>
          <w:szCs w:val="15"/>
          <w:color w:val="auto"/>
        </w:rPr>
        <w:t>7.08</w:t>
      </w:r>
    </w:p>
    <w:p>
      <w:pPr>
        <w:spacing w:after="0" w:line="167"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5"/>
          <w:szCs w:val="15"/>
          <w:color w:val="auto"/>
        </w:rPr>
        <w:t>1,654,126</w:t>
      </w:r>
      <w:r>
        <w:rPr>
          <w:sz w:val="20"/>
          <w:szCs w:val="20"/>
          <w:color w:val="auto"/>
        </w:rPr>
        <w:tab/>
      </w:r>
      <w:r>
        <w:rPr>
          <w:rFonts w:ascii="Courier New" w:cs="Courier New" w:eastAsia="Courier New" w:hAnsi="Courier New"/>
          <w:sz w:val="15"/>
          <w:szCs w:val="15"/>
          <w:color w:val="auto"/>
        </w:rPr>
        <w:t>$3.62</w:t>
      </w:r>
    </w:p>
    <w:p>
      <w:pPr>
        <w:spacing w:after="0" w:line="166"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5"/>
          <w:szCs w:val="15"/>
          <w:color w:val="auto"/>
        </w:rPr>
        <w:t>1,108,936</w:t>
      </w:r>
      <w:r>
        <w:rPr>
          <w:sz w:val="20"/>
          <w:szCs w:val="20"/>
          <w:color w:val="auto"/>
        </w:rPr>
        <w:tab/>
      </w:r>
      <w:r>
        <w:rPr>
          <w:rFonts w:ascii="Courier New" w:cs="Courier New" w:eastAsia="Courier New" w:hAnsi="Courier New"/>
          <w:sz w:val="15"/>
          <w:szCs w:val="15"/>
          <w:color w:val="auto"/>
        </w:rPr>
        <w:t>$4.33</w:t>
      </w:r>
    </w:p>
    <w:p>
      <w:pPr>
        <w:sectPr>
          <w:pgSz w:w="11900" w:h="16838" w:orient="portrait"/>
          <w:cols w:equalWidth="0" w:num="2">
            <w:col w:w="8500" w:space="340"/>
            <w:col w:w="2540"/>
          </w:cols>
          <w:pgMar w:left="220" w:top="785" w:right="299"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FAS 123 DISCLOSURES</w:t>
      </w:r>
    </w:p>
    <w:p>
      <w:pPr>
        <w:spacing w:after="0" w:line="173" w:lineRule="exact"/>
        <w:rPr>
          <w:sz w:val="20"/>
          <w:szCs w:val="20"/>
          <w:color w:val="auto"/>
        </w:rPr>
      </w:pPr>
    </w:p>
    <w:p>
      <w:pPr>
        <w:ind w:right="4280" w:firstLine="612"/>
        <w:spacing w:after="0" w:line="256"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64" w:lineRule="exact"/>
        <w:rPr>
          <w:sz w:val="20"/>
          <w:szCs w:val="20"/>
          <w:color w:val="auto"/>
        </w:rPr>
      </w:pPr>
    </w:p>
    <w:p>
      <w:pPr>
        <w:ind w:right="4280" w:firstLine="612"/>
        <w:spacing w:after="0" w:line="261"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2000:</w:t>
      </w:r>
    </w:p>
    <w:p>
      <w:pPr>
        <w:sectPr>
          <w:pgSz w:w="11900" w:h="16838" w:orient="portrait"/>
          <w:cols w:equalWidth="0" w:num="1">
            <w:col w:w="11200"/>
          </w:cols>
          <w:pgMar w:left="220" w:top="6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RANGE OF</w:t>
      </w:r>
    </w:p>
    <w:p>
      <w:pPr>
        <w:spacing w:after="0" w:line="237" w:lineRule="auto"/>
        <w:rPr>
          <w:sz w:val="20"/>
          <w:szCs w:val="20"/>
          <w:color w:val="auto"/>
        </w:rPr>
      </w:pPr>
      <w:r>
        <w:rPr>
          <w:rFonts w:ascii="Courier New" w:cs="Courier New" w:eastAsia="Courier New" w:hAnsi="Courier New"/>
          <w:sz w:val="15"/>
          <w:szCs w:val="15"/>
          <w:color w:val="auto"/>
        </w:rPr>
        <w:t>EXERCISE PRICES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OPTIONS OUTSTANDING</w:t>
      </w:r>
    </w:p>
    <w:p>
      <w:pPr>
        <w:ind w:left="700"/>
        <w:spacing w:after="0" w:line="237" w:lineRule="auto"/>
        <w:rPr>
          <w:sz w:val="20"/>
          <w:szCs w:val="20"/>
          <w:color w:val="auto"/>
        </w:rPr>
      </w:pPr>
      <w:r>
        <w:rPr>
          <w:rFonts w:ascii="Courier New" w:cs="Courier New" w:eastAsia="Courier New" w:hAnsi="Courier New"/>
          <w:sz w:val="15"/>
          <w:szCs w:val="15"/>
          <w:color w:val="auto"/>
        </w:rPr>
        <w:t>-------------------</w:t>
      </w:r>
    </w:p>
    <w:p>
      <w:pPr>
        <w:ind w:left="1740"/>
        <w:spacing w:after="0" w:line="238" w:lineRule="auto"/>
        <w:rPr>
          <w:sz w:val="20"/>
          <w:szCs w:val="20"/>
          <w:color w:val="auto"/>
        </w:rPr>
      </w:pPr>
      <w:r>
        <w:rPr>
          <w:rFonts w:ascii="Courier New" w:cs="Courier New" w:eastAsia="Courier New" w:hAnsi="Courier New"/>
          <w:sz w:val="15"/>
          <w:szCs w:val="15"/>
          <w:color w:val="auto"/>
        </w:rPr>
        <w:t>WEIGHTED</w:t>
      </w:r>
    </w:p>
    <w:p>
      <w:pPr>
        <w:ind w:left="1740"/>
        <w:spacing w:after="0" w:line="237" w:lineRule="auto"/>
        <w:rPr>
          <w:sz w:val="20"/>
          <w:szCs w:val="20"/>
          <w:color w:val="auto"/>
        </w:rPr>
      </w:pPr>
      <w:r>
        <w:rPr>
          <w:rFonts w:ascii="Courier New" w:cs="Courier New" w:eastAsia="Courier New" w:hAnsi="Courier New"/>
          <w:sz w:val="15"/>
          <w:szCs w:val="15"/>
          <w:color w:val="auto"/>
        </w:rPr>
        <w:t>AVERAGE</w:t>
      </w:r>
    </w:p>
    <w:p>
      <w:pPr>
        <w:ind w:left="1740"/>
        <w:spacing w:after="0" w:line="238" w:lineRule="auto"/>
        <w:rPr>
          <w:sz w:val="20"/>
          <w:szCs w:val="20"/>
          <w:color w:val="auto"/>
        </w:rPr>
      </w:pPr>
      <w:r>
        <w:rPr>
          <w:rFonts w:ascii="Courier New" w:cs="Courier New" w:eastAsia="Courier New" w:hAnsi="Courier New"/>
          <w:sz w:val="15"/>
          <w:szCs w:val="15"/>
          <w:color w:val="auto"/>
        </w:rPr>
        <w:t>REMAINING</w:t>
      </w:r>
    </w:p>
    <w:p>
      <w:pPr>
        <w:ind w:left="180"/>
        <w:spacing w:after="0" w:line="237" w:lineRule="auto"/>
        <w:tabs>
          <w:tab w:leader="none" w:pos="17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p>
    <w:p>
      <w:pPr>
        <w:spacing w:after="0" w:line="238" w:lineRule="auto"/>
        <w:tabs>
          <w:tab w:leader="none" w:pos="172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LIFE (YRS.)</w:t>
      </w:r>
    </w:p>
    <w:p>
      <w:pPr>
        <w:spacing w:after="0" w:line="5" w:lineRule="exact"/>
        <w:rPr>
          <w:sz w:val="20"/>
          <w:szCs w:val="20"/>
          <w:color w:val="auto"/>
        </w:rPr>
      </w:pPr>
    </w:p>
    <w:p>
      <w:pPr>
        <w:ind w:left="180"/>
        <w:spacing w:after="0"/>
        <w:tabs>
          <w:tab w:leader="none" w:pos="1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w:t>
      </w:r>
    </w:p>
    <w:p>
      <w:pPr>
        <w:spacing w:after="0" w:line="237" w:lineRule="auto"/>
        <w:rPr>
          <w:sz w:val="20"/>
          <w:szCs w:val="20"/>
          <w:color w:val="auto"/>
        </w:rPr>
      </w:pPr>
      <w:r>
        <w:rPr>
          <w:rFonts w:ascii="Courier New" w:cs="Courier New" w:eastAsia="Courier New" w:hAnsi="Courier New"/>
          <w:sz w:val="15"/>
          <w:szCs w:val="15"/>
          <w:color w:val="auto"/>
        </w:rPr>
        <w:t>AVERAGE</w:t>
      </w:r>
    </w:p>
    <w:p>
      <w:pPr>
        <w:spacing w:after="0" w:line="238" w:lineRule="auto"/>
        <w:rPr>
          <w:sz w:val="20"/>
          <w:szCs w:val="20"/>
          <w:color w:val="auto"/>
        </w:rPr>
      </w:pPr>
      <w:r>
        <w:rPr>
          <w:rFonts w:ascii="Courier New" w:cs="Courier New" w:eastAsia="Courier New" w:hAnsi="Courier New"/>
          <w:sz w:val="15"/>
          <w:szCs w:val="15"/>
          <w:color w:val="auto"/>
        </w:rPr>
        <w:t>EXERCISE</w:t>
      </w:r>
    </w:p>
    <w:p>
      <w:pPr>
        <w:ind w:left="100"/>
        <w:spacing w:after="0" w:line="237" w:lineRule="auto"/>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EXERCISABLE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NUMBER</w:t>
      </w:r>
    </w:p>
    <w:p>
      <w:pPr>
        <w:ind w:left="260"/>
        <w:spacing w:after="0" w:line="237" w:lineRule="auto"/>
        <w:rPr>
          <w:sz w:val="20"/>
          <w:szCs w:val="20"/>
          <w:color w:val="auto"/>
        </w:rPr>
      </w:pPr>
      <w:r>
        <w:rPr>
          <w:rFonts w:ascii="Courier New" w:cs="Courier New" w:eastAsia="Courier New" w:hAnsi="Courier New"/>
          <w:sz w:val="15"/>
          <w:szCs w:val="15"/>
          <w:color w:val="auto"/>
        </w:rPr>
        <w:t>EXERCISABLE</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w:t>
      </w:r>
    </w:p>
    <w:p>
      <w:pPr>
        <w:spacing w:after="0" w:line="237" w:lineRule="auto"/>
        <w:rPr>
          <w:sz w:val="20"/>
          <w:szCs w:val="20"/>
          <w:color w:val="auto"/>
        </w:rPr>
      </w:pPr>
      <w:r>
        <w:rPr>
          <w:rFonts w:ascii="Courier New" w:cs="Courier New" w:eastAsia="Courier New" w:hAnsi="Courier New"/>
          <w:sz w:val="15"/>
          <w:szCs w:val="15"/>
          <w:color w:val="auto"/>
        </w:rPr>
        <w:t>AVERAGE</w:t>
      </w:r>
    </w:p>
    <w:p>
      <w:pPr>
        <w:spacing w:after="0" w:line="238" w:lineRule="auto"/>
        <w:rPr>
          <w:sz w:val="20"/>
          <w:szCs w:val="20"/>
          <w:color w:val="auto"/>
        </w:rPr>
      </w:pPr>
      <w:r>
        <w:rPr>
          <w:rFonts w:ascii="Courier New" w:cs="Courier New" w:eastAsia="Courier New" w:hAnsi="Courier New"/>
          <w:sz w:val="15"/>
          <w:szCs w:val="15"/>
          <w:color w:val="auto"/>
        </w:rPr>
        <w:t>EXERCISE</w:t>
      </w:r>
    </w:p>
    <w:p>
      <w:pPr>
        <w:ind w:left="80"/>
        <w:spacing w:after="0" w:line="237" w:lineRule="auto"/>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2440" w:space="720"/>
            <w:col w:w="2880" w:space="260"/>
            <w:col w:w="880" w:space="180"/>
            <w:col w:w="1660" w:space="0"/>
            <w:col w:w="2180"/>
          </w:cols>
          <w:pgMar w:left="220" w:top="617" w:right="4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than $5.00.................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$5.01 - $10.00..................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Greater than $10.00.............</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944,216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1,691,750</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81,000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2,716,966</w:t>
      </w:r>
    </w:p>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Courier New" w:cs="Courier New" w:eastAsia="Courier New" w:hAnsi="Courier New"/>
          <w:sz w:val="15"/>
          <w:szCs w:val="15"/>
          <w:color w:val="auto"/>
        </w:rPr>
        <w:t>8.68</w:t>
      </w:r>
      <w:r>
        <w:rPr>
          <w:sz w:val="20"/>
          <w:szCs w:val="20"/>
          <w:color w:val="auto"/>
        </w:rPr>
        <w:tab/>
      </w:r>
      <w:r>
        <w:rPr>
          <w:rFonts w:ascii="Courier New" w:cs="Courier New" w:eastAsia="Courier New" w:hAnsi="Courier New"/>
          <w:sz w:val="15"/>
          <w:szCs w:val="15"/>
          <w:color w:val="auto"/>
        </w:rPr>
        <w:t>$2.063</w:t>
      </w:r>
    </w:p>
    <w:p>
      <w:pPr>
        <w:spacing w:after="0" w:line="237" w:lineRule="auto"/>
        <w:tabs>
          <w:tab w:leader="none" w:pos="1200" w:val="left"/>
        </w:tabs>
        <w:rPr>
          <w:sz w:val="20"/>
          <w:szCs w:val="20"/>
          <w:color w:val="auto"/>
        </w:rPr>
      </w:pPr>
      <w:r>
        <w:rPr>
          <w:rFonts w:ascii="Courier New" w:cs="Courier New" w:eastAsia="Courier New" w:hAnsi="Courier New"/>
          <w:sz w:val="15"/>
          <w:szCs w:val="15"/>
          <w:color w:val="auto"/>
        </w:rPr>
        <w:t>6.87</w:t>
      </w:r>
      <w:r>
        <w:rPr>
          <w:sz w:val="20"/>
          <w:szCs w:val="20"/>
          <w:color w:val="auto"/>
        </w:rPr>
        <w:tab/>
      </w:r>
      <w:r>
        <w:rPr>
          <w:rFonts w:ascii="Courier New" w:cs="Courier New" w:eastAsia="Courier New" w:hAnsi="Courier New"/>
          <w:sz w:val="15"/>
          <w:szCs w:val="15"/>
          <w:color w:val="auto"/>
        </w:rPr>
        <w:t>5.26</w:t>
      </w:r>
    </w:p>
    <w:p>
      <w:pPr>
        <w:spacing w:after="0"/>
        <w:tabs>
          <w:tab w:leader="none" w:pos="112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4"/>
          <w:szCs w:val="14"/>
          <w:color w:val="auto"/>
        </w:rPr>
        <w:t>11.03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370,023</w:t>
      </w: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280,500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81,000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731,523</w:t>
      </w:r>
    </w:p>
    <w:p>
      <w:pPr>
        <w:spacing w:after="0" w:line="20" w:lineRule="exact"/>
        <w:rPr>
          <w:sz w:val="20"/>
          <w:szCs w:val="20"/>
          <w:color w:val="auto"/>
        </w:rPr>
      </w:pPr>
      <w:r>
        <w:rPr>
          <w:sz w:val="20"/>
          <w:szCs w:val="20"/>
          <w:color w:val="auto"/>
        </w:rPr>
        <w:br w:type="column"/>
      </w:r>
    </w:p>
    <w:p>
      <w:pPr>
        <w:jc w:val="right"/>
        <w:ind w:right="1660"/>
        <w:spacing w:after="0"/>
        <w:rPr>
          <w:sz w:val="20"/>
          <w:szCs w:val="20"/>
          <w:color w:val="auto"/>
        </w:rPr>
      </w:pPr>
      <w:r>
        <w:rPr>
          <w:rFonts w:ascii="Courier New" w:cs="Courier New" w:eastAsia="Courier New" w:hAnsi="Courier New"/>
          <w:sz w:val="14"/>
          <w:szCs w:val="14"/>
          <w:color w:val="auto"/>
        </w:rPr>
        <w:t>$1.53</w:t>
      </w:r>
    </w:p>
    <w:p>
      <w:pPr>
        <w:spacing w:after="0" w:line="3" w:lineRule="exact"/>
        <w:rPr>
          <w:sz w:val="20"/>
          <w:szCs w:val="20"/>
          <w:color w:val="auto"/>
        </w:rPr>
      </w:pPr>
    </w:p>
    <w:p>
      <w:pPr>
        <w:jc w:val="right"/>
        <w:ind w:right="1660"/>
        <w:spacing w:after="0"/>
        <w:rPr>
          <w:sz w:val="20"/>
          <w:szCs w:val="20"/>
          <w:color w:val="auto"/>
        </w:rPr>
      </w:pPr>
      <w:r>
        <w:rPr>
          <w:rFonts w:ascii="Courier New" w:cs="Courier New" w:eastAsia="Courier New" w:hAnsi="Courier New"/>
          <w:sz w:val="15"/>
          <w:szCs w:val="15"/>
          <w:color w:val="auto"/>
        </w:rPr>
        <w:t>5.27</w:t>
      </w:r>
    </w:p>
    <w:p>
      <w:pPr>
        <w:spacing w:after="0" w:line="5" w:lineRule="exact"/>
        <w:rPr>
          <w:sz w:val="20"/>
          <w:szCs w:val="20"/>
          <w:color w:val="auto"/>
        </w:rPr>
      </w:pPr>
    </w:p>
    <w:p>
      <w:pPr>
        <w:jc w:val="right"/>
        <w:ind w:right="1660"/>
        <w:spacing w:after="0"/>
        <w:rPr>
          <w:sz w:val="20"/>
          <w:szCs w:val="20"/>
          <w:color w:val="auto"/>
        </w:rPr>
      </w:pPr>
      <w:r>
        <w:rPr>
          <w:rFonts w:ascii="Courier New" w:cs="Courier New" w:eastAsia="Courier New" w:hAnsi="Courier New"/>
          <w:sz w:val="14"/>
          <w:szCs w:val="14"/>
          <w:color w:val="auto"/>
        </w:rPr>
        <w:t>11.03</w:t>
      </w:r>
    </w:p>
    <w:p>
      <w:pPr>
        <w:spacing w:after="0" w:line="368" w:lineRule="exact"/>
        <w:rPr>
          <w:sz w:val="20"/>
          <w:szCs w:val="20"/>
          <w:color w:val="auto"/>
        </w:rPr>
      </w:pPr>
    </w:p>
    <w:p>
      <w:pPr>
        <w:sectPr>
          <w:pgSz w:w="11900" w:h="16838" w:orient="portrait"/>
          <w:cols w:equalWidth="0" w:num="5">
            <w:col w:w="2800" w:space="540"/>
            <w:col w:w="1200" w:space="720"/>
            <w:col w:w="1820" w:space="720"/>
            <w:col w:w="600" w:space="700"/>
            <w:col w:w="2100"/>
          </w:cols>
          <w:pgMar w:left="220" w:top="617" w:right="479" w:bottom="1440" w:gutter="0" w:footer="0" w:header="0"/>
          <w:type w:val="continuous"/>
        </w:sectPr>
      </w:pPr>
    </w:p>
    <w:p>
      <w:pPr>
        <w:spacing w:after="0" w:line="146" w:lineRule="exact"/>
        <w:rPr>
          <w:sz w:val="20"/>
          <w:szCs w:val="20"/>
          <w:color w:val="auto"/>
        </w:rPr>
      </w:pPr>
    </w:p>
    <w:p>
      <w:pPr>
        <w:ind w:right="4280" w:firstLine="612"/>
        <w:spacing w:after="0" w:line="236"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2000, 1999, and 1998, as if the compensation cost for the option plans and the stock purchase plan had been determined based on the fair value at the grant date for grants in 2000, 1999, and 1998, consistent with the provisions of FAS 123:</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2000</w:t>
            </w:r>
          </w:p>
        </w:tc>
        <w:tc>
          <w:tcPr>
            <w:tcW w:w="1360" w:type="dxa"/>
            <w:vAlign w:val="bottom"/>
          </w:tcPr>
          <w:p>
            <w:pPr>
              <w:spacing w:after="0"/>
              <w:rPr>
                <w:sz w:val="14"/>
                <w:szCs w:val="14"/>
                <w:color w:val="auto"/>
              </w:rPr>
            </w:pPr>
          </w:p>
        </w:tc>
        <w:tc>
          <w:tcPr>
            <w:tcW w:w="1560" w:type="dxa"/>
            <w:vAlign w:val="bottom"/>
          </w:tcPr>
          <w:p>
            <w:pPr>
              <w:jc w:val="right"/>
              <w:ind w:right="1107"/>
              <w:spacing w:after="0"/>
              <w:rPr>
                <w:sz w:val="20"/>
                <w:szCs w:val="20"/>
                <w:color w:val="auto"/>
              </w:rPr>
            </w:pPr>
            <w:r>
              <w:rPr>
                <w:rFonts w:ascii="Courier New" w:cs="Courier New" w:eastAsia="Courier New" w:hAnsi="Courier New"/>
                <w:sz w:val="15"/>
                <w:szCs w:val="15"/>
                <w:color w:val="auto"/>
                <w:w w:val="99"/>
              </w:rPr>
              <w:t>1999</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56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AS REPORTED</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 FORMA</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REPORTED</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PRO FORMA</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AS REPORTED</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5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$(11,125,477)</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$(12,160,752)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$(15,708,626)</w:t>
            </w: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$(15,764,569)</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$(12,627,830)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$(14,919,389)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share.........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1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bl>
    <w:p>
      <w:pPr>
        <w:spacing w:after="0" w:line="341" w:lineRule="exact"/>
        <w:rPr>
          <w:sz w:val="20"/>
          <w:szCs w:val="20"/>
          <w:color w:val="auto"/>
        </w:rPr>
      </w:pPr>
    </w:p>
    <w:p>
      <w:pPr>
        <w:ind w:right="4200" w:firstLine="612"/>
        <w:spacing w:after="0" w:line="236" w:lineRule="auto"/>
        <w:rPr>
          <w:sz w:val="20"/>
          <w:szCs w:val="20"/>
          <w:color w:val="auto"/>
        </w:rPr>
      </w:pPr>
      <w:r>
        <w:rPr>
          <w:rFonts w:ascii="Courier New" w:cs="Courier New" w:eastAsia="Courier New" w:hAnsi="Courier New"/>
          <w:sz w:val="15"/>
          <w:szCs w:val="15"/>
          <w:color w:val="auto"/>
        </w:rPr>
        <w:t>The weighted average fair value per share of options granted during 2000, 1999 and 1998 was $4.13,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OPTIONS</w:t>
            </w:r>
          </w:p>
        </w:tc>
        <w:tc>
          <w:tcPr>
            <w:tcW w:w="780" w:type="dxa"/>
            <w:vAlign w:val="bottom"/>
          </w:tcPr>
          <w:p>
            <w:pPr>
              <w:spacing w:after="0"/>
              <w:rPr>
                <w:sz w:val="14"/>
                <w:szCs w:val="14"/>
                <w:color w:val="auto"/>
              </w:rPr>
            </w:pPr>
          </w:p>
        </w:tc>
        <w:tc>
          <w:tcPr>
            <w:tcW w:w="22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STOCK PURCHASE PLAN</w:t>
            </w:r>
          </w:p>
        </w:tc>
      </w:tr>
      <w:tr>
        <w:trPr>
          <w:trHeight w:val="168"/>
        </w:trPr>
        <w:tc>
          <w:tcPr>
            <w:tcW w:w="3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2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9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Expected life (years).......................</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rate...............................</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Volatility..................................</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63.5%</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r>
    </w:tbl>
    <w:p>
      <w:pPr>
        <w:spacing w:after="0" w:line="341" w:lineRule="exact"/>
        <w:rPr>
          <w:sz w:val="20"/>
          <w:szCs w:val="20"/>
          <w:color w:val="auto"/>
        </w:rPr>
      </w:pPr>
    </w:p>
    <w:p>
      <w:pPr>
        <w:ind w:right="4200" w:firstLine="612"/>
        <w:spacing w:after="0" w:line="235"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 On August 04, 1999 the board suspended the 1992 Employee Stock Purchase Plan.</w:t>
      </w:r>
    </w:p>
    <w:p>
      <w:pPr>
        <w:spacing w:after="0" w:line="174" w:lineRule="exact"/>
        <w:rPr>
          <w:sz w:val="20"/>
          <w:szCs w:val="20"/>
          <w:color w:val="auto"/>
        </w:rPr>
      </w:pPr>
    </w:p>
    <w:p>
      <w:pPr>
        <w:ind w:right="4200" w:firstLine="612"/>
        <w:spacing w:after="0" w:line="236" w:lineRule="auto"/>
        <w:rPr>
          <w:sz w:val="20"/>
          <w:szCs w:val="20"/>
          <w:color w:val="auto"/>
        </w:rPr>
      </w:pPr>
      <w:r>
        <w:rPr>
          <w:rFonts w:ascii="Courier New" w:cs="Courier New" w:eastAsia="Courier New" w:hAnsi="Courier New"/>
          <w:sz w:val="15"/>
          <w:szCs w:val="15"/>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ectPr>
          <w:pgSz w:w="11900" w:h="16838" w:orient="portrait"/>
          <w:cols w:equalWidth="0" w:num="1">
            <w:col w:w="11200"/>
          </w:cols>
          <w:pgMar w:left="220" w:top="617" w:right="479"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STOCK WARRANTS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issued warrants to purchase 8,952 shares of common stock in conjunction with the StemCells California merger, warrants to purchase 31,545 shares in conjunction with various equipment leasing agreements, and warrants to purchase 434,500 shares in connection with a public offering of common stock in April 1995. All of these expired at various dates in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RESERVED</w:t>
      </w:r>
    </w:p>
    <w:p>
      <w:pPr>
        <w:spacing w:after="0" w:line="173" w:lineRule="exact"/>
        <w:rPr>
          <w:sz w:val="20"/>
          <w:szCs w:val="20"/>
          <w:color w:val="auto"/>
        </w:rPr>
      </w:pPr>
    </w:p>
    <w:p>
      <w:pPr>
        <w:ind w:right="3499" w:firstLine="612"/>
        <w:spacing w:after="0" w:line="261" w:lineRule="auto"/>
        <w:rPr>
          <w:sz w:val="20"/>
          <w:szCs w:val="20"/>
          <w:color w:val="auto"/>
        </w:rPr>
      </w:pPr>
      <w:r>
        <w:rPr>
          <w:rFonts w:ascii="Courier New" w:cs="Courier New" w:eastAsia="Courier New" w:hAnsi="Courier New"/>
          <w:sz w:val="14"/>
          <w:szCs w:val="14"/>
          <w:color w:val="auto"/>
        </w:rPr>
        <w:t>The Company has the following shares of common stock reserved for the exercise of options, warrants and other contingent issuances of common stock.</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Shares reserved</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exercise of stock options...............................................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3,828,371</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reserved</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for</w:t>
            </w:r>
          </w:p>
        </w:tc>
        <w:tc>
          <w:tcPr>
            <w:tcW w:w="6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warrants................................................................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2,292,625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StemCell option</w:t>
            </w:r>
          </w:p>
        </w:tc>
        <w:tc>
          <w:tcPr>
            <w:tcW w:w="70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conversions.................................................................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250,344</w:t>
            </w:r>
          </w:p>
        </w:tc>
      </w:tr>
      <w:tr>
        <w:trPr>
          <w:trHeight w:val="336"/>
        </w:trPr>
        <w:tc>
          <w:tcPr>
            <w:tcW w:w="1720" w:type="dxa"/>
            <w:vAlign w:val="bottom"/>
            <w:gridSpan w:val="2"/>
          </w:tcPr>
          <w:p>
            <w:pPr>
              <w:spacing w:after="0"/>
              <w:rPr>
                <w:sz w:val="20"/>
                <w:szCs w:val="20"/>
                <w:color w:val="auto"/>
              </w:rPr>
            </w:pPr>
            <w:r>
              <w:rPr>
                <w:rFonts w:ascii="Courier New" w:cs="Courier New" w:eastAsia="Courier New" w:hAnsi="Courier New"/>
                <w:sz w:val="4"/>
                <w:szCs w:val="4"/>
                <w:color w:val="auto"/>
                <w:w w:val="76"/>
              </w:rPr>
              <w:t>Total.......................................................................................</w:t>
            </w:r>
          </w:p>
        </w:tc>
        <w:tc>
          <w:tcPr>
            <w:tcW w:w="6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6,371,340</w:t>
            </w:r>
          </w:p>
        </w:tc>
      </w:tr>
    </w:tbl>
    <w:p>
      <w:pPr>
        <w:spacing w:after="0" w:line="335"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$307,000 in 1998, $309,000 in 1999, and $225,739 in 2000.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74"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ectPr>
          <w:pgSz w:w="11900" w:h="16838" w:orient="portrait"/>
          <w:cols w:equalWidth="0" w:num="1">
            <w:col w:w="10239"/>
          </w:cols>
          <w:pgMar w:left="220" w:top="785" w:right="1440" w:bottom="1440" w:gutter="0" w:footer="0" w:header="0"/>
        </w:sectPr>
      </w:pPr>
    </w:p>
    <w:bookmarkStart w:id="44" w:name="page45"/>
    <w:bookmarkEnd w:id="44"/>
    <w:p>
      <w:pPr>
        <w:ind w:right="3319" w:firstLine="612"/>
        <w:spacing w:after="0" w:line="255"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 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$314,000, $868,000, and $1,259,000 for the years ended December 31, 2000, 1999 and 1998, respectively. The Company has no other significant collaborative research funding obligations.</w:t>
      </w:r>
    </w:p>
    <w:p>
      <w:pPr>
        <w:spacing w:after="0" w:line="157"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Due to net losses incurred by the Company in each year since inception, no provision for income taxes has been recorded. At December 31, 2000, the Company had tax net operating loss carry forwards of $110,000,000 and research and development tax credit carry forwards of $4,100,000, which expire in the years 2004 through 2020. 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78" w:lineRule="exact"/>
        <w:rPr>
          <w:sz w:val="20"/>
          <w:szCs w:val="20"/>
          <w:color w:val="auto"/>
        </w:rPr>
      </w:pPr>
    </w:p>
    <w:p>
      <w:pPr>
        <w:ind w:right="4099" w:firstLine="612"/>
        <w:spacing w:after="0" w:line="234"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Capitalized research and development costs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6,000,000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4,331,000</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operating losses .....................</w:t>
            </w:r>
          </w:p>
        </w:tc>
        <w:tc>
          <w:tcPr>
            <w:tcW w:w="4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44,000,000</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38,478,000</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Research and development credits .........</w:t>
            </w:r>
          </w:p>
        </w:tc>
        <w:tc>
          <w:tcPr>
            <w:tcW w:w="4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4,260,000</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4,035,000</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1,020,000</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928,000</w:t>
            </w:r>
          </w:p>
        </w:tc>
      </w:tr>
      <w:tr>
        <w:trPr>
          <w:trHeight w:val="336"/>
        </w:trPr>
        <w:tc>
          <w:tcPr>
            <w:tcW w:w="4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55,280,000</w:t>
            </w:r>
          </w:p>
        </w:tc>
        <w:tc>
          <w:tcPr>
            <w:tcW w:w="3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47,772,000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Unrealized gain on investment ............</w:t>
            </w:r>
          </w:p>
        </w:tc>
        <w:tc>
          <w:tcPr>
            <w:tcW w:w="48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(6,543,000)</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Patents ..................................</w:t>
            </w:r>
          </w:p>
        </w:tc>
        <w:tc>
          <w:tcPr>
            <w:tcW w:w="48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(127,000)</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(246,000)</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Valuation allowance ......................</w:t>
            </w:r>
          </w:p>
        </w:tc>
        <w:tc>
          <w:tcPr>
            <w:tcW w:w="17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(48,610,000)</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(47,526,000)</w:t>
            </w:r>
          </w:p>
        </w:tc>
      </w:tr>
      <w:tr>
        <w:trPr>
          <w:trHeight w:val="336"/>
        </w:trPr>
        <w:tc>
          <w:tcPr>
            <w:tcW w:w="41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Net deferred tax assets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612"/>
        <w:spacing w:after="0" w:line="256" w:lineRule="auto"/>
        <w:rPr>
          <w:sz w:val="20"/>
          <w:szCs w:val="20"/>
          <w:color w:val="auto"/>
        </w:rPr>
      </w:pPr>
      <w:r>
        <w:rPr>
          <w:rFonts w:ascii="Courier New" w:cs="Courier New" w:eastAsia="Courier New" w:hAnsi="Courier New"/>
          <w:sz w:val="14"/>
          <w:szCs w:val="14"/>
          <w:color w:val="auto"/>
        </w:rPr>
        <w:t>Realization of deferred tax assets is dependent upon future earnings, if any, the timing and amount of which are uncertain. Accordingly, the net deferred tax assets have been fully offset by a valuation allowance. The valuation allowance increased by $6,272,000 during 1999, and $5,459,000 during 1998.</w:t>
      </w:r>
    </w:p>
    <w:p>
      <w:pPr>
        <w:spacing w:after="0" w:line="158"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$33,000, $103,000, and $146,000 for the years ended December 31, 2000, 1999 and 1998, respectively.</w:t>
      </w:r>
    </w:p>
    <w:p>
      <w:pPr>
        <w:spacing w:after="0" w:line="169"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3"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w:t>
      </w:r>
    </w:p>
    <w:p>
      <w:pPr>
        <w:sectPr>
          <w:pgSz w:w="11900" w:h="16838" w:orient="portrait"/>
          <w:cols w:equalWidth="0" w:num="1">
            <w:col w:w="10239"/>
          </w:cols>
          <w:pgMar w:left="220" w:top="792" w:right="1440" w:bottom="1440" w:gutter="0" w:footer="0" w:header="0"/>
        </w:sectPr>
      </w:pPr>
    </w:p>
    <w:bookmarkStart w:id="45" w:name="page46"/>
    <w:bookmarkEnd w:id="45"/>
    <w:p>
      <w:pPr>
        <w:ind w:right="3239"/>
        <w:spacing w:after="0" w:line="255" w:lineRule="auto"/>
        <w:rPr>
          <w:sz w:val="20"/>
          <w:szCs w:val="20"/>
          <w:color w:val="auto"/>
        </w:rPr>
      </w:pPr>
      <w:r>
        <w:rPr>
          <w:rFonts w:ascii="Courier New" w:cs="Courier New" w:eastAsia="Courier New" w:hAnsi="Courier New"/>
          <w:sz w:val="14"/>
          <w:szCs w:val="14"/>
          <w:color w:val="auto"/>
        </w:rPr>
        <w:t>Stanford Research Park in Palo Alto, California. The new facility includes animal space, laboratories, offices, and a GMP (Good Manufacturing Practices) suite. GMP facilities can be used to manufacture materials for clinical trials. The rent will average approximately $3.15 million per year over the term of the lease. The Company continues to lease the facilities in Lincoln, Rhode Island 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64"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w:t>
      </w:r>
    </w:p>
    <w:p>
      <w:pPr>
        <w:spacing w:after="0" w:line="17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On January 9, 2001, the Company sold 22,616 Modex shares for a net price of 182.00 Swiss francs per share, which converts to $112.76 per share, for total proceeds of $2,550,000. In connection with this sale, the Company agreed not to resell any more of its Modex shares until April 12, 2001. On March 07, 2001 the market price of Modex stock was 145.00 Swiss francs which converts to $84.31 using exchange rates on that date, which represents an estimated fair market value of $8,732,797 for the remaining shares. If the Company were to seek to liquidate all or part of the remaining 103,577 Modex shares, the proceeds would depend on the share price and foreign currency exchange rates at the time of conversion.</w:t>
      </w:r>
    </w:p>
    <w:p>
      <w:pPr>
        <w:spacing w:after="0" w:line="173"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FIRST</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2"/>
              </w:rPr>
              <w:t>SECOND</w:t>
            </w:r>
          </w:p>
        </w:tc>
        <w:tc>
          <w:tcPr>
            <w:tcW w:w="140" w:type="dxa"/>
            <w:vAlign w:val="bottom"/>
          </w:tcPr>
          <w:p>
            <w:pPr>
              <w:spacing w:after="0"/>
              <w:rPr>
                <w:sz w:val="14"/>
                <w:szCs w:val="14"/>
                <w:color w:val="auto"/>
              </w:rPr>
            </w:pPr>
          </w:p>
        </w:tc>
        <w:tc>
          <w:tcPr>
            <w:tcW w:w="1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3"/>
              </w:rPr>
              <w:t>THIRD</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FOURTH</w:t>
            </w:r>
          </w:p>
        </w:tc>
      </w:tr>
      <w:tr>
        <w:trPr>
          <w:trHeight w:val="168"/>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2"/>
              </w:rPr>
              <w:t>------</w:t>
            </w:r>
          </w:p>
        </w:tc>
        <w:tc>
          <w:tcPr>
            <w:tcW w:w="140" w:type="dxa"/>
            <w:vAlign w:val="bottom"/>
          </w:tcPr>
          <w:p>
            <w:pPr>
              <w:spacing w:after="0"/>
              <w:rPr>
                <w:sz w:val="14"/>
                <w:szCs w:val="14"/>
                <w:color w:val="auto"/>
              </w:rPr>
            </w:pPr>
          </w:p>
        </w:tc>
        <w:tc>
          <w:tcPr>
            <w:tcW w:w="1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3"/>
              </w:rPr>
              <w:t>-----</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(IN THOUSANDS, EXCEPT PER SHARE 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revenue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 expenses .................................</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1,799</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1,939</w:t>
            </w:r>
          </w:p>
        </w:tc>
        <w:tc>
          <w:tcPr>
            <w:tcW w:w="14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2,553</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6,378</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Loss ...........................................</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(1,794)</w:t>
            </w:r>
          </w:p>
        </w:tc>
        <w:tc>
          <w:tcPr>
            <w:tcW w:w="7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(532)</w:t>
            </w:r>
          </w:p>
        </w:tc>
        <w:tc>
          <w:tcPr>
            <w:tcW w:w="1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(2,539)</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(6,260)</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Basic and diluted net loss per share applicable to</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shareholders before cumulative effect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(0.13)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principle(1)  ......................................</w:t>
            </w:r>
          </w:p>
        </w:tc>
        <w:tc>
          <w:tcPr>
            <w:tcW w:w="2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loss per share applicable to common shareholders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(0.13)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revenue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2,521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 expenses .................................</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4,562</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4,454</w:t>
            </w:r>
          </w:p>
        </w:tc>
        <w:tc>
          <w:tcPr>
            <w:tcW w:w="14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6,690</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5,253</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Loss ...........................................</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(1,932)</w:t>
            </w:r>
          </w:p>
        </w:tc>
        <w:tc>
          <w:tcPr>
            <w:tcW w:w="7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(1,840)</w:t>
            </w:r>
          </w:p>
        </w:tc>
        <w:tc>
          <w:tcPr>
            <w:tcW w:w="1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(6,711)</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(5,226)</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Basic and diluted net loss per share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(0.36)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(0.27)</w:t>
            </w:r>
          </w:p>
        </w:tc>
      </w:tr>
      <w:tr>
        <w:trPr>
          <w:trHeight w:val="505"/>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w w:val="99"/>
              </w:rPr>
              <w:t>See note 2 to the Consolidated Financial Statements</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DIRECTORS AND EXECUTIVE OFFICERS OF THE REGISTRANT, PROMOTERS AND CONTROL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54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AGE</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John J. Schwartz, Ph.D.........................</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Martin M. McGlynn..............................</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Director, President and Chief Executive Officer</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 J. Levin..................................</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Roger M. Perlmutter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M.D., Ph.D.................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Irving L. Weissman,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Ann Tsukamoto, Ph.D............................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Scientific Operations</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Ronnda Bartel, Ph.D............................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Scientific Development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John J. Schwartz, Ph.D., was elected to the board of directors in 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 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 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Tularik, Inc. 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July 1984 to February 1997. Dr Perlmutter has been a member of the board of directors of The Irvington Institute for Immunological Research since 1997 and of the Institute for Systems Biology since 1999. He also serves as President of the Merck Genome Research Institute, a position he has held since March 2000. Irving L. Weissman, M.D., Director, is the Karel and Avice Beekhuis Professor of Cancer Biology, Professor of Pathology and Professor of Developmental Biology at Stanford University. Stanford has employed Dr. Weissman since July 1967, and he has been a Faculty member since January 1969. He has been a full professor of pathology since September 1987, and also of developmental biology since</w:t>
      </w:r>
    </w:p>
    <w:p>
      <w:pPr>
        <w:sectPr>
          <w:pgSz w:w="11900" w:h="16838" w:orient="portrait"/>
          <w:cols w:equalWidth="0" w:num="1">
            <w:col w:w="10239"/>
          </w:cols>
          <w:pgMar w:left="220" w:top="785" w:right="1440" w:bottom="1440" w:gutter="0" w:footer="0" w:header="0"/>
        </w:sectPr>
      </w:pPr>
    </w:p>
    <w:bookmarkStart w:id="47" w:name="page48"/>
    <w:bookmarkEnd w:id="47"/>
    <w:p>
      <w:pPr>
        <w:ind w:right="4540"/>
        <w:spacing w:after="0" w:line="236" w:lineRule="auto"/>
        <w:rPr>
          <w:sz w:val="20"/>
          <w:szCs w:val="20"/>
          <w:color w:val="auto"/>
        </w:rPr>
      </w:pPr>
      <w:r>
        <w:rPr>
          <w:rFonts w:ascii="Courier New" w:cs="Courier New" w:eastAsia="Courier New" w:hAnsi="Courier New"/>
          <w:sz w:val="15"/>
          <w:szCs w:val="15"/>
          <w:color w:val="auto"/>
        </w:rPr>
        <w:t>July 1989. Since October 1990, Dr. Weissman has also served as a professor of biology (by courtesy). He has been Chairman of the Stanford University Immunology Program since 1986. Dr. Weissman was a cofounder of SyStemix, Inc., and Chairman of its Scientific Advisory Board. He has served on the Scientific Advisory Boards of Amgen Inc., DNAX and T-Cell Sciences, Inc. Dr. Weissman is a member of the National Academy of Sciences and also serves as Chairman of our Scientific Advisory Board. He also serves as Chief Executive Officer and a member of the Board of Managers of Celtrans, LLC.</w:t>
      </w:r>
    </w:p>
    <w:p>
      <w:pPr>
        <w:spacing w:after="0" w:line="177" w:lineRule="exact"/>
        <w:rPr>
          <w:sz w:val="20"/>
          <w:szCs w:val="20"/>
          <w:color w:val="auto"/>
        </w:rPr>
      </w:pPr>
    </w:p>
    <w:p>
      <w:pPr>
        <w:ind w:right="4460" w:firstLine="612"/>
        <w:spacing w:after="0" w:line="255" w:lineRule="auto"/>
        <w:rPr>
          <w:sz w:val="20"/>
          <w:szCs w:val="20"/>
          <w:color w:val="auto"/>
        </w:rPr>
      </w:pPr>
      <w:r>
        <w:rPr>
          <w:rFonts w:ascii="Courier New" w:cs="Courier New" w:eastAsia="Courier New" w:hAnsi="Courier New"/>
          <w:sz w:val="14"/>
          <w:szCs w:val="14"/>
          <w:color w:val="auto"/>
        </w:rPr>
        <w:t>Ann Tsukamoto, Ph.D., joined the Company in November 1997 as Senior Director, Scientific Operations, and was appointed Vice President, Scientific Operations in June 1998. From 1989 until she joined StemCells, Dr. Tsukamoto was employed at SyStemix, Inc., where she served in various research capacities before transitioning to the position of Director of Clinical Science. At SyStemix, Inc., Dr. Tsukamoto assisted in the launch of its clinical research program for the hematopoietic stem cell. She received her Ph.D. degree from the University of California, Los Angeles and did postdoctoral research with Dr. Harold Varmus at the University of California, San Francisco. Dr. Tsukamoto is an inventor on six issued U.S. Patents related to the human hematopoietic stem cell. As of March 5, 2001, Dr. Tsukamoto became a member of the Board of Directors for the Society of Regenerative Medicine and Stem Cell Biology.</w:t>
      </w:r>
    </w:p>
    <w:p>
      <w:pPr>
        <w:spacing w:after="0" w:line="164" w:lineRule="exact"/>
        <w:rPr>
          <w:sz w:val="20"/>
          <w:szCs w:val="20"/>
          <w:color w:val="auto"/>
        </w:rPr>
      </w:pPr>
    </w:p>
    <w:p>
      <w:pPr>
        <w:ind w:right="4460" w:firstLine="612"/>
        <w:spacing w:after="0" w:line="255" w:lineRule="auto"/>
        <w:rPr>
          <w:sz w:val="20"/>
          <w:szCs w:val="20"/>
          <w:color w:val="auto"/>
        </w:rPr>
      </w:pPr>
      <w:r>
        <w:rPr>
          <w:rFonts w:ascii="Courier New" w:cs="Courier New" w:eastAsia="Courier New" w:hAnsi="Courier New"/>
          <w:sz w:val="14"/>
          <w:szCs w:val="14"/>
          <w:color w:val="auto"/>
        </w:rPr>
        <w:t>Ronnda Bartel, Ph.D., joined the Company in July 1998, as Senior Director, Cell Development, and was appointed Vice President, Scientific Development of StemCells in April 2000. From 1995 until her employment with the Company, Dr. Bartel was Senior Principal Scientist at Advanced Tissue Sciences Inc., responsible for research, development, and manufacturing of tissue engineered human cell based products. Dr. Bartel was awarded her Ph.D. degree in biochemistry from the University of Kansas, Lawrence and did postdoctoral work with Dr. John Voorhees at the University of Michigan, Ann Arbor.</w:t>
      </w:r>
    </w:p>
    <w:p>
      <w:pPr>
        <w:spacing w:after="0" w:line="166" w:lineRule="exact"/>
        <w:rPr>
          <w:sz w:val="20"/>
          <w:szCs w:val="20"/>
          <w:color w:val="auto"/>
        </w:rPr>
      </w:pPr>
    </w:p>
    <w:p>
      <w:pPr>
        <w:ind w:right="4620" w:firstLine="612"/>
        <w:spacing w:after="0" w:line="236"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4540" w:firstLine="612"/>
        <w:spacing w:after="0" w:line="255" w:lineRule="auto"/>
        <w:rPr>
          <w:sz w:val="20"/>
          <w:szCs w:val="20"/>
          <w:color w:val="auto"/>
        </w:rPr>
      </w:pPr>
      <w:r>
        <w:rPr>
          <w:rFonts w:ascii="Courier New" w:cs="Courier New" w:eastAsia="Courier New" w:hAnsi="Courier New"/>
          <w:sz w:val="14"/>
          <w:szCs w:val="14"/>
          <w:color w:val="auto"/>
        </w:rPr>
        <w:t>The following table sets forth the compensation paid by us to our Chief Executive Officer during the fiscal years ended December 31, 2000, 1999, and 1998 and the two other most highly compensated executive officers who served in such capacities during the fiscal year ended December 31, 2000 but who were not serving in such capacities as of the end of such fiscal year. There were no other persons serving as executive officers at the end of such fiscal year.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SUMMARY COMPENSATION TABLE</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73"/>
        </w:trPr>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ind w:left="300"/>
              <w:spacing w:after="0"/>
              <w:rPr>
                <w:sz w:val="20"/>
                <w:szCs w:val="20"/>
                <w:color w:val="auto"/>
              </w:rPr>
            </w:pPr>
            <w:r>
              <w:rPr>
                <w:rFonts w:ascii="Courier New" w:cs="Courier New" w:eastAsia="Courier New" w:hAnsi="Courier New"/>
                <w:sz w:val="15"/>
                <w:szCs w:val="15"/>
                <w:color w:val="auto"/>
              </w:rPr>
              <w:t>AWARDS</w:t>
            </w:r>
          </w:p>
        </w:tc>
        <w:tc>
          <w:tcPr>
            <w:tcW w:w="1120" w:type="dxa"/>
            <w:vAlign w:val="bottom"/>
          </w:tcPr>
          <w:p>
            <w:pPr>
              <w:spacing w:after="0"/>
              <w:rPr>
                <w:sz w:val="24"/>
                <w:szCs w:val="24"/>
                <w:color w:val="auto"/>
              </w:rPr>
            </w:pP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LONG TERM</w:t>
            </w:r>
          </w:p>
        </w:tc>
        <w:tc>
          <w:tcPr>
            <w:tcW w:w="11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w:t>
            </w:r>
          </w:p>
        </w:tc>
        <w:tc>
          <w:tcPr>
            <w:tcW w:w="11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1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RESTRICTED</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SECURITIES</w:t>
            </w:r>
          </w:p>
        </w:tc>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ANNUAL</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UNDERLYING</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3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NAME AND PRINCIPAL POSITION</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YEAR</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SALARY ($)</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BONUS ($)</w:t>
            </w:r>
          </w:p>
        </w:tc>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AWARDS ($)</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OPTIONS (#)</w:t>
            </w:r>
          </w:p>
        </w:tc>
        <w:tc>
          <w:tcPr>
            <w:tcW w:w="1120" w:type="dxa"/>
            <w:vAlign w:val="bottom"/>
          </w:tcPr>
          <w:p>
            <w:pPr>
              <w:spacing w:after="0"/>
              <w:rPr>
                <w:sz w:val="14"/>
                <w:szCs w:val="14"/>
                <w:color w:val="auto"/>
              </w:rPr>
            </w:pPr>
          </w:p>
        </w:tc>
      </w:tr>
      <w:tr>
        <w:trPr>
          <w:trHeight w:val="168"/>
        </w:trPr>
        <w:tc>
          <w:tcPr>
            <w:tcW w:w="3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George W. Dunbar, Jr. ............</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186,538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36,031</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Acting President and Chief</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48,000</w:t>
            </w:r>
          </w:p>
        </w:tc>
        <w:tc>
          <w:tcPr>
            <w:tcW w:w="112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Office(1)</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309,632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Chief Executive Officer(2)</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279,974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4,667(3)</w:t>
            </w:r>
          </w:p>
        </w:tc>
      </w:tr>
      <w:tr>
        <w:trPr>
          <w:trHeight w:val="168"/>
        </w:trPr>
        <w:tc>
          <w:tcPr>
            <w:tcW w:w="3240" w:type="dxa"/>
            <w:vAlign w:val="bottom"/>
          </w:tcPr>
          <w:p>
            <w:pPr>
              <w:spacing w:after="0"/>
              <w:rPr>
                <w:sz w:val="14"/>
                <w:szCs w:val="14"/>
                <w:color w:val="auto"/>
              </w:rPr>
            </w:pP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286,553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150,000(4)</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11,330(5)</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Ann Tsukomoto, Ph.D. .............</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159,054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4,783(6)</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VP, Scientific Operations</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129,668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3,245(7)</w:t>
            </w:r>
          </w:p>
        </w:tc>
      </w:tr>
      <w:tr>
        <w:trPr>
          <w:trHeight w:val="168"/>
        </w:trPr>
        <w:tc>
          <w:tcPr>
            <w:tcW w:w="3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VP, Scientific Development</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ectPr>
          <w:pgSz w:w="11900" w:h="16838" w:orient="portrait"/>
          <w:cols w:equalWidth="0" w:num="1">
            <w:col w:w="11460"/>
          </w:cols>
          <w:pgMar w:left="220" w:top="792" w:right="21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620" w:right="1900"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3" w:lineRule="exact"/>
        <w:rPr>
          <w:rFonts w:ascii="Courier New" w:cs="Courier New" w:eastAsia="Courier New" w:hAnsi="Courier New"/>
          <w:sz w:val="15"/>
          <w:szCs w:val="15"/>
          <w:color w:val="auto"/>
        </w:rPr>
      </w:pPr>
    </w:p>
    <w:p>
      <w:pPr>
        <w:ind w:left="620" w:right="1980"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3" w:lineRule="exact"/>
        <w:rPr>
          <w:rFonts w:ascii="Courier New" w:cs="Courier New" w:eastAsia="Courier New" w:hAnsi="Courier New"/>
          <w:sz w:val="15"/>
          <w:szCs w:val="15"/>
          <w:color w:val="auto"/>
        </w:rPr>
      </w:pPr>
    </w:p>
    <w:p>
      <w:pPr>
        <w:ind w:left="620" w:right="1900"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3" w:lineRule="exact"/>
        <w:rPr>
          <w:rFonts w:ascii="Courier New" w:cs="Courier New" w:eastAsia="Courier New" w:hAnsi="Courier New"/>
          <w:sz w:val="15"/>
          <w:szCs w:val="15"/>
          <w:color w:val="auto"/>
        </w:rPr>
      </w:pPr>
    </w:p>
    <w:p>
      <w:pPr>
        <w:ind w:left="620" w:right="2080"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 July 10,1998.</w:t>
      </w:r>
    </w:p>
    <w:p>
      <w:pPr>
        <w:spacing w:after="0" w:line="175" w:lineRule="exact"/>
        <w:rPr>
          <w:rFonts w:ascii="Courier New" w:cs="Courier New" w:eastAsia="Courier New" w:hAnsi="Courier New"/>
          <w:sz w:val="15"/>
          <w:szCs w:val="15"/>
          <w:color w:val="auto"/>
        </w:rPr>
      </w:pPr>
    </w:p>
    <w:p>
      <w:pPr>
        <w:ind w:left="620" w:right="2080" w:hanging="610"/>
        <w:spacing w:after="0" w:line="261"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spacing w:after="0" w:line="159" w:lineRule="exact"/>
        <w:rPr>
          <w:rFonts w:ascii="Courier New" w:cs="Courier New" w:eastAsia="Courier New" w:hAnsi="Courier New"/>
          <w:sz w:val="14"/>
          <w:szCs w:val="14"/>
          <w:color w:val="auto"/>
        </w:rPr>
      </w:pPr>
    </w:p>
    <w:p>
      <w:pPr>
        <w:ind w:left="620" w:right="2780" w:hanging="610"/>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$4,783 of fair market value of the company matching contributions of common stock to Dr. Ann Tsukomoto</w:t>
      </w:r>
    </w:p>
    <w:p>
      <w:pPr>
        <w:spacing w:after="0" w:line="173" w:lineRule="exact"/>
        <w:rPr>
          <w:rFonts w:ascii="Courier New" w:cs="Courier New" w:eastAsia="Courier New" w:hAnsi="Courier New"/>
          <w:sz w:val="15"/>
          <w:szCs w:val="15"/>
          <w:color w:val="auto"/>
        </w:rPr>
      </w:pPr>
    </w:p>
    <w:p>
      <w:pPr>
        <w:ind w:left="620" w:right="2780" w:hanging="610"/>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$3,245 of fair market value of the company matching contributions of common stock to Dr. Ronnda Bartel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right="1900" w:firstLine="612"/>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Company's Common Stock as of March 09, 2001 by (i) each person known by the Company to be the beneficial owner of more than 5% of the Company's outstanding Common Stock, (ii) each director and nominee for director, (iii) each executive officer named in the Summary Compensation Table and (iv) 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OWNER(1)</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BENEFICIALLY OWNED*</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10,309(2)</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J. Levin.....................................................</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347,775(3)</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Martin M. McGlynn.................................................</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Roger Perlmutter, M.D., Ph.D......................................</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J. Schwartz, Ph.D............................................</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115,588(4)</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Irving Weissman, M.D..............................................</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291,308(5)</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W. Dunbar, Jr..............................................</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50,049(6)</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Ann Tsukamoto, Ph.D...............................................</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84,521(7)</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Ronnda Bartel, Ph.D...............................................</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22,742(8)</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 officers as a group (9 persons).......</w:t>
            </w:r>
          </w:p>
        </w:tc>
        <w:tc>
          <w:tcPr>
            <w:tcW w:w="22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815,029</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Millennium Partners, LP...........................................</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2,152,393(9)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PERCENTAGE</w:t>
      </w:r>
    </w:p>
    <w:p>
      <w:pPr>
        <w:ind w:left="440"/>
        <w:spacing w:after="0" w:line="237" w:lineRule="auto"/>
        <w:rPr>
          <w:sz w:val="20"/>
          <w:szCs w:val="20"/>
          <w:color w:val="auto"/>
        </w:rPr>
      </w:pPr>
      <w:r>
        <w:rPr>
          <w:rFonts w:ascii="Courier New" w:cs="Courier New" w:eastAsia="Courier New" w:hAnsi="Courier New"/>
          <w:sz w:val="15"/>
          <w:szCs w:val="15"/>
          <w:color w:val="auto"/>
        </w:rPr>
        <w:t>OF CLASS</w:t>
      </w:r>
    </w:p>
    <w:p>
      <w:pPr>
        <w:spacing w:after="0" w:line="238" w:lineRule="auto"/>
        <w:rPr>
          <w:sz w:val="20"/>
          <w:szCs w:val="20"/>
          <w:color w:val="auto"/>
        </w:rPr>
      </w:pPr>
      <w:r>
        <w:rPr>
          <w:rFonts w:ascii="Courier New" w:cs="Courier New" w:eastAsia="Courier New" w:hAnsi="Courier New"/>
          <w:sz w:val="15"/>
          <w:szCs w:val="15"/>
          <w:color w:val="auto"/>
        </w:rPr>
        <w:t>BENEFICIALLY OWNED*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880"/>
        <w:spacing w:after="0"/>
        <w:rPr>
          <w:sz w:val="20"/>
          <w:szCs w:val="20"/>
          <w:color w:val="auto"/>
        </w:rPr>
      </w:pPr>
      <w:r>
        <w:rPr>
          <w:rFonts w:ascii="Courier New" w:cs="Courier New" w:eastAsia="Courier New" w:hAnsi="Courier New"/>
          <w:sz w:val="15"/>
          <w:szCs w:val="15"/>
          <w:color w:val="auto"/>
        </w:rPr>
        <w:t>**</w:t>
      </w:r>
    </w:p>
    <w:p>
      <w:pPr>
        <w:jc w:val="right"/>
        <w:ind w:right="880"/>
        <w:spacing w:after="0" w:line="237" w:lineRule="auto"/>
        <w:rPr>
          <w:sz w:val="20"/>
          <w:szCs w:val="20"/>
          <w:color w:val="auto"/>
        </w:rPr>
      </w:pPr>
      <w:r>
        <w:rPr>
          <w:rFonts w:ascii="Courier New" w:cs="Courier New" w:eastAsia="Courier New" w:hAnsi="Courier New"/>
          <w:sz w:val="15"/>
          <w:szCs w:val="15"/>
          <w:color w:val="auto"/>
        </w:rPr>
        <w:t>1.5%</w:t>
      </w:r>
    </w:p>
    <w:p>
      <w:pPr>
        <w:spacing w:after="0" w:line="167" w:lineRule="exact"/>
        <w:rPr>
          <w:sz w:val="20"/>
          <w:szCs w:val="20"/>
          <w:color w:val="auto"/>
        </w:rPr>
      </w:pPr>
    </w:p>
    <w:p>
      <w:pPr>
        <w:jc w:val="right"/>
        <w:ind w:right="880"/>
        <w:spacing w:after="0"/>
        <w:rPr>
          <w:sz w:val="20"/>
          <w:szCs w:val="20"/>
          <w:color w:val="auto"/>
        </w:rPr>
      </w:pPr>
      <w:r>
        <w:rPr>
          <w:rFonts w:ascii="Courier New" w:cs="Courier New" w:eastAsia="Courier New" w:hAnsi="Courier New"/>
          <w:sz w:val="15"/>
          <w:szCs w:val="15"/>
          <w:color w:val="auto"/>
        </w:rPr>
        <w:t>**</w:t>
      </w:r>
    </w:p>
    <w:p>
      <w:pPr>
        <w:jc w:val="right"/>
        <w:ind w:right="880"/>
        <w:spacing w:after="0" w:line="237" w:lineRule="auto"/>
        <w:rPr>
          <w:sz w:val="20"/>
          <w:szCs w:val="20"/>
          <w:color w:val="auto"/>
        </w:rPr>
      </w:pPr>
      <w:r>
        <w:rPr>
          <w:rFonts w:ascii="Courier New" w:cs="Courier New" w:eastAsia="Courier New" w:hAnsi="Courier New"/>
          <w:sz w:val="15"/>
          <w:szCs w:val="15"/>
          <w:color w:val="auto"/>
        </w:rPr>
        <w:t>**</w:t>
      </w:r>
    </w:p>
    <w:p>
      <w:pPr>
        <w:jc w:val="right"/>
        <w:ind w:right="880"/>
        <w:spacing w:after="0" w:line="238" w:lineRule="auto"/>
        <w:rPr>
          <w:sz w:val="20"/>
          <w:szCs w:val="20"/>
          <w:color w:val="auto"/>
        </w:rPr>
      </w:pPr>
      <w:r>
        <w:rPr>
          <w:rFonts w:ascii="Courier New" w:cs="Courier New" w:eastAsia="Courier New" w:hAnsi="Courier New"/>
          <w:sz w:val="15"/>
          <w:szCs w:val="15"/>
          <w:color w:val="auto"/>
        </w:rPr>
        <w:t>1.3%</w:t>
      </w:r>
    </w:p>
    <w:p>
      <w:pPr>
        <w:jc w:val="right"/>
        <w:ind w:right="880"/>
        <w:spacing w:after="0" w:line="237" w:lineRule="auto"/>
        <w:rPr>
          <w:sz w:val="20"/>
          <w:szCs w:val="20"/>
          <w:color w:val="auto"/>
        </w:rPr>
      </w:pPr>
      <w:r>
        <w:rPr>
          <w:rFonts w:ascii="Courier New" w:cs="Courier New" w:eastAsia="Courier New" w:hAnsi="Courier New"/>
          <w:sz w:val="15"/>
          <w:szCs w:val="15"/>
          <w:color w:val="auto"/>
        </w:rPr>
        <w:t>**</w:t>
      </w:r>
    </w:p>
    <w:p>
      <w:pPr>
        <w:jc w:val="right"/>
        <w:ind w:right="880"/>
        <w:spacing w:after="0" w:line="238" w:lineRule="auto"/>
        <w:rPr>
          <w:sz w:val="20"/>
          <w:szCs w:val="20"/>
          <w:color w:val="auto"/>
        </w:rPr>
      </w:pPr>
      <w:r>
        <w:rPr>
          <w:rFonts w:ascii="Courier New" w:cs="Courier New" w:eastAsia="Courier New" w:hAnsi="Courier New"/>
          <w:sz w:val="15"/>
          <w:szCs w:val="15"/>
          <w:color w:val="auto"/>
        </w:rPr>
        <w:t>**</w:t>
      </w:r>
    </w:p>
    <w:p>
      <w:pPr>
        <w:jc w:val="right"/>
        <w:ind w:right="880"/>
        <w:spacing w:after="0" w:line="237" w:lineRule="auto"/>
        <w:rPr>
          <w:sz w:val="20"/>
          <w:szCs w:val="20"/>
          <w:color w:val="auto"/>
        </w:rPr>
      </w:pPr>
      <w:r>
        <w:rPr>
          <w:rFonts w:ascii="Courier New" w:cs="Courier New" w:eastAsia="Courier New" w:hAnsi="Courier New"/>
          <w:sz w:val="15"/>
          <w:szCs w:val="15"/>
          <w:color w:val="auto"/>
        </w:rPr>
        <w:t>**</w:t>
      </w:r>
    </w:p>
    <w:p>
      <w:pPr>
        <w:jc w:val="right"/>
        <w:ind w:right="880"/>
        <w:spacing w:after="0" w:line="238" w:lineRule="auto"/>
        <w:rPr>
          <w:sz w:val="20"/>
          <w:szCs w:val="20"/>
          <w:color w:val="auto"/>
        </w:rPr>
      </w:pPr>
      <w:r>
        <w:rPr>
          <w:rFonts w:ascii="Courier New" w:cs="Courier New" w:eastAsia="Courier New" w:hAnsi="Courier New"/>
          <w:sz w:val="15"/>
          <w:szCs w:val="15"/>
          <w:color w:val="auto"/>
        </w:rPr>
        <w:t>3.6%</w:t>
      </w:r>
    </w:p>
    <w:p>
      <w:pPr>
        <w:jc w:val="right"/>
        <w:ind w:right="880"/>
        <w:spacing w:after="0" w:line="237" w:lineRule="auto"/>
        <w:rPr>
          <w:sz w:val="20"/>
          <w:szCs w:val="20"/>
          <w:color w:val="auto"/>
        </w:rPr>
      </w:pPr>
      <w:r>
        <w:rPr>
          <w:rFonts w:ascii="Courier New" w:cs="Courier New" w:eastAsia="Courier New" w:hAnsi="Courier New"/>
          <w:sz w:val="15"/>
          <w:szCs w:val="15"/>
          <w:color w:val="auto"/>
        </w:rPr>
        <w:t>9.5%</w:t>
      </w:r>
    </w:p>
    <w:p>
      <w:pPr>
        <w:sectPr>
          <w:pgSz w:w="11900" w:h="16838" w:orient="portrait"/>
          <w:cols w:equalWidth="0" w:num="2">
            <w:col w:w="8820" w:space="720"/>
            <w:col w:w="1760"/>
          </w:cols>
          <w:pgMar w:left="220" w:top="617" w:right="379"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620" w:right="3239" w:hanging="610"/>
        <w:spacing w:after="0" w:line="23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67" w:lineRule="exact"/>
        <w:rPr>
          <w:sz w:val="20"/>
          <w:szCs w:val="20"/>
          <w:color w:val="auto"/>
        </w:rPr>
      </w:pPr>
    </w:p>
    <w:p>
      <w:pPr>
        <w:ind w:left="620" w:hanging="610"/>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3" w:lineRule="exact"/>
        <w:rPr>
          <w:sz w:val="20"/>
          <w:szCs w:val="20"/>
          <w:color w:val="auto"/>
        </w:rPr>
      </w:pPr>
    </w:p>
    <w:p>
      <w:pPr>
        <w:ind w:left="620" w:right="3319" w:hanging="610"/>
        <w:spacing w:after="0" w:line="258"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all such persons, except Millenium Partners, LP, is c/o the Company, 3155 Porter Drive, Palo Alto, California 94304. The address of Millenium Partners, LP is 551 Fifth Avenue, New York, New York 10176.</w:t>
      </w:r>
    </w:p>
    <w:p>
      <w:pPr>
        <w:spacing w:after="0" w:line="161" w:lineRule="exact"/>
        <w:rPr>
          <w:rFonts w:ascii="Courier New" w:cs="Courier New" w:eastAsia="Courier New" w:hAnsi="Courier New"/>
          <w:sz w:val="14"/>
          <w:szCs w:val="14"/>
          <w:color w:val="auto"/>
        </w:rPr>
      </w:pPr>
    </w:p>
    <w:p>
      <w:pPr>
        <w:ind w:left="620" w:right="4199" w:hanging="610"/>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10,309 shares issuable upon exercise of stock options exercisable within 60 days.</w:t>
      </w:r>
    </w:p>
    <w:p>
      <w:pPr>
        <w:spacing w:after="0" w:line="173" w:lineRule="exact"/>
        <w:rPr>
          <w:rFonts w:ascii="Courier New" w:cs="Courier New" w:eastAsia="Courier New" w:hAnsi="Courier New"/>
          <w:sz w:val="15"/>
          <w:szCs w:val="15"/>
          <w:color w:val="auto"/>
        </w:rPr>
      </w:pPr>
    </w:p>
    <w:p>
      <w:pPr>
        <w:ind w:left="620" w:right="3239" w:hanging="610"/>
        <w:spacing w:after="0" w:line="236"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37,400 shares issuable upon exercise of stock options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111,504 shares held outright.</w:t>
      </w:r>
    </w:p>
    <w:p>
      <w:pPr>
        <w:spacing w:after="0" w:line="174" w:lineRule="exact"/>
        <w:rPr>
          <w:rFonts w:ascii="Courier New" w:cs="Courier New" w:eastAsia="Courier New" w:hAnsi="Courier New"/>
          <w:sz w:val="15"/>
          <w:szCs w:val="15"/>
          <w:color w:val="auto"/>
        </w:rPr>
      </w:pPr>
    </w:p>
    <w:p>
      <w:pPr>
        <w:ind w:left="620" w:right="4099" w:hanging="610"/>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115,588 shares issuable upon exercise of stock options exercisable within 60 days.</w:t>
      </w:r>
    </w:p>
    <w:p>
      <w:pPr>
        <w:spacing w:after="0" w:line="173" w:lineRule="exact"/>
        <w:rPr>
          <w:rFonts w:ascii="Courier New" w:cs="Courier New" w:eastAsia="Courier New" w:hAnsi="Courier New"/>
          <w:sz w:val="15"/>
          <w:szCs w:val="15"/>
          <w:color w:val="auto"/>
        </w:rPr>
      </w:pPr>
    </w:p>
    <w:p>
      <w:pPr>
        <w:ind w:left="620" w:right="3239" w:hanging="610"/>
        <w:spacing w:after="0" w:line="255"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34,486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a total of 50,791 shares owned by trusts for the benefit of Dr. Weissman's children as to which he disclaims beneficial ownership.</w:t>
      </w:r>
    </w:p>
    <w:p>
      <w:pPr>
        <w:spacing w:after="0" w:line="165" w:lineRule="exact"/>
        <w:rPr>
          <w:rFonts w:ascii="Courier New" w:cs="Courier New" w:eastAsia="Courier New" w:hAnsi="Courier New"/>
          <w:sz w:val="14"/>
          <w:szCs w:val="14"/>
          <w:color w:val="auto"/>
        </w:rPr>
      </w:pPr>
    </w:p>
    <w:p>
      <w:pPr>
        <w:ind w:left="620" w:right="3319" w:hanging="610"/>
        <w:spacing w:after="0" w:line="255"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26,031 shares issuable upon exercise of stock options exercisable within 60 days. Includes 24,018 shares held outright. Mr. Dunbar was appointed Acting President and Chief Executive Officer of the Company's wholly owned subsidiary, StemCells California, Inc., effective as of November 8, 1999, and was appointed Acting President and Chief Executive Officer of the Company effective as of February 1, 2000.</w:t>
      </w:r>
    </w:p>
    <w:p>
      <w:pPr>
        <w:spacing w:after="0" w:line="166" w:lineRule="exact"/>
        <w:rPr>
          <w:rFonts w:ascii="Courier New" w:cs="Courier New" w:eastAsia="Courier New" w:hAnsi="Courier New"/>
          <w:sz w:val="14"/>
          <w:szCs w:val="14"/>
          <w:color w:val="auto"/>
        </w:rPr>
      </w:pPr>
    </w:p>
    <w:p>
      <w:pPr>
        <w:ind w:left="620" w:right="4199" w:hanging="610"/>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84,521 shares issuable upon exercise of stock options exercisable within 60 days.</w:t>
      </w:r>
    </w:p>
    <w:p>
      <w:pPr>
        <w:spacing w:after="0" w:line="173" w:lineRule="exact"/>
        <w:rPr>
          <w:rFonts w:ascii="Courier New" w:cs="Courier New" w:eastAsia="Courier New" w:hAnsi="Courier New"/>
          <w:sz w:val="15"/>
          <w:szCs w:val="15"/>
          <w:color w:val="auto"/>
        </w:rPr>
      </w:pPr>
    </w:p>
    <w:p>
      <w:pPr>
        <w:ind w:left="620" w:right="4199" w:hanging="610"/>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22,742 shares issuable upon exercise of stock options exercisable within 60 days.</w:t>
      </w:r>
    </w:p>
    <w:p>
      <w:pPr>
        <w:spacing w:after="0" w:line="173" w:lineRule="exact"/>
        <w:rPr>
          <w:rFonts w:ascii="Courier New" w:cs="Courier New" w:eastAsia="Courier New" w:hAnsi="Courier New"/>
          <w:sz w:val="15"/>
          <w:szCs w:val="15"/>
          <w:color w:val="auto"/>
        </w:rPr>
      </w:pPr>
    </w:p>
    <w:p>
      <w:pPr>
        <w:ind w:left="620" w:right="3239" w:hanging="610"/>
        <w:spacing w:after="0" w:line="236"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1,054,835 shares held outright. Includes 101,587 shares currently issuable upon the exercise of warrants issued on August 3, 2000. Includes 19,900 shares currently issuable upon the exercise of warrants issued on August 30, 2000. Includes 461,894 if shares currently issuable upon exercise of an option issued on August 3, 2000 to purchase up to $2 million of our Common Stock based upon the market price of the Common Stock at the time of the exercise. Includes 50,808 shares issuable upon the exercise of warrants issuable upon exercise of the afore mentioned option. Includes 463,369 shares issuable upon exercise of an adjustable warrant.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w:t>
      </w:r>
    </w:p>
    <w:p>
      <w:pPr>
        <w:sectPr>
          <w:pgSz w:w="11900" w:h="16838" w:orient="portrait"/>
          <w:cols w:equalWidth="0" w:num="1">
            <w:col w:w="10239"/>
          </w:cols>
          <w:pgMar w:left="220" w:top="785" w:right="1440" w:bottom="1440" w:gutter="0" w:footer="0" w:header="0"/>
        </w:sectPr>
      </w:pPr>
    </w:p>
    <w:bookmarkStart w:id="50" w:name="page51"/>
    <w:bookmarkEnd w:id="50"/>
    <w:p>
      <w:pPr>
        <w:ind w:right="3239"/>
        <w:spacing w:after="0" w:line="254" w:lineRule="auto"/>
        <w:rPr>
          <w:sz w:val="20"/>
          <w:szCs w:val="20"/>
          <w:color w:val="auto"/>
        </w:rPr>
      </w:pPr>
      <w:r>
        <w:rPr>
          <w:rFonts w:ascii="Courier New" w:cs="Courier New" w:eastAsia="Courier New" w:hAnsi="Courier New"/>
          <w:sz w:val="14"/>
          <w:szCs w:val="14"/>
          <w:color w:val="auto"/>
        </w:rPr>
        <w:t>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 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w:t>
      </w:r>
    </w:p>
    <w:p>
      <w:pPr>
        <w:spacing w:after="0" w:line="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40,000-share time-based stock option will be reduced to the then current rate for a Director of the Company, plus $5,000 per month pursuant to the Consulting Services Agreement. In the event 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 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 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had an initial term through July 27, 2000 and was renewed on a month-to-month basis,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 Dr. Schwartz and the Company, for the period commencing January 1, 2000. Under this resolution, Dr. Schwartz waives any and all cash payments which may accrue to him for his retainer, monthly and meeting fees, and agrees to take, in lieu of such cash payments, compensation in the form of options to purchase shares of the Company's common stock at below-market prices ($0.25 per share). To effectuate the intention of Dr. Schwartz and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 The Consulting Services Agreement expired under its terms on July 27, 2000 and the board of directors renewed it on a month-to-month basis on September 19, 2000.</w:t>
      </w:r>
    </w:p>
    <w:p>
      <w:pPr>
        <w:spacing w:after="0" w:line="200" w:lineRule="exact"/>
        <w:rPr>
          <w:sz w:val="20"/>
          <w:szCs w:val="20"/>
          <w:color w:val="auto"/>
        </w:rPr>
      </w:pPr>
    </w:p>
    <w:p>
      <w:pPr>
        <w:spacing w:after="0" w:line="320"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have recorded a compensation expense of $823,759 during the fourth quarter of 2000 as a result of this change in the vested portion of the option. The deferred compensation expense associated with the unvested portion of the grants was recorded as $669,116. We plan to revalue the options using the Black-Scholes method on a quarterly basis and recognize additional compensation expense accordingly.</w:t>
      </w:r>
    </w:p>
    <w:p>
      <w:pPr>
        <w:sectPr>
          <w:pgSz w:w="11900" w:h="16838" w:orient="portrait"/>
          <w:cols w:equalWidth="0" w:num="1">
            <w:col w:w="10239"/>
          </w:cols>
          <w:pgMar w:left="220" w:top="792" w:right="1440" w:bottom="1440" w:gutter="0" w:footer="0" w:header="0"/>
        </w:sectPr>
      </w:pPr>
    </w:p>
    <w:bookmarkStart w:id="51" w:name="page52"/>
    <w:bookmarkEnd w:id="51"/>
    <w:p>
      <w:pPr>
        <w:ind w:right="3319"/>
        <w:spacing w:after="0" w:line="255" w:lineRule="auto"/>
        <w:rPr>
          <w:sz w:val="20"/>
          <w:szCs w:val="20"/>
          <w:color w:val="auto"/>
        </w:rPr>
      </w:pPr>
      <w:r>
        <w:rPr>
          <w:rFonts w:ascii="Courier New" w:cs="Courier New" w:eastAsia="Courier New" w:hAnsi="Courier New"/>
          <w:sz w:val="14"/>
          <w:szCs w:val="14"/>
          <w:color w:val="auto"/>
        </w:rPr>
        <w:t>The Company also agreed to nominate 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December 2000, we agreed with Dr. Weissman that we would pay him the same compensation paid to other members of the Board.</w:t>
      </w:r>
    </w:p>
    <w:p>
      <w:pPr>
        <w:spacing w:after="0" w:line="16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he will not be entitled to any severance or other benefits.</w:t>
      </w:r>
    </w:p>
    <w:p>
      <w:pPr>
        <w:spacing w:after="0" w:line="34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George W. Dunbar, Jr., Acting President and Chief Executive Officer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2000 to January 15, 2001, was a founding member of iCEO,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("iCEO") in September 1999. Mr. Dunbar joined the company as Acting President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 our wholly owned subsidiary, and he held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 until January 15, 2001. Under the terms of two agreements dated as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17, 1999 and effective as of November 8, 1999, the first between us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iCEO and the second between us and Mr. Dunbar, Mr. Dunbar agreed to serve as</w:t>
      </w:r>
    </w:p>
    <w:p>
      <w:pPr>
        <w:spacing w:after="0" w:line="237" w:lineRule="auto"/>
        <w:rPr>
          <w:sz w:val="20"/>
          <w:szCs w:val="20"/>
          <w:color w:val="auto"/>
        </w:rPr>
      </w:pPr>
      <w:r>
        <w:rPr>
          <w:rFonts w:ascii="Courier New" w:cs="Courier New" w:eastAsia="Courier New" w:hAnsi="Courier New"/>
          <w:sz w:val="15"/>
          <w:szCs w:val="15"/>
          <w:color w:val="auto"/>
        </w:rPr>
        <w:t>Acting President of StemCells California, Inc., our wholly owned subsidiary.</w:t>
      </w:r>
    </w:p>
    <w:p>
      <w:pPr>
        <w:spacing w:after="0" w:line="238" w:lineRule="auto"/>
        <w:rPr>
          <w:sz w:val="20"/>
          <w:szCs w:val="20"/>
          <w:color w:val="auto"/>
        </w:rPr>
      </w:pPr>
      <w:r>
        <w:rPr>
          <w:rFonts w:ascii="Courier New" w:cs="Courier New" w:eastAsia="Courier New" w:hAnsi="Courier New"/>
          <w:sz w:val="15"/>
          <w:szCs w:val="15"/>
          <w:color w:val="auto"/>
        </w:rPr>
        <w:t>Pursuant to the terms of his agreement with us, Mr. Dunbar was entitled to an</w:t>
      </w:r>
    </w:p>
    <w:p>
      <w:pPr>
        <w:spacing w:after="0" w:line="237" w:lineRule="auto"/>
        <w:rPr>
          <w:sz w:val="20"/>
          <w:szCs w:val="20"/>
          <w:color w:val="auto"/>
        </w:rPr>
      </w:pPr>
      <w:r>
        <w:rPr>
          <w:rFonts w:ascii="Courier New" w:cs="Courier New" w:eastAsia="Courier New" w:hAnsi="Courier New"/>
          <w:sz w:val="15"/>
          <w:szCs w:val="15"/>
          <w:color w:val="auto"/>
        </w:rPr>
        <w:t>annual salary of $175,000 and was granted a stock option to purchase 48,000</w:t>
      </w:r>
    </w:p>
    <w:p>
      <w:pPr>
        <w:spacing w:after="0" w:line="238" w:lineRule="auto"/>
        <w:rPr>
          <w:sz w:val="20"/>
          <w:szCs w:val="20"/>
          <w:color w:val="auto"/>
        </w:rPr>
      </w:pPr>
      <w:r>
        <w:rPr>
          <w:rFonts w:ascii="Courier New" w:cs="Courier New" w:eastAsia="Courier New" w:hAnsi="Courier New"/>
          <w:sz w:val="15"/>
          <w:szCs w:val="15"/>
          <w:color w:val="auto"/>
        </w:rPr>
        <w:t>shares of our common stock that vested at the rate of 4,000 shares per month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commencing on December 6, 1999 and continuing until fully vested so long as 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served as Acting President. The vesting under the option was subject to</w:t>
      </w:r>
    </w:p>
    <w:p>
      <w:pPr>
        <w:spacing w:after="0" w:line="237" w:lineRule="auto"/>
        <w:rPr>
          <w:sz w:val="20"/>
          <w:szCs w:val="20"/>
          <w:color w:val="auto"/>
        </w:rPr>
      </w:pPr>
      <w:r>
        <w:rPr>
          <w:rFonts w:ascii="Courier New" w:cs="Courier New" w:eastAsia="Courier New" w:hAnsi="Courier New"/>
          <w:sz w:val="15"/>
          <w:szCs w:val="15"/>
          <w:color w:val="auto"/>
        </w:rPr>
        <w:t>acceleration in the event of certain changes of control. Additionally,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provided that the Board would consider once per quarter the grant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option for an additional 3,000 shares if it is determined that the services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rendered by Mr. Dunbar during the preceding quarter exceeded expectations.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Mr. Dunbar had no provisions for any severance payments or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benefits upon Mr. Dunbar's resignation or termination. Pursuant to the terms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agreement between iCEO and us, iCEO was entitled to receive annual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$75,000 for so long as Mr. Dunbar continued to serve in his role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Acting President of StemCells California, Inc. or in any other interim role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Company. In addition, iCEO was granted a stock option to purchase</w:t>
      </w:r>
    </w:p>
    <w:p>
      <w:pPr>
        <w:spacing w:after="0" w:line="237" w:lineRule="auto"/>
        <w:rPr>
          <w:sz w:val="20"/>
          <w:szCs w:val="20"/>
          <w:color w:val="auto"/>
        </w:rPr>
      </w:pPr>
      <w:r>
        <w:rPr>
          <w:rFonts w:ascii="Courier New" w:cs="Courier New" w:eastAsia="Courier New" w:hAnsi="Courier New"/>
          <w:sz w:val="15"/>
          <w:szCs w:val="15"/>
          <w:color w:val="auto"/>
        </w:rPr>
        <w:t>48,000 shares of our common stock that vested at the rate of 4,000 shares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 commencing on December 6, 1999 and continuing until fully vested so long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Mr. Dunbar served as Acting President of StemCells California, Inc. or in 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interim role with the company. Additionally, the iCEO agreement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Board would consider once per quarter the grant of an option to iCEO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 additional 3,000 shares if it is determined that the services rendered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Dunbar during the preceding quarter exceeded expectations. As a member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iCEO, Mr. Dunbar was entitled to receive, once annually, a distribution of his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assigned allocable percentage of net taxable income and net long-term gain with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pooled income and gain from shares of stock or exercised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by iCEO from its clients, including that received from us. When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Dunbar was appointed Acting President and Chief Executive Officer effective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February 1, 2000, there was no adjustment to his or iCEO's compensation or</w:t>
      </w:r>
    </w:p>
    <w:p>
      <w:pPr>
        <w:spacing w:after="0" w:line="237" w:lineRule="auto"/>
        <w:rPr>
          <w:sz w:val="20"/>
          <w:szCs w:val="20"/>
          <w:color w:val="auto"/>
        </w:rPr>
      </w:pPr>
      <w:r>
        <w:rPr>
          <w:rFonts w:ascii="Courier New" w:cs="Courier New" w:eastAsia="Courier New" w:hAnsi="Courier New"/>
          <w:sz w:val="15"/>
          <w:szCs w:val="15"/>
          <w:color w:val="auto"/>
        </w:rPr>
        <w:t>stock options. In the event that during the period of his service as Acting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 or within 120 days from the termination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services, Mr. Dunbar were to become a permanent employee in any capacity,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would be obligated under the iCEO agreement to pay iCEO a fee equal to</w:t>
      </w:r>
    </w:p>
    <w:p>
      <w:pPr>
        <w:spacing w:after="0" w:line="237" w:lineRule="auto"/>
        <w:rPr>
          <w:sz w:val="20"/>
          <w:szCs w:val="20"/>
          <w:color w:val="auto"/>
        </w:rPr>
      </w:pPr>
      <w:r>
        <w:rPr>
          <w:rFonts w:ascii="Courier New" w:cs="Courier New" w:eastAsia="Courier New" w:hAnsi="Courier New"/>
          <w:sz w:val="15"/>
          <w:szCs w:val="15"/>
          <w:color w:val="auto"/>
        </w:rPr>
        <w:t>one-third of the then targeted first year's compensation for Mr. Dunbar.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with Mr. Dunbar and iCEO expired in November 2000 and at that time we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paid Mr. Dunbar a bonus of $50,000 and granted him an immediately exercisable</w:t>
      </w:r>
    </w:p>
    <w:p>
      <w:pPr>
        <w:spacing w:after="0" w:line="237" w:lineRule="auto"/>
        <w:rPr>
          <w:sz w:val="20"/>
          <w:szCs w:val="20"/>
          <w:color w:val="auto"/>
        </w:rPr>
      </w:pPr>
      <w:r>
        <w:rPr>
          <w:rFonts w:ascii="Courier New" w:cs="Courier New" w:eastAsia="Courier New" w:hAnsi="Courier New"/>
          <w:sz w:val="15"/>
          <w:szCs w:val="15"/>
          <w:color w:val="auto"/>
        </w:rPr>
        <w:t>option to purchase 12,031 shares of common stock. We continued to employ Mr.</w:t>
      </w:r>
    </w:p>
    <w:p>
      <w:pPr>
        <w:spacing w:after="0" w:line="238" w:lineRule="auto"/>
        <w:rPr>
          <w:sz w:val="20"/>
          <w:szCs w:val="20"/>
          <w:color w:val="auto"/>
        </w:rPr>
      </w:pPr>
      <w:r>
        <w:rPr>
          <w:rFonts w:ascii="Courier New" w:cs="Courier New" w:eastAsia="Courier New" w:hAnsi="Courier New"/>
          <w:sz w:val="15"/>
          <w:szCs w:val="15"/>
          <w:color w:val="auto"/>
        </w:rPr>
        <w:t>Dunbar in the same capacity until January 15, 2001 at an annual salary of</w:t>
      </w:r>
    </w:p>
    <w:p>
      <w:pPr>
        <w:spacing w:after="0" w:line="237" w:lineRule="auto"/>
        <w:rPr>
          <w:sz w:val="20"/>
          <w:szCs w:val="20"/>
          <w:color w:val="auto"/>
        </w:rPr>
      </w:pPr>
      <w:r>
        <w:rPr>
          <w:rFonts w:ascii="Courier New" w:cs="Courier New" w:eastAsia="Courier New" w:hAnsi="Courier New"/>
          <w:sz w:val="15"/>
          <w:szCs w:val="15"/>
          <w:color w:val="auto"/>
        </w:rPr>
        <w:t>$250,000, and also granted him an option to purchase 8,000 shares of common</w:t>
      </w:r>
    </w:p>
    <w:p>
      <w:pPr>
        <w:spacing w:after="0" w:line="238" w:lineRule="auto"/>
        <w:rPr>
          <w:sz w:val="20"/>
          <w:szCs w:val="20"/>
          <w:color w:val="auto"/>
        </w:rPr>
      </w:pPr>
      <w:r>
        <w:rPr>
          <w:rFonts w:ascii="Courier New" w:cs="Courier New" w:eastAsia="Courier New" w:hAnsi="Courier New"/>
          <w:sz w:val="15"/>
          <w:szCs w:val="15"/>
          <w:color w:val="auto"/>
        </w:rPr>
        <w:t>stock</w:t>
      </w:r>
    </w:p>
    <w:p>
      <w:pPr>
        <w:sectPr>
          <w:pgSz w:w="11900" w:h="16838" w:orient="portrait"/>
          <w:cols w:equalWidth="0" w:num="1">
            <w:col w:w="10239"/>
          </w:cols>
          <w:pgMar w:left="220" w:top="79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for each additional month, or pro rata portion of a month, of his employment.</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o"/>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o"/>
      <w:numFmt w:val="bullet"/>
      <w:start w:val="1"/>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o"/>
      <w:numFmt w:val="bullet"/>
      <w:start w:val="1"/>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o"/>
      <w:numFmt w:val="bullet"/>
      <w:start w:val="1"/>
    </w:lvl>
    <w:lvl w:ilvl="1">
      <w:lvlJc w:val="left"/>
      <w:lvlText w:val="(%2)"/>
      <w:numFmt w:val="lowerRoman"/>
      <w:start w:val="1"/>
    </w:lvl>
  </w:abstractNum>
  <w:abstractNum w:abstractNumId="9">
    <w:nsid w:val="333AB105"/>
    <w:multiLevelType w:val="hybridMultilevel"/>
    <w:lvl w:ilvl="0">
      <w:lvlJc w:val="left"/>
      <w:lvlText w:val="o"/>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1."/>
      <w:numFmt w:val="decimal"/>
      <w:start w:val="3"/>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4"/>
    </w:lvl>
  </w:abstractNum>
  <w:abstractNum w:abstractNumId="16">
    <w:nsid w:val="79838CB2"/>
    <w:multiLevelType w:val="hybridMultilevel"/>
    <w:lvl w:ilvl="0">
      <w:lvlJc w:val="left"/>
      <w:lvlText w:val="%1."/>
      <w:numFmt w:val="decimal"/>
      <w:start w:val="5"/>
    </w:lvl>
  </w:abstractNum>
  <w:abstractNum w:abstractNumId="17">
    <w:nsid w:val="4353D0CD"/>
    <w:multiLevelType w:val="hybridMultilevel"/>
    <w:lvl w:ilvl="0">
      <w:lvlJc w:val="left"/>
      <w:lvlText w:val="%1."/>
      <w:numFmt w:val="decimal"/>
      <w:start w:val="6"/>
    </w:lvl>
  </w:abstractNum>
  <w:abstractNum w:abstractNumId="18">
    <w:nsid w:val="B03E0C6"/>
    <w:multiLevelType w:val="hybridMultilevel"/>
    <w:lvl w:ilvl="0">
      <w:lvlJc w:val="left"/>
      <w:lvlText w:val="%1."/>
      <w:numFmt w:val="decimal"/>
      <w:start w:val="7"/>
    </w:lvl>
  </w:abstractNum>
  <w:abstractNum w:abstractNumId="19">
    <w:nsid w:val="189A769B"/>
    <w:multiLevelType w:val="hybridMultilevel"/>
    <w:lvl w:ilvl="0">
      <w:lvlJc w:val="left"/>
      <w:lvlText w:val="%1."/>
      <w:numFmt w:val="decimal"/>
      <w:start w:val="8"/>
    </w:lvl>
  </w:abstractNum>
  <w:abstractNum w:abstractNumId="20">
    <w:nsid w:val="54E49EB4"/>
    <w:multiLevelType w:val="hybridMultilevel"/>
    <w:lvl w:ilvl="0">
      <w:lvlJc w:val="left"/>
      <w:lvlText w:val="%1."/>
      <w:numFmt w:val="decimal"/>
      <w:start w:val="9"/>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0"/>
    </w:lvl>
  </w:abstractNum>
  <w:abstractNum w:abstractNumId="23">
    <w:nsid w:val="836C40E"/>
    <w:multiLevelType w:val="hybridMultilevel"/>
    <w:lvl w:ilvl="0">
      <w:lvlJc w:val="left"/>
      <w:lvlText w:val="%1."/>
      <w:numFmt w:val="decimal"/>
      <w:start w:val="10"/>
    </w:lvl>
  </w:abstractNum>
  <w:abstractNum w:abstractNumId="24">
    <w:nsid w:val="2901D82"/>
    <w:multiLevelType w:val="hybridMultilevel"/>
    <w:lvl w:ilvl="0">
      <w:lvlJc w:val="left"/>
      <w:lvlText w:val="%1."/>
      <w:numFmt w:val="decimal"/>
      <w:start w:val="11"/>
    </w:lvl>
  </w:abstractNum>
  <w:abstractNum w:abstractNumId="25">
    <w:nsid w:val="3A95F874"/>
    <w:multiLevelType w:val="hybridMultilevel"/>
    <w:lvl w:ilvl="0">
      <w:lvlJc w:val="left"/>
      <w:lvlText w:val="%1."/>
      <w:numFmt w:val="decimal"/>
      <w:start w:val="12"/>
    </w:lvl>
  </w:abstractNum>
  <w:abstractNum w:abstractNumId="26">
    <w:nsid w:val="8138641"/>
    <w:multiLevelType w:val="hybridMultilevel"/>
    <w:lvl w:ilvl="0">
      <w:lvlJc w:val="left"/>
      <w:lvlText w:val="%1."/>
      <w:numFmt w:val="decimal"/>
      <w:start w:val="13"/>
    </w:lvl>
  </w:abstractNum>
  <w:abstractNum w:abstractNumId="27">
    <w:nsid w:val="1E7FF521"/>
    <w:multiLevelType w:val="hybridMultilevel"/>
    <w:lvl w:ilvl="0">
      <w:lvlJc w:val="left"/>
      <w:lvlText w:val="%1."/>
      <w:numFmt w:val="decimal"/>
      <w:start w:val="14"/>
    </w:lvl>
  </w:abstractNum>
  <w:abstractNum w:abstractNumId="28">
    <w:nsid w:val="7C3DBD3D"/>
    <w:multiLevelType w:val="hybridMultilevel"/>
    <w:lvl w:ilvl="0">
      <w:lvlJc w:val="left"/>
      <w:lvlText w:val="%1."/>
      <w:numFmt w:val="decimal"/>
      <w:start w:val="15"/>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2019-12-11T21:11:30Z</dcterms:created>
  <dcterms:modified xsi:type="dcterms:W3CDTF">2019-12-11T21:11:30Z</dcterms:modified>
</cp:coreProperties>
</file>