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12b-25</w:t>
      </w:r>
    </w:p>
    <w:p>
      <w:pPr>
        <w:spacing w:after="0" w:line="23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NOTIFICATION OF LATE FILING</w:t>
      </w:r>
    </w:p>
    <w:p>
      <w:pPr>
        <w:spacing w:after="0" w:line="184" w:lineRule="exact"/>
        <w:rPr>
          <w:sz w:val="24"/>
          <w:szCs w:val="24"/>
          <w:color w:val="auto"/>
        </w:rPr>
      </w:pPr>
    </w:p>
    <w:p>
      <w:pPr>
        <w:spacing w:after="0" w:line="207" w:lineRule="exact"/>
        <w:tabs>
          <w:tab w:leader="none" w:pos="108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10-K</w:t>
      </w:r>
      <w:r>
        <w:rPr>
          <w:rFonts w:ascii="MS PGothic" w:cs="MS PGothic" w:eastAsia="MS PGothic" w:hAnsi="MS PGothic"/>
          <w:sz w:val="16"/>
          <w:szCs w:val="16"/>
          <w:color w:val="auto"/>
        </w:rPr>
        <w:t xml:space="preserve"> ☐ </w:t>
      </w:r>
      <w:r>
        <w:rPr>
          <w:rFonts w:ascii="Arial" w:cs="Arial" w:eastAsia="Arial" w:hAnsi="Arial"/>
          <w:sz w:val="16"/>
          <w:szCs w:val="16"/>
          <w:color w:val="auto"/>
        </w:rPr>
        <w:t>Form 20-F</w:t>
      </w:r>
      <w:r>
        <w:rPr>
          <w:rFonts w:ascii="MS PGothic" w:cs="MS PGothic" w:eastAsia="MS PGothic" w:hAnsi="MS PGothic"/>
          <w:sz w:val="16"/>
          <w:szCs w:val="16"/>
          <w:color w:val="auto"/>
        </w:rPr>
        <w:t xml:space="preserve"> ☐ </w:t>
      </w:r>
      <w:r>
        <w:rPr>
          <w:rFonts w:ascii="Arial" w:cs="Arial" w:eastAsia="Arial" w:hAnsi="Arial"/>
          <w:sz w:val="16"/>
          <w:szCs w:val="16"/>
          <w:color w:val="auto"/>
        </w:rPr>
        <w:t>Form 11-K</w:t>
      </w:r>
      <w:r>
        <w:rPr>
          <w:rFonts w:ascii="MS PGothic" w:cs="MS PGothic" w:eastAsia="MS PGothic" w:hAnsi="MS PGothic"/>
          <w:sz w:val="16"/>
          <w:szCs w:val="16"/>
          <w:color w:val="auto"/>
        </w:rPr>
        <w:t xml:space="preserve"> ☒ </w:t>
      </w:r>
      <w:r>
        <w:rPr>
          <w:rFonts w:ascii="Arial" w:cs="Arial" w:eastAsia="Arial" w:hAnsi="Arial"/>
          <w:sz w:val="16"/>
          <w:szCs w:val="16"/>
          <w:color w:val="auto"/>
        </w:rPr>
        <w:t>Form 10-Q</w:t>
      </w:r>
      <w:r>
        <w:rPr>
          <w:rFonts w:ascii="MS PGothic" w:cs="MS PGothic" w:eastAsia="MS PGothic" w:hAnsi="MS PGothic"/>
          <w:sz w:val="16"/>
          <w:szCs w:val="16"/>
          <w:color w:val="auto"/>
        </w:rPr>
        <w:t xml:space="preserve"> ☐ </w:t>
      </w:r>
      <w:r>
        <w:rPr>
          <w:rFonts w:ascii="Arial" w:cs="Arial" w:eastAsia="Arial" w:hAnsi="Arial"/>
          <w:sz w:val="16"/>
          <w:szCs w:val="16"/>
          <w:color w:val="auto"/>
        </w:rPr>
        <w:t>Form 10-D</w:t>
      </w:r>
      <w:r>
        <w:rPr>
          <w:rFonts w:ascii="MS PGothic" w:cs="MS PGothic" w:eastAsia="MS PGothic" w:hAnsi="MS PGothic"/>
          <w:sz w:val="16"/>
          <w:szCs w:val="16"/>
          <w:color w:val="auto"/>
        </w:rPr>
        <w:t xml:space="preserve"> ☐ </w:t>
      </w:r>
      <w:r>
        <w:rPr>
          <w:rFonts w:ascii="Arial" w:cs="Arial" w:eastAsia="Arial" w:hAnsi="Arial"/>
          <w:sz w:val="16"/>
          <w:szCs w:val="16"/>
          <w:color w:val="auto"/>
        </w:rPr>
        <w:t>Form N-SAR</w:t>
      </w:r>
      <w:r>
        <w:rPr>
          <w:rFonts w:ascii="MS PGothic" w:cs="MS PGothic" w:eastAsia="MS PGothic" w:hAnsi="MS PGothic"/>
          <w:sz w:val="16"/>
          <w:szCs w:val="16"/>
          <w:color w:val="auto"/>
        </w:rPr>
        <w:t xml:space="preserve"> ☐ </w:t>
      </w:r>
      <w:r>
        <w:rPr>
          <w:rFonts w:ascii="Arial" w:cs="Arial" w:eastAsia="Arial" w:hAnsi="Arial"/>
          <w:sz w:val="16"/>
          <w:szCs w:val="16"/>
          <w:color w:val="auto"/>
        </w:rPr>
        <w:t>Form N-CSR</w:t>
      </w:r>
    </w:p>
    <w:p>
      <w:pPr>
        <w:spacing w:after="0" w:line="270" w:lineRule="exact"/>
        <w:rPr>
          <w:sz w:val="24"/>
          <w:szCs w:val="24"/>
          <w:color w:val="auto"/>
        </w:rPr>
      </w:pPr>
    </w:p>
    <w:p>
      <w:pPr>
        <w:ind w:left="1100"/>
        <w:spacing w:after="0"/>
        <w:tabs>
          <w:tab w:leader="none" w:pos="278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6"/>
          <w:szCs w:val="16"/>
          <w:color w:val="auto"/>
        </w:rPr>
        <w:t>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1771015</wp:posOffset>
            </wp:positionH>
            <wp:positionV relativeFrom="paragraph">
              <wp:posOffset>14605</wp:posOffset>
            </wp:positionV>
            <wp:extent cx="53663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19" w:lineRule="exact"/>
        <w:rPr>
          <w:sz w:val="24"/>
          <w:szCs w:val="24"/>
          <w:color w:val="auto"/>
        </w:rPr>
      </w:pPr>
    </w:p>
    <w:p>
      <w:pPr>
        <w:ind w:left="1320" w:hanging="210"/>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25" w:lineRule="exact"/>
        <w:rPr>
          <w:rFonts w:ascii="MS PGothic" w:cs="MS PGothic" w:eastAsia="MS PGothic" w:hAnsi="MS PGothic"/>
          <w:sz w:val="18"/>
          <w:szCs w:val="18"/>
          <w:color w:val="auto"/>
        </w:rPr>
      </w:pPr>
    </w:p>
    <w:p>
      <w:pPr>
        <w:ind w:left="1320" w:hanging="210"/>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225" w:lineRule="exact"/>
        <w:rPr>
          <w:rFonts w:ascii="MS PGothic" w:cs="MS PGothic" w:eastAsia="MS PGothic" w:hAnsi="MS PGothic"/>
          <w:sz w:val="18"/>
          <w:szCs w:val="18"/>
          <w:color w:val="auto"/>
        </w:rPr>
      </w:pPr>
    </w:p>
    <w:p>
      <w:pPr>
        <w:ind w:left="1320" w:hanging="210"/>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225" w:lineRule="exact"/>
        <w:rPr>
          <w:rFonts w:ascii="MS PGothic" w:cs="MS PGothic" w:eastAsia="MS PGothic" w:hAnsi="MS PGothic"/>
          <w:sz w:val="18"/>
          <w:szCs w:val="18"/>
          <w:color w:val="auto"/>
        </w:rPr>
      </w:pPr>
    </w:p>
    <w:p>
      <w:pPr>
        <w:ind w:left="1320" w:hanging="210"/>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80" w:lineRule="exact"/>
        <w:rPr>
          <w:sz w:val="24"/>
          <w:szCs w:val="24"/>
          <w:color w:val="auto"/>
        </w:rPr>
      </w:pPr>
    </w:p>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Transition Report on Form N-SAR</w:t>
      </w:r>
    </w:p>
    <w:p>
      <w:pPr>
        <w:spacing w:after="0" w:line="270"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25 Recreation Park Drive, Unit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Hingham, MA 02043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820" w:hanging="396"/>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225" w:lineRule="exact"/>
        <w:rPr>
          <w:rFonts w:ascii="Arial" w:cs="Arial" w:eastAsia="Arial" w:hAnsi="Arial"/>
          <w:sz w:val="18"/>
          <w:szCs w:val="18"/>
          <w:color w:val="auto"/>
        </w:rPr>
      </w:pPr>
    </w:p>
    <w:p>
      <w:pPr>
        <w:ind w:left="820" w:hanging="396"/>
        <w:spacing w:after="0"/>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46" w:lineRule="exact"/>
        <w:rPr>
          <w:rFonts w:ascii="Arial" w:cs="Arial" w:eastAsia="Arial" w:hAnsi="Arial"/>
          <w:sz w:val="16"/>
          <w:szCs w:val="16"/>
          <w:color w:val="auto"/>
        </w:rPr>
      </w:pPr>
    </w:p>
    <w:p>
      <w:pPr>
        <w:jc w:val="both"/>
        <w:ind w:left="820" w:right="20" w:hanging="699"/>
        <w:spacing w:after="0" w:line="200" w:lineRule="auto"/>
        <w:tabs>
          <w:tab w:leader="none" w:pos="8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4" w:lineRule="exact"/>
        <w:rPr>
          <w:rFonts w:ascii="MS PGothic" w:cs="MS PGothic" w:eastAsia="MS PGothic" w:hAnsi="MS PGothic"/>
          <w:sz w:val="36"/>
          <w:szCs w:val="36"/>
          <w:color w:val="auto"/>
          <w:vertAlign w:val="subscript"/>
        </w:rPr>
      </w:pPr>
    </w:p>
    <w:p>
      <w:pPr>
        <w:ind w:left="820" w:hanging="396"/>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-1082040</wp:posOffset>
            </wp:positionV>
            <wp:extent cx="17145" cy="1097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10972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portion thereof, could not be filed within the prescribed time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has been unable, without unreasonable effort or expense, to timely compile all information for the disclosures required to be included in its Quarterly Report on Form 10-Q for the fiscal quarter ended March 31, 2023. The Registrant expects to file the Quarterly Report no later than the fifth calendar day following the prescribed filing date.</w:t>
      </w:r>
    </w:p>
    <w:p>
      <w:pPr>
        <w:spacing w:after="0" w:line="180" w:lineRule="exact"/>
        <w:rPr>
          <w:sz w:val="20"/>
          <w:szCs w:val="20"/>
          <w:color w:val="auto"/>
        </w:rPr>
      </w:pPr>
    </w:p>
    <w:p>
      <w:pPr>
        <w:jc w:val="both"/>
        <w:ind w:left="1700" w:hanging="1684"/>
        <w:spacing w:after="0" w:line="261" w:lineRule="auto"/>
        <w:tabs>
          <w:tab w:leader="none" w:pos="1680" w:val="left"/>
        </w:tabs>
        <w:rPr>
          <w:sz w:val="20"/>
          <w:szCs w:val="20"/>
          <w:color w:val="auto"/>
        </w:rPr>
      </w:pPr>
      <w:r>
        <w:rPr>
          <w:rFonts w:ascii="Arial" w:cs="Arial" w:eastAsia="Arial" w:hAnsi="Arial"/>
          <w:sz w:val="18"/>
          <w:szCs w:val="18"/>
          <w:color w:val="auto"/>
        </w:rPr>
        <w:t>SEC 1344 (04-09)</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jc w:val="center"/>
        <w:spacing w:after="0"/>
        <w:rPr>
          <w:sz w:val="20"/>
          <w:szCs w:val="20"/>
          <w:color w:val="auto"/>
        </w:rPr>
      </w:pPr>
      <w:r>
        <w:rPr>
          <w:rFonts w:ascii="Arial" w:cs="Arial" w:eastAsia="Arial" w:hAnsi="Arial"/>
          <w:sz w:val="18"/>
          <w:szCs w:val="18"/>
          <w:color w:val="auto"/>
        </w:rPr>
        <w:t>(Attach extra Sheets if Needed)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00" w:type="dxa"/>
            <w:vAlign w:val="bottom"/>
          </w:tcPr>
          <w:p>
            <w:pPr>
              <w:jc w:val="center"/>
              <w:spacing w:after="0"/>
              <w:rPr>
                <w:sz w:val="20"/>
                <w:szCs w:val="20"/>
                <w:color w:val="auto"/>
              </w:rPr>
            </w:pPr>
            <w:r>
              <w:rPr>
                <w:rFonts w:ascii="Arial" w:cs="Arial" w:eastAsia="Arial" w:hAnsi="Arial"/>
                <w:sz w:val="18"/>
                <w:szCs w:val="18"/>
                <w:color w:val="auto"/>
                <w:w w:val="90"/>
              </w:rPr>
              <w:t>Harel Gadot</w:t>
            </w:r>
          </w:p>
        </w:tc>
        <w:tc>
          <w:tcPr>
            <w:tcW w:w="3820" w:type="dxa"/>
            <w:vAlign w:val="bottom"/>
            <w:gridSpan w:val="2"/>
          </w:tcPr>
          <w:p>
            <w:pPr>
              <w:jc w:val="right"/>
              <w:ind w:right="1510"/>
              <w:spacing w:after="0"/>
              <w:rPr>
                <w:sz w:val="20"/>
                <w:szCs w:val="20"/>
                <w:color w:val="auto"/>
              </w:rPr>
            </w:pPr>
            <w:r>
              <w:rPr>
                <w:rFonts w:ascii="Arial" w:cs="Arial" w:eastAsia="Arial" w:hAnsi="Arial"/>
                <w:sz w:val="18"/>
                <w:szCs w:val="18"/>
                <w:color w:val="auto"/>
              </w:rPr>
              <w:t>(781)</w:t>
            </w:r>
          </w:p>
        </w:tc>
        <w:tc>
          <w:tcPr>
            <w:tcW w:w="3820" w:type="dxa"/>
            <w:vAlign w:val="bottom"/>
            <w:gridSpan w:val="2"/>
          </w:tcPr>
          <w:p>
            <w:pPr>
              <w:jc w:val="right"/>
              <w:ind w:right="1370"/>
              <w:spacing w:after="0"/>
              <w:rPr>
                <w:sz w:val="20"/>
                <w:szCs w:val="20"/>
                <w:color w:val="auto"/>
              </w:rPr>
            </w:pPr>
            <w:r>
              <w:rPr>
                <w:rFonts w:ascii="Arial" w:cs="Arial" w:eastAsia="Arial" w:hAnsi="Arial"/>
                <w:sz w:val="18"/>
                <w:szCs w:val="18"/>
                <w:color w:val="auto"/>
              </w:rPr>
              <w:t>875-3605</w:t>
            </w:r>
          </w:p>
        </w:tc>
      </w:tr>
      <w:tr>
        <w:trPr>
          <w:trHeight w:val="23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660" w:hanging="652"/>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9" w:lineRule="exact"/>
        <w:rPr>
          <w:sz w:val="20"/>
          <w:szCs w:val="20"/>
          <w:color w:val="auto"/>
        </w:rPr>
      </w:pPr>
    </w:p>
    <w:p>
      <w:pPr>
        <w:ind w:left="66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 w:lineRule="exact"/>
        <w:rPr>
          <w:sz w:val="20"/>
          <w:szCs w:val="20"/>
          <w:color w:val="auto"/>
        </w:rPr>
      </w:pPr>
    </w:p>
    <w:p>
      <w:pPr>
        <w:ind w:left="10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Registrant’s research and development expenses were approximately $1,617,000 for the three months ended March 31, 2023, compared to approximately $1,706,000 for the comparable period in 2022. The decrease in research and development expenses for the period presented was primarily due to increases relating to the initial preparations to transfer the LIBERTY device from research &amp; development to low volume and controlled production (to be used for bench, animal and clinical trials), offset by decreases in payroll due to a decrease in the number of employees.</w:t>
      </w:r>
    </w:p>
    <w:p>
      <w:pPr>
        <w:spacing w:after="0" w:line="18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General and administrative expenses were approximately $1,302,000 for the three months ended March 31, 2023, compared to approximately $1,470,000 for the comparable period in 2022. The decrease in general and administrative expenses for the period presented was primarily due to increases in travel and professional service expenses, offset by decreases in payroll expenses resulting from not recording a bonus accrual in the first fiscal quarter of 2023 and decreases in director and officer insurance premiums.</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Financing income was approximately $66,000 for the three months ended March 31, 2023, compared to financing expenses of approximately $13,000 for the comparable period in 2022. The increase in financing income for the period presented was primarily due to an increase in interest income and unrealized gains from marketable securities offset by exchange rate expenses recorded due to the strengthening of the U.S. Dollar against the 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00" w:type="dxa"/>
            <w:vAlign w:val="bottom"/>
          </w:tcPr>
          <w:p>
            <w:pPr>
              <w:spacing w:after="0"/>
              <w:rPr>
                <w:sz w:val="20"/>
                <w:szCs w:val="20"/>
                <w:color w:val="auto"/>
              </w:rPr>
            </w:pPr>
            <w:r>
              <w:rPr>
                <w:rFonts w:ascii="Arial" w:cs="Arial" w:eastAsia="Arial" w:hAnsi="Arial"/>
                <w:sz w:val="18"/>
                <w:szCs w:val="18"/>
                <w:color w:val="auto"/>
              </w:rPr>
              <w:t>Date:  May 16, 2023</w:t>
            </w:r>
          </w:p>
        </w:tc>
        <w:tc>
          <w:tcPr>
            <w:tcW w:w="7640" w:type="dxa"/>
            <w:vAlign w:val="bottom"/>
            <w:gridSpan w:val="2"/>
          </w:tcPr>
          <w:p>
            <w:pPr>
              <w:ind w:left="2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Harel Gadot</w:t>
            </w:r>
          </w:p>
        </w:tc>
      </w:tr>
      <w:tr>
        <w:trPr>
          <w:trHeight w:val="202"/>
        </w:trPr>
        <w:tc>
          <w:tcPr>
            <w:tcW w:w="3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CEO, President and Chairman</w:t>
            </w:r>
          </w:p>
        </w:tc>
      </w:tr>
      <w:tr>
        <w:trPr>
          <w:trHeight w:val="439"/>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2023-05-16T12:12:27Z</dcterms:created>
  <dcterms:modified xsi:type="dcterms:W3CDTF">2023-05-16T12:12:27Z</dcterms:modified>
</cp:coreProperties>
</file>