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2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February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218"/>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175 Derby St., </w:t>
      </w:r>
      <w:bookmarkStart w:id="9" w:name="xdx_90D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Hingham, </w:t>
      </w:r>
      <w:bookmarkStart w:id="11" w:name="xdx_905_edei--EntityAddressStateOrProvin"/>
      <w:bookmarkEnd w:id="11"/>
      <w:r>
        <w:rPr>
          <w:rFonts w:ascii="Times New Roman;Times;Serif" w:hAnsi="Times New Roman;Times;Serif"/>
          <w:b/>
          <w:i w:val="false"/>
          <w:caps w:val="false"/>
          <w:smallCaps w:val="false"/>
          <w:sz w:val="20"/>
        </w:rPr>
        <w:t xml:space="preserve">MA </w:t>
      </w:r>
      <w:bookmarkStart w:id="12" w:name="xdx_902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7_edei--CityAreaCode_c20260218__20"/>
      <w:bookmarkEnd w:id="13"/>
      <w:r>
        <w:rPr>
          <w:rFonts w:ascii="Times New Roman;Times;Serif" w:hAnsi="Times New Roman;Times;Serif"/>
          <w:b/>
          <w:i w:val="false"/>
          <w:caps w:val="false"/>
          <w:smallCaps w:val="false"/>
          <w:sz w:val="20"/>
        </w:rPr>
        <w:t xml:space="preserve">(781) </w:t>
      </w:r>
      <w:bookmarkStart w:id="14" w:name="xdx_90B_edei--LocalPhoneNumber_c20260218"/>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SolicitingMaterial_c2026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218"/>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0218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5.02 below is incorporated herein by reference into this Item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Principal Officers; Election of Directors; Appointment of Principal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20, 2026, Microbot Medical Inc. (the “Company”) entered into: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Addendum #3 to Employment Agreement, with Simon Sharon, the Company’s Chief Technology Officer and the General Manager of the Company’s Israel facilities, to (a) increase Mr. Sharon’s annual base salary to NIS 1,008,000, </w:t>
            </w:r>
            <w:r>
              <w:rPr>
                <w:rFonts w:ascii="Times New Roman;Times;Serif" w:hAnsi="Times New Roman;Times;Serif"/>
                <w:b w:val="false"/>
                <w:i w:val="false"/>
                <w:caps w:val="false"/>
                <w:smallCaps w:val="false"/>
                <w:sz w:val="20"/>
                <w:shd w:fill="FFFFFF" w:val="clear"/>
              </w:rPr>
              <w:t>commencing for the 2026 fiscal year, and (b) to increase the maximum annual bonus of Mr. Sharon to up to 50% of base salary, commencing for the 2026 fiscal year</w:t>
            </w:r>
            <w:r>
              <w:rPr>
                <w:rFonts w:ascii="Times New Roman;Times;Serif" w:hAnsi="Times New Roman;Times;Serif"/>
                <w:b w:val="false"/>
                <w:i w:val="false"/>
                <w:caps w:val="false"/>
                <w:smallCaps w:val="false"/>
                <w:sz w:val="20"/>
              </w:rPr>
              <w:t xml:space="preserve"> (the “Sharon Agreement”). In addition, the Sharon Agreement provides that the base salary shall be reviewed on an annual basis, taking into account such performance metrics and criteria of Mr. Sharon and of the Company in the Compensation Committee’s (or the full Board of Director’s, if applicable) sole discretion, without further amendment or addendum to Mr. Sharon’s employment agreement, as amended by the Sharon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Addendum #3 to Employment Agreement, with Rachel Vaknin, the Company’s Chief Financial Officer, to (a) increase </w:t>
            </w:r>
            <w:r>
              <w:rPr>
                <w:rFonts w:ascii="Times New Roman;Times;Serif" w:hAnsi="Times New Roman;Times;Serif"/>
                <w:b w:val="false"/>
                <w:i w:val="false"/>
                <w:caps w:val="false"/>
                <w:smallCaps w:val="false"/>
                <w:sz w:val="20"/>
                <w:shd w:fill="FFFFFF" w:val="clear"/>
              </w:rPr>
              <w:t>Ms. Vaknin</w:t>
            </w:r>
            <w:r>
              <w:rPr>
                <w:rFonts w:ascii="Times New Roman;Times;Serif" w:hAnsi="Times New Roman;Times;Serif"/>
                <w:b w:val="false"/>
                <w:i w:val="false"/>
                <w:caps w:val="false"/>
                <w:smallCaps w:val="false"/>
                <w:sz w:val="20"/>
              </w:rPr>
              <w:t xml:space="preserve">’s annual base salary to NIS 756,000, </w:t>
            </w:r>
            <w:r>
              <w:rPr>
                <w:rFonts w:ascii="Times New Roman;Times;Serif" w:hAnsi="Times New Roman;Times;Serif"/>
                <w:b w:val="false"/>
                <w:i w:val="false"/>
                <w:caps w:val="false"/>
                <w:smallCaps w:val="false"/>
                <w:sz w:val="20"/>
                <w:shd w:fill="FFFFFF" w:val="clear"/>
              </w:rPr>
              <w:t>commencing for the 2026 fiscal year, and (b) to increase the maximum annual bonus of Ms. Vaknin to up to 50% of base salary, commencing for the 2026 fiscal year</w:t>
            </w:r>
            <w:r>
              <w:rPr>
                <w:rFonts w:ascii="Times New Roman;Times;Serif" w:hAnsi="Times New Roman;Times;Serif"/>
                <w:b w:val="false"/>
                <w:i w:val="false"/>
                <w:caps w:val="false"/>
                <w:smallCaps w:val="false"/>
                <w:sz w:val="20"/>
              </w:rPr>
              <w:t xml:space="preserve"> (the “Vaknin Agreement”). In addition, the Vaknin Agreement provides that the base salary shall be reviewed on an annual basis, taking into account such performance metrics and criteria of </w:t>
            </w:r>
            <w:r>
              <w:rPr>
                <w:rFonts w:ascii="Times New Roman;Times;Serif" w:hAnsi="Times New Roman;Times;Serif"/>
                <w:b w:val="false"/>
                <w:i w:val="false"/>
                <w:caps w:val="false"/>
                <w:smallCaps w:val="false"/>
                <w:sz w:val="20"/>
                <w:shd w:fill="FFFFFF" w:val="clear"/>
              </w:rPr>
              <w:t xml:space="preserve">Ms. Vaknin </w:t>
            </w:r>
            <w:r>
              <w:rPr>
                <w:rFonts w:ascii="Times New Roman;Times;Serif" w:hAnsi="Times New Roman;Times;Serif"/>
                <w:b w:val="false"/>
                <w:i w:val="false"/>
                <w:caps w:val="false"/>
                <w:smallCaps w:val="false"/>
                <w:sz w:val="20"/>
              </w:rPr>
              <w:t xml:space="preserve">and of the Company in the Compensation Committee’s (or the full Board of Director’s, if applicable) sole discretion, without further amendment or addendum to </w:t>
            </w:r>
            <w:r>
              <w:rPr>
                <w:rFonts w:ascii="Times New Roman;Times;Serif" w:hAnsi="Times New Roman;Times;Serif"/>
                <w:b w:val="false"/>
                <w:i w:val="false"/>
                <w:caps w:val="false"/>
                <w:smallCaps w:val="false"/>
                <w:sz w:val="20"/>
                <w:shd w:fill="FFFFFF" w:val="clear"/>
              </w:rPr>
              <w:t>Ms. Vaknin</w:t>
            </w:r>
            <w:r>
              <w:rPr>
                <w:rFonts w:ascii="Times New Roman;Times;Serif" w:hAnsi="Times New Roman;Times;Serif"/>
                <w:b w:val="false"/>
                <w:i w:val="false"/>
                <w:caps w:val="false"/>
                <w:smallCaps w:val="false"/>
                <w:sz w:val="20"/>
              </w:rPr>
              <w:t>’s employment agreement, as amended by the Vaknin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Amendment #2 to Employment Agreement, with Juan Diaz-Cartelle, the Company’s Chief Medical Officer, to increase the maximum annual bonus of Dr. Diaz-Cartelle to up to 50% of base salary, commencing for the 2026 fiscal year (the “Diaz-Cartelle Agreement”).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18, 2026, the Company authorized the payment of a special bonus to Harel Gadot, the Company’s Chief Executive Officer, President and Chairman, in the amount of approximately $140,000. This is in addition to any other bonuses he is entitled to receive under his existing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Sharon Agreement, Vaknin Agreement and </w:t>
      </w:r>
      <w:r>
        <w:rPr>
          <w:rFonts w:ascii="Times New Roman;Times;Serif" w:hAnsi="Times New Roman;Times;Serif"/>
          <w:b w:val="false"/>
          <w:i w:val="false"/>
          <w:caps w:val="false"/>
          <w:smallCaps w:val="false"/>
          <w:sz w:val="20"/>
          <w:shd w:fill="FFFFFF" w:val="clear"/>
        </w:rPr>
        <w:t>Diaz-Cartelle Agreement</w:t>
      </w:r>
      <w:r>
        <w:rPr>
          <w:rFonts w:ascii="Times New Roman;Times;Serif" w:hAnsi="Times New Roman;Times;Serif"/>
          <w:b w:val="false"/>
          <w:i w:val="false"/>
          <w:caps w:val="false"/>
          <w:smallCaps w:val="false"/>
          <w:sz w:val="20"/>
        </w:rPr>
        <w:t xml:space="preserve"> are attached as Exhibits 10.1, 10.2 and 10.3, respectively, to this Current Report on Form 8-K. The description of the terms of the Sharon Agreement, Vaknin Agreement and </w:t>
      </w:r>
      <w:r>
        <w:rPr>
          <w:rFonts w:ascii="Times New Roman;Times;Serif" w:hAnsi="Times New Roman;Times;Serif"/>
          <w:b w:val="false"/>
          <w:i w:val="false"/>
          <w:caps w:val="false"/>
          <w:smallCaps w:val="false"/>
          <w:sz w:val="20"/>
          <w:shd w:fill="FFFFFF" w:val="clear"/>
        </w:rPr>
        <w:t>Diaz-Cartelle Agreement</w:t>
      </w:r>
      <w:r>
        <w:rPr>
          <w:rFonts w:ascii="Times New Roman;Times;Serif" w:hAnsi="Times New Roman;Times;Serif"/>
          <w:b w:val="false"/>
          <w:i w:val="false"/>
          <w:caps w:val="false"/>
          <w:smallCaps w:val="false"/>
          <w:sz w:val="20"/>
        </w:rPr>
        <w:t xml:space="preserve"> are not intended to be complete and are qualified in their entirety by reference to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8785" w:type="dxa"/>
        <w:jc w:val="left"/>
        <w:tblInd w:w="0" w:type="dxa"/>
        <w:tblLayout w:type="fixed"/>
        <w:tblCellMar>
          <w:top w:w="0" w:type="dxa"/>
          <w:left w:w="0" w:type="dxa"/>
          <w:bottom w:w="28" w:type="dxa"/>
          <w:right w:w="0" w:type="dxa"/>
        </w:tblCellMar>
      </w:tblPr>
      <w:tblGrid>
        <w:gridCol w:w="725"/>
        <w:gridCol w:w="60"/>
        <w:gridCol w:w="800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Addendum #3 to Employment Agreement, dated as of February 20, 2026, with Simon Sharon</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0"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Addendum #3 to Employment Agreement, dated as of February 20, 2026, with Rachel Vaknin</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0"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Amendment #2 to Employment Agreement, dated as of February 20, 2026, with Juan Diaz-Cartelle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24,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5920" cy="6584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5920" cy="65849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#3 TO 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and entered into as of February 20,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514519412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6 Hayozma Street, Yokneam Illit, Israel</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of the first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Sharon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I.D no. 27037753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Israel</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of the second part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9"/>
        <w:gridCol w:w="9156"/>
      </w:tblGrid>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tc>
        <w:tc>
          <w:tcPr>
            <w:tcW w:w="9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is employed by the Company in accordance with that certain employment agreement dated on March 31, 2018, as amended and any addendum thereto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31"/>
        <w:gridCol w:w="9136"/>
      </w:tblGrid>
      <w:tr>
        <w:trPr/>
        <w:tc>
          <w:tcPr>
            <w:tcW w:w="3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tc>
        <w:tc>
          <w:tcPr>
            <w:tcW w:w="9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Employee have agreed to amend certain terms of the Employee’s Employment Agreement effective as of the date hereof (the “</w:t>
            </w:r>
            <w:r>
              <w:rPr>
                <w:rFonts w:ascii="Times New Roman;Times;Serif" w:hAnsi="Times New Roman;Times;Serif"/>
                <w:b/>
                <w:i w:val="false"/>
                <w:caps w:val="false"/>
                <w:smallCaps w:val="false"/>
                <w:sz w:val="20"/>
              </w:rPr>
              <w:t>Amendment Date</w:t>
            </w:r>
            <w:r>
              <w:rPr>
                <w:rFonts w:ascii="Times New Roman;Times;Serif" w:hAnsi="Times New Roman;Times;Serif"/>
                <w:b w:val="false"/>
                <w:i w:val="false"/>
                <w:caps w:val="false"/>
                <w:smallCaps w:val="false"/>
                <w:sz w:val="20"/>
              </w:rPr>
              <w:t>”), and wish to set forth in writing said understanding;</w:t>
            </w:r>
          </w:p>
        </w:tc>
      </w:tr>
    </w:tbl>
    <w:p>
      <w:pPr>
        <w:pStyle w:val="TextBody"/>
        <w:bidi w:val="0"/>
        <w:spacing w:before="0" w:after="0"/>
        <w:ind w:left="1512" w:right="0" w:hanging="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hereby agree, declare and covenant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Salary; Bonus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Amendment Date, retroactive to January 1, 2026, the Employee’s gross annual Base Salary shall be increased to a gross amount of NIS 1,008,000. During the term of the Employment Agreement, the compensation committee of the Board of Directors, or, if there be no such compensation committee, the entire Board of Directors (in either case, the “Compensation Committee”), shall review the Employee’s Base Salary on an annual basis and may provide for such increases thereto as it may determine, taking into account such performance metrics and criteria of the Employee and of the Company in the Compensation Committee’s sole discretion, without further amendment or addendum to the Employment Agreement, and any such increased Base Salary shall be deemed the “Base Salary.”</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3(a)(viii) of the Employment Agreement is hereby amended by replacing “thirty five percent (35%)” with “fifty percent (50%)”.</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Capitalized terms used herein, unless otherwise defined, shall have the meanings ascribed to them in the Employment Agreement.</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8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9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otherwise specifically modified herein in this Addendum all of the terms and conditions of the Employment Agreement are hereby ratified, approved and confirmed and all such terms and conditions shall remain in full force and effect.</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br/>
        <w:t>Office: +972-4-8200710 Fax: +972-4-8200712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www.microbotmedical.com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593"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5920" cy="6584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5920" cy="65849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48" w:right="0" w:hanging="36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execute hereunder:</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28" w:type="dxa"/>
          <w:right w:w="0" w:type="dxa"/>
        </w:tblCellMar>
      </w:tblPr>
      <w:tblGrid>
        <w:gridCol w:w="1955"/>
        <w:gridCol w:w="60"/>
        <w:gridCol w:w="1415"/>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Naama Moav</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Simon Sharon</w:t>
            </w:r>
          </w:p>
        </w:tc>
      </w:tr>
      <w:tr>
        <w:trPr/>
        <w:tc>
          <w:tcPr>
            <w:tcW w:w="195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Sharon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r>
    </w:p>
    <w:p>
      <w:pPr>
        <w:pStyle w:val="TextBody"/>
        <w:bidi w:val="0"/>
        <w:spacing w:before="0" w:after="0"/>
        <w:ind w:left="21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+972-4-8200710 Fax: +972-4-8200712</w:t>
      </w:r>
    </w:p>
    <w:p>
      <w:pPr>
        <w:pStyle w:val="TextBody"/>
        <w:bidi w:val="0"/>
        <w:spacing w:before="0" w:after="0"/>
        <w:ind w:left="216"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www.microbotmedical.com</w:t>
      </w:r>
    </w:p>
    <w:p>
      <w:pPr>
        <w:pStyle w:val="TextBody"/>
        <w:bidi w:val="0"/>
        <w:spacing w:before="0" w:after="0"/>
        <w:ind w:left="216"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 w:name="ex10-2.htm"/>
      <w:bookmarkStart w:id="26" w:name="ksex10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28800" cy="7315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73152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#3 TO EMPLOYMENT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and entered into as of February 3,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514519412</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6 Hayozma Street, Yokneam Illit, Israel</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of the first part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I.D no. 35883685</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Israel</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of the second part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7"/>
        <w:gridCol w:w="9178"/>
      </w:tblGrid>
      <w:tr>
        <w:trPr/>
        <w:tc>
          <w:tcPr>
            <w:tcW w:w="1027"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w:t>
            </w:r>
          </w:p>
        </w:tc>
        <w:tc>
          <w:tcPr>
            <w:tcW w:w="9178"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the Employee is employed by the Company in accordance with that certain employment agreement dated on November 22, 2021, and any addendum thereto (the “</w:t>
            </w:r>
            <w:r>
              <w:rPr>
                <w:rFonts w:ascii="Times New Roman;Times;Serif" w:hAnsi="Times New Roman;Times;Serif"/>
                <w:b/>
                <w:sz w:val="20"/>
              </w:rPr>
              <w:t>Employment Agreement”);</w:t>
            </w:r>
          </w:p>
        </w:tc>
      </w:tr>
      <w:tr>
        <w:trPr/>
        <w:tc>
          <w:tcPr>
            <w:tcW w:w="1027" w:type="dxa"/>
            <w:tcBorders/>
            <w:vAlign w:val="center"/>
          </w:tcPr>
          <w:p>
            <w:pPr>
              <w:pStyle w:val="TableContents"/>
              <w:bidi w:val="0"/>
              <w:spacing w:before="0" w:after="283"/>
              <w:ind w:left="0" w:right="0" w:hanging="0"/>
              <w:jc w:val="both"/>
              <w:rPr/>
            </w:pPr>
            <w:r>
              <w:rPr/>
              <w:t> </w:t>
            </w:r>
          </w:p>
        </w:tc>
        <w:tc>
          <w:tcPr>
            <w:tcW w:w="9178" w:type="dxa"/>
            <w:tcBorders/>
            <w:vAlign w:val="center"/>
          </w:tcPr>
          <w:p>
            <w:pPr>
              <w:pStyle w:val="TableContents"/>
              <w:bidi w:val="0"/>
              <w:spacing w:before="0" w:after="283"/>
              <w:ind w:left="0" w:right="0" w:hanging="0"/>
              <w:jc w:val="both"/>
              <w:rPr/>
            </w:pPr>
            <w:r>
              <w:rPr/>
              <w:t> </w:t>
            </w:r>
          </w:p>
        </w:tc>
      </w:tr>
      <w:tr>
        <w:trPr/>
        <w:tc>
          <w:tcPr>
            <w:tcW w:w="1027" w:type="dxa"/>
            <w:tcBorders/>
            <w:vAlign w:val="center"/>
          </w:tcPr>
          <w:p>
            <w:pPr>
              <w:pStyle w:val="TableContents"/>
              <w:bidi w:val="0"/>
              <w:spacing w:before="0" w:after="283"/>
              <w:ind w:left="0" w:right="0" w:hanging="0"/>
              <w:jc w:val="both"/>
              <w:rPr>
                <w:rFonts w:ascii="Times New Roman;Times;Serif" w:hAnsi="Times New Roman;Times;Serif"/>
                <w:b/>
                <w:sz w:val="20"/>
              </w:rPr>
            </w:pPr>
            <w:r>
              <w:rPr>
                <w:rFonts w:ascii="Times New Roman;Times;Serif" w:hAnsi="Times New Roman;Times;Serif"/>
                <w:b/>
                <w:sz w:val="20"/>
              </w:rPr>
              <w:t>WHEREAS,</w:t>
            </w:r>
          </w:p>
        </w:tc>
        <w:tc>
          <w:tcPr>
            <w:tcW w:w="917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and the Employee have agreed to amend certain terms of the Employee’s Employment Agreement effective as of the date hereof (the “</w:t>
            </w:r>
            <w:r>
              <w:rPr>
                <w:rFonts w:ascii="Times New Roman;Times;Serif" w:hAnsi="Times New Roman;Times;Serif"/>
                <w:b/>
              </w:rPr>
              <w:t xml:space="preserve">Amendment Date”), </w:t>
            </w:r>
            <w:r>
              <w:rPr>
                <w:rFonts w:ascii="Times New Roman;Times;Serif" w:hAnsi="Times New Roman;Times;Serif"/>
              </w:rPr>
              <w:t>and wish to set forth in writing said understanding;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Parties hereby agree, declare and covenant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Salary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ind w:left="0" w:right="0" w:hanging="0"/>
              <w:jc w:val="left"/>
              <w:rPr/>
            </w:pPr>
            <w:r>
              <w:rPr/>
              <w:t> </w:t>
            </w:r>
          </w:p>
        </w:tc>
        <w:tc>
          <w:tcPr>
            <w:tcW w:w="281"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Amendment Date, retroactive to January 1, 2026, the Employee’s gross annual Base Salary shall be increased to a gross amount of NIS 756,000. During the term of the Employment Agreement, the compensation committee of the Board of Directors, or, if there be no such compensation committee, the entire Board of Directors (in either case, the “Compensation Committee”), shall review the Employee’s Base Salary on an annual basis and may provide for such increases thereto as it may determine, taking into account such performance metrics and criteria of the Employee and of the Company in the Compensation Committee’s sole discretion, without further amendment or addendum to the Employment Agreement, and any such increased Base Salary shall be deemed the “Base Salary.”</w:t>
            </w:r>
          </w:p>
        </w:tc>
      </w:tr>
    </w:tbl>
    <w:p>
      <w:pPr>
        <w:pStyle w:val="TextBody"/>
        <w:bidi w:val="0"/>
        <w:spacing w:before="0" w:after="0"/>
        <w:jc w:val="center"/>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23"/>
        <w:gridCol w:w="32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3.6(a) of the Agreement shall be replaced with:</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You may be eligible to receive an annual bonus in the aggregate amount of up to fifty percent (50%) of the Base Salary, contingent upon meeting certain targets, as shall be determined from time to time by the Company, at its sole discretion (the “Bonus”). It is hereby clarified that the Company shall have the sole discretion regarding the decision whether you have achieved the goals which were set to you.”</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Miscellaneous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46"/>
        <w:gridCol w:w="9799"/>
      </w:tblGrid>
      <w:tr>
        <w:trPr/>
        <w:tc>
          <w:tcPr>
            <w:tcW w:w="60" w:type="dxa"/>
            <w:tcBorders/>
            <w:vAlign w:val="center"/>
          </w:tcPr>
          <w:p>
            <w:pPr>
              <w:pStyle w:val="TableContents"/>
              <w:bidi w:val="0"/>
              <w:spacing w:before="0" w:after="283"/>
              <w:ind w:left="0" w:right="0" w:hanging="0"/>
              <w:jc w:val="left"/>
              <w:rPr/>
            </w:pPr>
            <w:r>
              <w:rPr/>
              <w:t> </w:t>
            </w:r>
          </w:p>
        </w:tc>
        <w:tc>
          <w:tcPr>
            <w:tcW w:w="346"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2.1.</w:t>
            </w:r>
          </w:p>
        </w:tc>
        <w:tc>
          <w:tcPr>
            <w:tcW w:w="97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Capitalized terms used herein, unless otherwise defined, shall have the meanings ascribed to them in the Employment Agreement.</w:t>
            </w:r>
          </w:p>
        </w:tc>
      </w:tr>
      <w:tr>
        <w:trPr/>
        <w:tc>
          <w:tcPr>
            <w:tcW w:w="60" w:type="dxa"/>
            <w:tcBorders/>
            <w:vAlign w:val="center"/>
          </w:tcPr>
          <w:p>
            <w:pPr>
              <w:pStyle w:val="TableContents"/>
              <w:bidi w:val="0"/>
              <w:spacing w:before="0" w:after="283"/>
              <w:ind w:left="0" w:right="0" w:hanging="0"/>
              <w:jc w:val="left"/>
              <w:rPr/>
            </w:pPr>
            <w:r>
              <w:rPr/>
              <w:t> </w:t>
            </w:r>
          </w:p>
        </w:tc>
        <w:tc>
          <w:tcPr>
            <w:tcW w:w="346" w:type="dxa"/>
            <w:tcBorders/>
            <w:vAlign w:val="center"/>
          </w:tcPr>
          <w:p>
            <w:pPr>
              <w:pStyle w:val="TableContents"/>
              <w:bidi w:val="0"/>
              <w:spacing w:before="0" w:after="283"/>
              <w:ind w:left="0" w:right="0" w:hanging="0"/>
              <w:jc w:val="both"/>
              <w:rPr/>
            </w:pPr>
            <w:r>
              <w:rPr/>
              <w:t> </w:t>
            </w:r>
          </w:p>
        </w:tc>
        <w:tc>
          <w:tcPr>
            <w:tcW w:w="979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346"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 xml:space="preserve">2.2. </w:t>
            </w:r>
          </w:p>
        </w:tc>
        <w:tc>
          <w:tcPr>
            <w:tcW w:w="97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ind w:left="0" w:right="0" w:hanging="0"/>
              <w:jc w:val="left"/>
              <w:rPr/>
            </w:pPr>
            <w:r>
              <w:rPr/>
              <w:t> </w:t>
            </w:r>
          </w:p>
        </w:tc>
        <w:tc>
          <w:tcPr>
            <w:tcW w:w="2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2.3.</w:t>
            </w:r>
          </w:p>
        </w:tc>
        <w:tc>
          <w:tcPr>
            <w:tcW w:w="9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tc>
      </w:tr>
      <w:tr>
        <w:trPr/>
        <w:tc>
          <w:tcPr>
            <w:tcW w:w="60" w:type="dxa"/>
            <w:tcBorders/>
            <w:vAlign w:val="center"/>
          </w:tcPr>
          <w:p>
            <w:pPr>
              <w:pStyle w:val="TableContents"/>
              <w:bidi w:val="0"/>
              <w:spacing w:before="0" w:after="283"/>
              <w:ind w:left="0" w:right="0" w:hanging="0"/>
              <w:jc w:val="left"/>
              <w:rPr/>
            </w:pPr>
            <w:r>
              <w:rPr/>
              <w:t> </w:t>
            </w:r>
          </w:p>
        </w:tc>
        <w:tc>
          <w:tcPr>
            <w:tcW w:w="280" w:type="dxa"/>
            <w:tcBorders/>
            <w:vAlign w:val="center"/>
          </w:tcPr>
          <w:p>
            <w:pPr>
              <w:pStyle w:val="TableContents"/>
              <w:bidi w:val="0"/>
              <w:spacing w:before="0" w:after="283"/>
              <w:ind w:left="0" w:right="0" w:hanging="0"/>
              <w:jc w:val="both"/>
              <w:rPr/>
            </w:pPr>
            <w:r>
              <w:rPr/>
              <w:t> </w:t>
            </w:r>
          </w:p>
        </w:tc>
        <w:tc>
          <w:tcPr>
            <w:tcW w:w="98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2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2.4.</w:t>
            </w:r>
          </w:p>
        </w:tc>
        <w:tc>
          <w:tcPr>
            <w:tcW w:w="9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Except to the extent otherwise specifically modified herein in this Addendum all of the terms and conditions of the Employment Agreement are hereby ratified, approved and confirmed and all such terms and conditions shall remain in full force and effect.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+972-4-8200710 Fax: +972-4-8200712</w:t>
      </w:r>
    </w:p>
    <w:p>
      <w:pPr>
        <w:pStyle w:val="TextBody"/>
        <w:bidi w:val="0"/>
        <w:spacing w:before="0" w:after="0"/>
        <w:ind w:left="0" w:right="0" w:hanging="1224"/>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www.microbotmedical.com</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28800" cy="7315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73152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execute hereunder:</w:t>
      </w:r>
    </w:p>
    <w:p>
      <w:pPr>
        <w:pStyle w:val="TextBody"/>
        <w:bidi w:val="0"/>
        <w:spacing w:before="0" w:after="0"/>
        <w:jc w:val="both"/>
        <w:rPr>
          <w:caps w:val="false"/>
          <w:smallCaps w:val="false"/>
        </w:rPr>
      </w:pPr>
      <w:r>
        <w:rPr>
          <w:caps w:val="false"/>
          <w:smallCaps w:val="false"/>
        </w:rPr>
        <w:t> </w:t>
      </w:r>
    </w:p>
    <w:tbl>
      <w:tblPr>
        <w:tblW w:w="3715" w:type="dxa"/>
        <w:jc w:val="left"/>
        <w:tblInd w:w="0" w:type="dxa"/>
        <w:tblLayout w:type="fixed"/>
        <w:tblCellMar>
          <w:top w:w="0" w:type="dxa"/>
          <w:left w:w="0" w:type="dxa"/>
          <w:bottom w:w="28" w:type="dxa"/>
          <w:right w:w="0" w:type="dxa"/>
        </w:tblCellMar>
      </w:tblPr>
      <w:tblGrid>
        <w:gridCol w:w="1940"/>
        <w:gridCol w:w="60"/>
        <w:gridCol w:w="1715"/>
      </w:tblGrid>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Naama Moav</w:t>
            </w:r>
          </w:p>
        </w:tc>
        <w:tc>
          <w:tcPr>
            <w:tcW w:w="60" w:type="dxa"/>
            <w:tcBorders/>
            <w:tcMar>
              <w:bottom w:w="0" w:type="dxa"/>
            </w:tcMar>
            <w:vAlign w:val="center"/>
          </w:tcPr>
          <w:p>
            <w:pPr>
              <w:pStyle w:val="TableContents"/>
              <w:bidi w:val="0"/>
              <w:spacing w:before="0" w:after="283"/>
              <w:jc w:val="center"/>
              <w:rPr/>
            </w:pPr>
            <w:r>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Rachel Vaknin</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Microbot Medical Ltd.</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Rachel Vaknin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 6 Hayozma St, Yokneam Illit, 2069024. P.O.B 242, Israel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+972-4-8200710 Fax: +972-4-8200712</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www.microbotmedical.com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2736"/>
        <w:jc w:val="both"/>
        <w:rPr>
          <w:caps w:val="false"/>
          <w:smallCaps w:val="false"/>
        </w:rPr>
      </w:pPr>
      <w:r>
        <w:rPr>
          <w:caps w:val="false"/>
          <w:smallCaps w:val="false"/>
        </w:rPr>
        <w:t> </w:t>
      </w:r>
    </w:p>
    <w:p>
      <w:pPr>
        <w:pStyle w:val="TextBody"/>
        <w:bidi w:val="0"/>
        <w:spacing w:before="0" w:after="0"/>
        <w:ind w:left="0" w:right="0" w:hanging="2736"/>
        <w:jc w:val="left"/>
        <w:rPr>
          <w:caps w:val="false"/>
          <w:smallCaps w:val="false"/>
        </w:rPr>
      </w:pPr>
      <w:r>
        <w:rPr>
          <w:caps w:val="false"/>
          <w:smallCaps w:val="false"/>
        </w:rPr>
        <w:t> </w:t>
      </w:r>
    </w:p>
    <w:p>
      <w:pPr>
        <w:pStyle w:val="TextBody"/>
        <w:bidi w:val="0"/>
        <w:spacing w:before="0" w:after="0"/>
        <w:jc w:val="left"/>
        <w:rPr>
          <w:caps w:val="false"/>
          <w:smallCaps w:val="false"/>
        </w:rPr>
      </w:pPr>
      <w:bookmarkStart w:id="27" w:name="ex10-3.htm"/>
      <w:bookmarkStart w:id="28" w:name="ksex103"/>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#2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#2 (this “Amendment”) to the Employment Agreement effective as of December 1, 2023, as amended on February 5, 2025 (as so amended, the “Agreement”) by and between Microbot Medical Inc., a Delaware corporation, and Dr. Juan Diaz-Cartelle (the Executive”), is made as of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February, 2026, by and between the Company and the Executive (capitalized terms used herein and not otherwise defined shall have the meanings ascribed to those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Executive are parties to the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Executive desire to amend the Agreement as more particularly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19 of the Agreement provides that all terms, conditions and provisions of the Agreement shall remain in full force and effect unless modified, changed, altered or amended, in writing, executed by both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and covenants contained in this Agreement,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Amendments to Agreement</w:t>
      </w:r>
      <w:r>
        <w:rPr>
          <w:rFonts w:ascii="Times New Roman;Times;Serif" w:hAnsi="Times New Roman;Times;Serif"/>
          <w:b w:val="false"/>
          <w:i w:val="false"/>
          <w:caps w:val="false"/>
          <w:smallCaps w:val="false"/>
          <w:sz w:val="20"/>
        </w:rPr>
        <w:t>. The Target Bonus shall be increased from up to a maximum amount of thirty five percent (35%) of Executive’s Base Salary for performance at the maximum level, to up fifty percent (50%) of Executive’s Base Salary for performance at the maximum level, commencing for the 2026 fiscal year. The Compensation Committee may review the maximum Target Bonus on a percentage basis annually and may provide for such changes thereto as it may determine, taking into account such performance metrics and criteria of the Executive and of the Company (including peer group comparisons) in the Compensation Committee’s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this Amendment, the Agreement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headings of the sections of this Amendment have been inserted for convenience of reference only and shall not be deemed to be a part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Amendment, together with the Agreement, contain the entire agreement between the Company and the Executive with respect to the subject matter hereof and thereof and supersede all prior and contemporaneous agreements and understandings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may be executed in any number of counterparts, each of which shall be deemed to be an original instrument, but all such counterparts together shall constitute but one agreement. Fax and electronic signatures shall be deemed originals for all purposes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Amendment shall be governed by, and construed in accordance with, the laws of the Commonwealth of Massachusetts.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[Remainder Of This Page Intentionally Left Blank; Signature Page Follows]</w:t>
      </w:r>
    </w:p>
    <w:p>
      <w:pPr>
        <w:pStyle w:val="TextBody"/>
        <w:bidi w:val="0"/>
        <w:spacing w:before="0" w:after="0"/>
        <w:jc w:val="center"/>
        <w:rPr>
          <w:smallCaps/>
        </w:rPr>
      </w:pPr>
      <w:r>
        <w:rPr>
          <w:small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undersigned have executed and delivered this Amendment as of the day and year first written above.</w:t>
      </w:r>
    </w:p>
    <w:p>
      <w:pPr>
        <w:pStyle w:val="TextBody"/>
        <w:bidi w:val="0"/>
        <w:spacing w:before="0" w:after="0"/>
        <w:ind w:left="0" w:right="0" w:firstLine="72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54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President and Chairman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Juan Diaz-Cartelle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Juan Diaz-Cartelle</w:t>
            </w:r>
          </w:p>
        </w:tc>
      </w:tr>
    </w:tbl>
    <w:p>
      <w:pPr>
        <w:pStyle w:val="TextBody"/>
        <w:bidi w:val="0"/>
        <w:spacing w:before="0" w:after="0"/>
        <w:ind w:left="495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#2]</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2594</Words>
  <Characters>13953</Characters>
  <CharactersWithSpaces>16550</CharactersWithSpaces>
  <Paragraphs>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