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194" w:lineRule="exact"/>
        <w:rPr>
          <w:sz w:val="24"/>
          <w:szCs w:val="24"/>
          <w:color w:val="auto"/>
        </w:rPr>
      </w:pPr>
    </w:p>
    <w:p>
      <w:pPr>
        <w:ind w:left="260" w:hanging="260"/>
        <w:spacing w:after="0"/>
        <w:tabs>
          <w:tab w:leader="none" w:pos="260" w:val="left"/>
        </w:tabs>
        <w:numPr>
          <w:ilvl w:val="0"/>
          <w:numId w:val="1"/>
        </w:numPr>
        <w:rPr>
          <w:rFonts w:ascii="Segoe UI Emoji" w:cs="Segoe UI Emoji" w:eastAsia="Segoe UI Emoji" w:hAnsi="Segoe UI Emoji"/>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w:t>
      </w:r>
    </w:p>
    <w:p>
      <w:pPr>
        <w:spacing w:after="0" w:line="18" w:lineRule="exact"/>
        <w:rPr>
          <w:rFonts w:ascii="Segoe UI Emoji" w:cs="Segoe UI Emoji" w:eastAsia="Segoe UI Emoji" w:hAnsi="Segoe UI Emoji"/>
          <w:sz w:val="20"/>
          <w:szCs w:val="20"/>
          <w:color w:val="auto"/>
        </w:rPr>
      </w:pPr>
    </w:p>
    <w:p>
      <w:pPr>
        <w:ind w:left="4400"/>
        <w:spacing w:after="0" w:line="221" w:lineRule="auto"/>
        <w:rPr>
          <w:rFonts w:ascii="Segoe UI Emoji" w:cs="Segoe UI Emoji" w:eastAsia="Segoe UI Emoji" w:hAnsi="Segoe UI Emoji"/>
          <w:sz w:val="20"/>
          <w:szCs w:val="20"/>
          <w:color w:val="auto"/>
        </w:rPr>
      </w:pPr>
      <w:r>
        <w:rPr>
          <w:rFonts w:ascii="Times New Roman" w:cs="Times New Roman" w:eastAsia="Times New Roman" w:hAnsi="Times New Roman"/>
          <w:sz w:val="20"/>
          <w:szCs w:val="20"/>
          <w:b w:val="1"/>
          <w:bCs w:val="1"/>
          <w:color w:val="auto"/>
        </w:rPr>
        <w:t>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194" w:lineRule="exact"/>
        <w:rPr>
          <w:sz w:val="24"/>
          <w:szCs w:val="24"/>
          <w:color w:val="auto"/>
        </w:rPr>
      </w:pPr>
    </w:p>
    <w:p>
      <w:pPr>
        <w:ind w:left="300" w:hanging="300"/>
        <w:spacing w:after="0"/>
        <w:tabs>
          <w:tab w:leader="none" w:pos="300" w:val="left"/>
        </w:tabs>
        <w:numPr>
          <w:ilvl w:val="0"/>
          <w:numId w:val="2"/>
        </w:numPr>
        <w:rPr>
          <w:rFonts w:ascii="Segoe UI Emoji" w:cs="Segoe UI Emoji" w:eastAsia="Segoe UI Emoji" w:hAnsi="Segoe UI Emoji"/>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w:t>
      </w:r>
    </w:p>
    <w:p>
      <w:pPr>
        <w:spacing w:after="0" w:line="18" w:lineRule="exact"/>
        <w:rPr>
          <w:rFonts w:ascii="Segoe UI Emoji" w:cs="Segoe UI Emoji" w:eastAsia="Segoe UI Emoji" w:hAnsi="Segoe UI Emoji"/>
          <w:sz w:val="20"/>
          <w:szCs w:val="20"/>
          <w:color w:val="auto"/>
        </w:rPr>
      </w:pPr>
    </w:p>
    <w:p>
      <w:pPr>
        <w:ind w:left="4140"/>
        <w:spacing w:after="0" w:line="221" w:lineRule="auto"/>
        <w:rPr>
          <w:rFonts w:ascii="Segoe UI Emoji" w:cs="Segoe UI Emoji" w:eastAsia="Segoe UI Emoji" w:hAnsi="Segoe UI Emoji"/>
          <w:sz w:val="20"/>
          <w:szCs w:val="20"/>
          <w:color w:val="auto"/>
        </w:rPr>
      </w:pPr>
      <w:r>
        <w:rPr>
          <w:rFonts w:ascii="Times New Roman" w:cs="Times New Roman" w:eastAsia="Times New Roman" w:hAnsi="Times New Roman"/>
          <w:sz w:val="20"/>
          <w:szCs w:val="20"/>
          <w:b w:val="1"/>
          <w:bCs w:val="1"/>
          <w:color w:val="auto"/>
        </w:rPr>
        <w:t>ACT OF 1934.</w:t>
      </w:r>
    </w:p>
    <w:p>
      <w:pPr>
        <w:spacing w:after="0" w:line="230"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 to _____</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000-19871</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MICROBOT MEDICAL INC.</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(Exact name of registrant as specified in its charter)</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6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3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b w:val="1"/>
                <w:bCs w:val="1"/>
                <w:color w:val="auto"/>
                <w:w w:val="99"/>
              </w:rPr>
              <w:t>94-3078125</w:t>
            </w:r>
          </w:p>
        </w:tc>
      </w:tr>
      <w:tr>
        <w:trPr>
          <w:trHeight w:val="230"/>
        </w:trPr>
        <w:tc>
          <w:tcPr>
            <w:tcW w:w="6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(State or Other Jurisdiction</w:t>
            </w:r>
          </w:p>
        </w:tc>
        <w:tc>
          <w:tcPr>
            <w:tcW w:w="120" w:type="dxa"/>
            <w:vAlign w:val="bottom"/>
          </w:tcPr>
          <w:p>
            <w:pPr>
              <w:spacing w:after="0"/>
              <w:rPr>
                <w:sz w:val="20"/>
                <w:szCs w:val="20"/>
                <w:color w:val="auto"/>
              </w:rPr>
            </w:pPr>
          </w:p>
        </w:tc>
        <w:tc>
          <w:tcPr>
            <w:tcW w:w="3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(I.R.S. Employer</w:t>
            </w:r>
          </w:p>
        </w:tc>
      </w:tr>
      <w:tr>
        <w:trPr>
          <w:trHeight w:val="229"/>
        </w:trPr>
        <w:tc>
          <w:tcPr>
            <w:tcW w:w="60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of Incorporation or Organization)</w:t>
            </w:r>
          </w:p>
        </w:tc>
        <w:tc>
          <w:tcPr>
            <w:tcW w:w="1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Identification No.)</w:t>
            </w:r>
          </w:p>
        </w:tc>
      </w:tr>
    </w:tbl>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175 Derby St., Bld. 27</w:t>
      </w:r>
    </w:p>
    <w:p>
      <w:pPr>
        <w:jc w:val="center"/>
        <w:spacing w:after="0"/>
        <w:rPr>
          <w:sz w:val="20"/>
          <w:szCs w:val="20"/>
          <w:color w:val="auto"/>
        </w:rPr>
      </w:pPr>
      <w:r>
        <w:rPr>
          <w:rFonts w:ascii="Times New Roman" w:cs="Times New Roman" w:eastAsia="Times New Roman" w:hAnsi="Times New Roman"/>
          <w:sz w:val="20"/>
          <w:szCs w:val="20"/>
          <w:b w:val="1"/>
          <w:bCs w:val="1"/>
          <w:color w:val="auto"/>
        </w:rPr>
        <w:t>Hingham, MA 02043</w:t>
      </w:r>
    </w:p>
    <w:p>
      <w:pPr>
        <w:jc w:val="center"/>
        <w:spacing w:after="0"/>
        <w:rPr>
          <w:sz w:val="20"/>
          <w:szCs w:val="20"/>
          <w:color w:val="auto"/>
        </w:rPr>
      </w:pPr>
      <w:r>
        <w:rPr>
          <w:rFonts w:ascii="Times New Roman" w:cs="Times New Roman" w:eastAsia="Times New Roman" w:hAnsi="Times New Roman"/>
          <w:sz w:val="20"/>
          <w:szCs w:val="20"/>
          <w:i w:val="1"/>
          <w:iCs w:val="1"/>
          <w:color w:val="auto"/>
        </w:rPr>
        <w:t>(Address including zip code of registrant’s Principal Executive Offices)</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(781) 875-3605</w:t>
      </w: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under Section 12(b) of the Act:</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6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6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r>
      <w:tr>
        <w:trPr>
          <w:trHeight w:val="230"/>
        </w:trPr>
        <w:tc>
          <w:tcPr>
            <w:tcW w:w="3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Common Stock, Par value $0.01</w:t>
            </w:r>
          </w:p>
        </w:tc>
        <w:tc>
          <w:tcPr>
            <w:tcW w:w="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MBOT</w:t>
            </w:r>
          </w:p>
        </w:tc>
        <w:tc>
          <w:tcPr>
            <w:tcW w:w="6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NASDAQ Capital Market</w:t>
            </w:r>
          </w:p>
        </w:tc>
      </w:tr>
    </w:tbl>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under Section 12(g) of the Act: None</w:t>
      </w:r>
    </w:p>
    <w:p>
      <w:pPr>
        <w:spacing w:after="0" w:line="239"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Emoji" w:cs="Segoe UI Emoji" w:eastAsia="Segoe UI Emoji" w:hAnsi="Segoe UI Emoji"/>
          <w:sz w:val="20"/>
          <w:szCs w:val="20"/>
          <w:color w:val="auto"/>
        </w:rPr>
        <w:t>☐</w:t>
      </w:r>
      <w:r>
        <w:rPr>
          <w:rFonts w:ascii="Times New Roman" w:cs="Times New Roman" w:eastAsia="Times New Roman" w:hAnsi="Times New Roman"/>
          <w:sz w:val="20"/>
          <w:szCs w:val="20"/>
          <w:color w:val="auto"/>
        </w:rPr>
        <w:t xml:space="preserve"> No </w:t>
      </w:r>
      <w:r>
        <w:rPr>
          <w:rFonts w:ascii="Segoe UI Emoji" w:cs="Segoe UI Emoji" w:eastAsia="Segoe UI Emoji" w:hAnsi="Segoe UI Emoji"/>
          <w:sz w:val="20"/>
          <w:szCs w:val="20"/>
          <w:color w:val="auto"/>
        </w:rPr>
        <w:t>☒</w:t>
      </w:r>
    </w:p>
    <w:p>
      <w:pPr>
        <w:spacing w:after="0" w:line="249" w:lineRule="exact"/>
        <w:rPr>
          <w:sz w:val="24"/>
          <w:szCs w:val="24"/>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Segoe UI Emoji" w:cs="Segoe UI Emoji" w:eastAsia="Segoe UI Emoji" w:hAnsi="Segoe UI Emoji"/>
          <w:sz w:val="20"/>
          <w:szCs w:val="20"/>
          <w:color w:val="auto"/>
        </w:rPr>
        <w:t>☐</w:t>
      </w:r>
      <w:r>
        <w:rPr>
          <w:rFonts w:ascii="Times New Roman" w:cs="Times New Roman" w:eastAsia="Times New Roman" w:hAnsi="Times New Roman"/>
          <w:sz w:val="20"/>
          <w:szCs w:val="20"/>
          <w:color w:val="auto"/>
        </w:rPr>
        <w:t xml:space="preserve"> No </w:t>
      </w:r>
      <w:r>
        <w:rPr>
          <w:rFonts w:ascii="Segoe UI Emoji" w:cs="Segoe UI Emoji" w:eastAsia="Segoe UI Emoji" w:hAnsi="Segoe UI Emoji"/>
          <w:sz w:val="20"/>
          <w:szCs w:val="20"/>
          <w:color w:val="auto"/>
        </w:rPr>
        <w:t>☒</w:t>
      </w:r>
    </w:p>
    <w:p>
      <w:pPr>
        <w:spacing w:after="0" w:line="249"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Emoji" w:cs="Segoe UI Emoji" w:eastAsia="Segoe UI Emoji" w:hAnsi="Segoe UI Emoji"/>
          <w:sz w:val="19"/>
          <w:szCs w:val="19"/>
          <w:color w:val="auto"/>
        </w:rPr>
        <w:t>☒</w:t>
      </w:r>
      <w:r>
        <w:rPr>
          <w:rFonts w:ascii="Times New Roman" w:cs="Times New Roman" w:eastAsia="Times New Roman" w:hAnsi="Times New Roman"/>
          <w:sz w:val="19"/>
          <w:szCs w:val="19"/>
          <w:color w:val="auto"/>
        </w:rPr>
        <w:t xml:space="preserve"> No </w:t>
      </w:r>
      <w:r>
        <w:rPr>
          <w:rFonts w:ascii="Segoe UI Emoji" w:cs="Segoe UI Emoji" w:eastAsia="Segoe UI Emoji" w:hAnsi="Segoe UI Emoji"/>
          <w:sz w:val="19"/>
          <w:szCs w:val="19"/>
          <w:color w:val="auto"/>
        </w:rPr>
        <w:t>☐</w:t>
      </w:r>
    </w:p>
    <w:p>
      <w:pPr>
        <w:sectPr>
          <w:pgSz w:w="12240" w:h="15840" w:orient="portrait"/>
          <w:cols w:equalWidth="0" w:num="1">
            <w:col w:w="9360"/>
          </w:cols>
          <w:pgMar w:left="1440" w:top="1438" w:right="1440" w:bottom="15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1051072</w:t>
      </w:r>
    </w:p>
    <w:p>
      <w:pPr>
        <w:sectPr>
          <w:pgSz w:w="12240" w:h="15840" w:orient="portrait"/>
          <w:cols w:equalWidth="0" w:num="1">
            <w:col w:w="9360"/>
          </w:cols>
          <w:pgMar w:left="1440" w:top="1438" w:right="1440" w:bottom="155" w:gutter="0" w:footer="0" w:header="0"/>
          <w:type w:val="continuous"/>
        </w:sectPr>
      </w:pPr>
    </w:p>
    <w:bookmarkStart w:id="1" w:name="page2"/>
    <w:bookmarkEnd w:id="1"/>
    <w:p>
      <w:pPr>
        <w:spacing w:after="0" w:line="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Indicate by check mark whether the registrant has submitted electronically every Interactive Data File required to be submitted pursuant to Rule 405 of Regulation S-T (§232.405 of this chapter) during the preceding 12 months (or for</w:t>
      </w:r>
    </w:p>
    <w:p>
      <w:pPr>
        <w:spacing w:after="0" w:line="234" w:lineRule="auto"/>
        <w:rPr>
          <w:sz w:val="20"/>
          <w:szCs w:val="20"/>
          <w:color w:val="auto"/>
        </w:rPr>
      </w:pPr>
      <w:r>
        <w:rPr>
          <w:rFonts w:ascii="Times New Roman" w:cs="Times New Roman" w:eastAsia="Times New Roman" w:hAnsi="Times New Roman"/>
          <w:sz w:val="20"/>
          <w:szCs w:val="20"/>
          <w:color w:val="auto"/>
        </w:rPr>
        <w:t xml:space="preserve">such shorter period that the registrant was required to submit such files). Yes </w:t>
      </w:r>
      <w:r>
        <w:rPr>
          <w:rFonts w:ascii="Segoe UI Emoji" w:cs="Segoe UI Emoji" w:eastAsia="Segoe UI Emoji" w:hAnsi="Segoe UI Emoji"/>
          <w:sz w:val="20"/>
          <w:szCs w:val="20"/>
          <w:color w:val="auto"/>
        </w:rPr>
        <w:t>☒</w:t>
      </w:r>
      <w:r>
        <w:rPr>
          <w:rFonts w:ascii="Times New Roman" w:cs="Times New Roman" w:eastAsia="Times New Roman" w:hAnsi="Times New Roman"/>
          <w:sz w:val="20"/>
          <w:szCs w:val="20"/>
          <w:color w:val="auto"/>
        </w:rPr>
        <w:t xml:space="preserve"> No </w:t>
      </w:r>
      <w:r>
        <w:rPr>
          <w:rFonts w:ascii="Segoe UI Emoji" w:cs="Segoe UI Emoji" w:eastAsia="Segoe UI Emoji" w:hAnsi="Segoe UI Emoji"/>
          <w:sz w:val="20"/>
          <w:szCs w:val="20"/>
          <w:color w:val="auto"/>
        </w:rPr>
        <w:t>☐</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6" w:lineRule="exact"/>
        <w:rPr>
          <w:sz w:val="20"/>
          <w:szCs w:val="20"/>
          <w:color w:val="auto"/>
        </w:rPr>
      </w:pPr>
    </w:p>
    <w:p>
      <w:pPr>
        <w:spacing w:after="0"/>
        <w:tabs>
          <w:tab w:leader="none" w:pos="4160" w:val="left"/>
        </w:tabs>
        <w:rPr>
          <w:sz w:val="20"/>
          <w:szCs w:val="20"/>
          <w:color w:val="auto"/>
        </w:rPr>
      </w:pPr>
      <w:r>
        <w:rPr>
          <w:rFonts w:ascii="Times New Roman" w:cs="Times New Roman" w:eastAsia="Times New Roman" w:hAnsi="Times New Roman"/>
          <w:sz w:val="20"/>
          <w:szCs w:val="20"/>
          <w:color w:val="auto"/>
        </w:rPr>
        <w:t xml:space="preserve">Large accelerated filer </w:t>
      </w:r>
      <w:r>
        <w:rPr>
          <w:rFonts w:ascii="Segoe UI Emoji" w:cs="Segoe UI Emoji" w:eastAsia="Segoe UI Emoji" w:hAnsi="Segoe UI Emoji"/>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Accelerated filer </w:t>
      </w:r>
      <w:r>
        <w:rPr>
          <w:rFonts w:ascii="Segoe UI Emoji" w:cs="Segoe UI Emoji" w:eastAsia="Segoe UI Emoji" w:hAnsi="Segoe UI Emoji"/>
          <w:sz w:val="19"/>
          <w:szCs w:val="19"/>
          <w:color w:val="auto"/>
        </w:rPr>
        <w:t>☐</w:t>
      </w:r>
    </w:p>
    <w:p>
      <w:pPr>
        <w:spacing w:after="0"/>
        <w:tabs>
          <w:tab w:leader="none" w:pos="4160" w:val="left"/>
        </w:tabs>
        <w:rPr>
          <w:sz w:val="20"/>
          <w:szCs w:val="20"/>
          <w:color w:val="auto"/>
        </w:rPr>
      </w:pPr>
      <w:r>
        <w:rPr>
          <w:rFonts w:ascii="Times New Roman" w:cs="Times New Roman" w:eastAsia="Times New Roman" w:hAnsi="Times New Roman"/>
          <w:sz w:val="20"/>
          <w:szCs w:val="20"/>
          <w:color w:val="auto"/>
        </w:rPr>
        <w:t xml:space="preserve">Non-accelerated filer </w:t>
      </w:r>
      <w:r>
        <w:rPr>
          <w:rFonts w:ascii="Segoe UI Emoji" w:cs="Segoe UI Emoji" w:eastAsia="Segoe UI Emoji" w:hAnsi="Segoe UI Emoji"/>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Smaller reporting company </w:t>
      </w:r>
      <w:r>
        <w:rPr>
          <w:rFonts w:ascii="Segoe UI Emoji" w:cs="Segoe UI Emoji" w:eastAsia="Segoe UI Emoji" w:hAnsi="Segoe UI Emoji"/>
          <w:sz w:val="20"/>
          <w:szCs w:val="20"/>
          <w:color w:val="auto"/>
        </w:rPr>
        <w:t>☒</w:t>
      </w:r>
    </w:p>
    <w:p>
      <w:pPr>
        <w:ind w:left="4180"/>
        <w:spacing w:after="0"/>
        <w:rPr>
          <w:sz w:val="20"/>
          <w:szCs w:val="20"/>
          <w:color w:val="auto"/>
        </w:rPr>
      </w:pPr>
      <w:r>
        <w:rPr>
          <w:rFonts w:ascii="Times New Roman" w:cs="Times New Roman" w:eastAsia="Times New Roman" w:hAnsi="Times New Roman"/>
          <w:sz w:val="20"/>
          <w:szCs w:val="20"/>
          <w:color w:val="auto"/>
        </w:rPr>
        <w:t xml:space="preserve">Emerging Growth Company </w:t>
      </w:r>
      <w:r>
        <w:rPr>
          <w:rFonts w:ascii="Segoe UI Emoji" w:cs="Segoe UI Emoji" w:eastAsia="Segoe UI Emoji" w:hAnsi="Segoe UI Emoji"/>
          <w:sz w:val="20"/>
          <w:szCs w:val="20"/>
          <w:color w:val="auto"/>
        </w:rPr>
        <w:t>☐</w:t>
      </w:r>
    </w:p>
    <w:p>
      <w:pPr>
        <w:spacing w:after="0" w:line="24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Emoji" w:cs="Segoe UI Emoji" w:eastAsia="Segoe UI Emoji" w:hAnsi="Segoe UI Emoji"/>
          <w:sz w:val="20"/>
          <w:szCs w:val="20"/>
          <w:color w:val="auto"/>
        </w:rPr>
        <w:t>☐</w:t>
      </w:r>
    </w:p>
    <w:p>
      <w:pPr>
        <w:spacing w:after="0" w:line="24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Emoji" w:cs="Segoe UI Emoji" w:eastAsia="Segoe UI Emoji" w:hAnsi="Segoe UI Emoji"/>
          <w:sz w:val="20"/>
          <w:szCs w:val="20"/>
          <w:color w:val="auto"/>
        </w:rPr>
        <w:t>☐</w:t>
      </w:r>
    </w:p>
    <w:p>
      <w:pPr>
        <w:spacing w:after="0" w:line="24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Emoji" w:cs="Segoe UI Emoji" w:eastAsia="Segoe UI Emoji" w:hAnsi="Segoe UI Emoji"/>
          <w:sz w:val="20"/>
          <w:szCs w:val="20"/>
          <w:color w:val="auto"/>
        </w:rPr>
        <w:t>☐</w:t>
      </w:r>
    </w:p>
    <w:p>
      <w:pPr>
        <w:spacing w:after="0" w:line="24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Emoji" w:cs="Segoe UI Emoji" w:eastAsia="Segoe UI Emoji" w:hAnsi="Segoe UI Emoji"/>
          <w:sz w:val="20"/>
          <w:szCs w:val="20"/>
          <w:color w:val="auto"/>
        </w:rPr>
        <w: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Indicate by check mark whether the registrant is a shell company (as defined in Rule 12b-2 of the Exchange Act). Yes</w:t>
      </w:r>
    </w:p>
    <w:p>
      <w:pPr>
        <w:ind w:left="220" w:hanging="220"/>
        <w:spacing w:after="0" w:line="234" w:lineRule="auto"/>
        <w:tabs>
          <w:tab w:leader="none" w:pos="220" w:val="left"/>
        </w:tabs>
        <w:numPr>
          <w:ilvl w:val="0"/>
          <w:numId w:val="3"/>
        </w:numPr>
        <w:rPr>
          <w:rFonts w:ascii="Segoe UI Emoji" w:cs="Segoe UI Emoji" w:eastAsia="Segoe UI Emoji" w:hAnsi="Segoe UI Emoji"/>
          <w:sz w:val="20"/>
          <w:szCs w:val="20"/>
          <w:color w:val="auto"/>
        </w:rPr>
      </w:pPr>
      <w:r>
        <w:rPr>
          <w:rFonts w:ascii="Times New Roman" w:cs="Times New Roman" w:eastAsia="Times New Roman" w:hAnsi="Times New Roman"/>
          <w:sz w:val="20"/>
          <w:szCs w:val="20"/>
          <w:color w:val="auto"/>
        </w:rPr>
        <w:t xml:space="preserve">No </w:t>
      </w:r>
      <w:r>
        <w:rPr>
          <w:rFonts w:ascii="Segoe UI Emoji" w:cs="Segoe UI Emoji" w:eastAsia="Segoe UI Emoji" w:hAnsi="Segoe UI Emoji"/>
          <w:sz w:val="20"/>
          <w:szCs w:val="20"/>
          <w:color w:val="auto"/>
        </w:rPr>
        <w:t>☒</w:t>
      </w:r>
    </w:p>
    <w:p>
      <w:pPr>
        <w:spacing w:after="0" w:line="2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$15,900,000.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outstanding as of March 24, 2025: 34,744,476 shares</w:t>
      </w:r>
    </w:p>
    <w:p>
      <w:pPr>
        <w:sectPr>
          <w:pgSz w:w="12240" w:h="15840" w:orient="portrait"/>
          <w:cols w:equalWidth="0" w:num="1">
            <w:col w:w="9360"/>
          </w:cols>
          <w:pgMar w:left="1440" w:top="1440"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1051072</w:t>
      </w:r>
    </w:p>
    <w:p>
      <w:pPr>
        <w:sectPr>
          <w:pgSz w:w="12240" w:h="15840" w:orient="portrait"/>
          <w:cols w:equalWidth="0" w:num="1">
            <w:col w:w="9360"/>
          </w:cols>
          <w:pgMar w:left="1440" w:top="1440" w:right="1440" w:bottom="155" w:gutter="0" w:footer="0" w:header="0"/>
          <w:type w:val="continuous"/>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INFORMATION CONCERNING FORWARD-LOOKING STATEMENTS</w:t>
      </w:r>
    </w:p>
    <w:p>
      <w:pPr>
        <w:spacing w:after="0" w:line="239" w:lineRule="exact"/>
        <w:rPr>
          <w:sz w:val="20"/>
          <w:szCs w:val="20"/>
          <w:color w:val="auto"/>
        </w:rPr>
      </w:pPr>
    </w:p>
    <w:p>
      <w:pPr>
        <w:jc w:val="both"/>
        <w:ind w:left="180" w:right="80"/>
        <w:spacing w:after="0" w:line="238" w:lineRule="auto"/>
        <w:rPr>
          <w:sz w:val="20"/>
          <w:szCs w:val="20"/>
          <w:color w:val="auto"/>
        </w:rPr>
      </w:pPr>
      <w:r>
        <w:rPr>
          <w:rFonts w:ascii="Times New Roman" w:cs="Times New Roman" w:eastAsia="Times New Roman" w:hAnsi="Times New Roman"/>
          <w:sz w:val="20"/>
          <w:szCs w:val="20"/>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12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9740" w:type="dxa"/>
            <w:vAlign w:val="bottom"/>
          </w:tcPr>
          <w:p>
            <w:pPr>
              <w:ind w:left="39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440" w:type="dxa"/>
            <w:vAlign w:val="bottom"/>
          </w:tcPr>
          <w:p>
            <w:pPr>
              <w:spacing w:after="0"/>
              <w:rPr>
                <w:sz w:val="19"/>
                <w:szCs w:val="19"/>
                <w:color w:val="auto"/>
              </w:rPr>
            </w:pPr>
          </w:p>
        </w:tc>
      </w:tr>
      <w:tr>
        <w:trPr>
          <w:trHeight w:val="460"/>
        </w:trPr>
        <w:tc>
          <w:tcPr>
            <w:tcW w:w="880" w:type="dxa"/>
            <w:vAlign w:val="bottom"/>
          </w:tcPr>
          <w:p>
            <w:pPr>
              <w:spacing w:after="0"/>
              <w:rPr>
                <w:sz w:val="24"/>
                <w:szCs w:val="24"/>
                <w:color w:val="auto"/>
              </w:rPr>
            </w:pPr>
          </w:p>
        </w:tc>
        <w:tc>
          <w:tcPr>
            <w:tcW w:w="9740" w:type="dxa"/>
            <w:vAlign w:val="bottom"/>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30"/>
        </w:trPr>
        <w:tc>
          <w:tcPr>
            <w:tcW w:w="880" w:type="dxa"/>
            <w:vAlign w:val="bottom"/>
          </w:tcPr>
          <w:p>
            <w:pPr>
              <w:spacing w:after="0"/>
              <w:rPr>
                <w:sz w:val="20"/>
                <w:szCs w:val="20"/>
                <w:color w:val="auto"/>
              </w:rPr>
            </w:pPr>
          </w:p>
        </w:tc>
        <w:tc>
          <w:tcPr>
            <w:tcW w:w="97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8"/>
              </w:rPr>
              <w:t>PART I</w:t>
            </w:r>
          </w:p>
        </w:tc>
        <w:tc>
          <w:tcPr>
            <w:tcW w:w="440" w:type="dxa"/>
            <w:vAlign w:val="bottom"/>
          </w:tcPr>
          <w:p>
            <w:pPr>
              <w:spacing w:after="0"/>
              <w:rPr>
                <w:sz w:val="20"/>
                <w:szCs w:val="20"/>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Business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Risk Factors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28</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Cybersecurity</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28</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Description of Property</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28</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Legal Proceedings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Mine Safety Disclosures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r>
      <w:tr>
        <w:trPr>
          <w:trHeight w:val="461"/>
        </w:trPr>
        <w:tc>
          <w:tcPr>
            <w:tcW w:w="880" w:type="dxa"/>
            <w:vAlign w:val="bottom"/>
          </w:tcPr>
          <w:p>
            <w:pPr>
              <w:spacing w:after="0"/>
              <w:rPr>
                <w:sz w:val="24"/>
                <w:szCs w:val="24"/>
                <w:color w:val="auto"/>
              </w:rPr>
            </w:pPr>
          </w:p>
        </w:tc>
        <w:tc>
          <w:tcPr>
            <w:tcW w:w="97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PART II</w:t>
            </w:r>
          </w:p>
        </w:tc>
        <w:tc>
          <w:tcPr>
            <w:tcW w:w="440" w:type="dxa"/>
            <w:vAlign w:val="bottom"/>
          </w:tcPr>
          <w:p>
            <w:pPr>
              <w:spacing w:after="0"/>
              <w:rPr>
                <w:sz w:val="24"/>
                <w:szCs w:val="24"/>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Controls and Procedures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Information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r>
      <w:tr>
        <w:trPr>
          <w:trHeight w:val="461"/>
        </w:trPr>
        <w:tc>
          <w:tcPr>
            <w:tcW w:w="880" w:type="dxa"/>
            <w:vAlign w:val="bottom"/>
          </w:tcPr>
          <w:p>
            <w:pPr>
              <w:spacing w:after="0"/>
              <w:rPr>
                <w:sz w:val="24"/>
                <w:szCs w:val="24"/>
                <w:color w:val="auto"/>
              </w:rPr>
            </w:pPr>
          </w:p>
        </w:tc>
        <w:tc>
          <w:tcPr>
            <w:tcW w:w="9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PART III</w:t>
            </w:r>
          </w:p>
        </w:tc>
        <w:tc>
          <w:tcPr>
            <w:tcW w:w="440" w:type="dxa"/>
            <w:vAlign w:val="bottom"/>
          </w:tcPr>
          <w:p>
            <w:pPr>
              <w:spacing w:after="0"/>
              <w:rPr>
                <w:sz w:val="24"/>
                <w:szCs w:val="24"/>
                <w:color w:val="auto"/>
              </w:rPr>
            </w:pP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35</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Executive Compensation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r>
      <w:tr>
        <w:trPr>
          <w:trHeight w:val="460"/>
        </w:trPr>
        <w:tc>
          <w:tcPr>
            <w:tcW w:w="880" w:type="dxa"/>
            <w:vAlign w:val="bottom"/>
          </w:tcPr>
          <w:p>
            <w:pPr>
              <w:spacing w:after="0"/>
              <w:rPr>
                <w:sz w:val="24"/>
                <w:szCs w:val="24"/>
                <w:color w:val="auto"/>
              </w:rPr>
            </w:pPr>
          </w:p>
        </w:tc>
        <w:tc>
          <w:tcPr>
            <w:tcW w:w="974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rPr>
              <w:t>PART IV</w:t>
            </w:r>
          </w:p>
        </w:tc>
        <w:tc>
          <w:tcPr>
            <w:tcW w:w="44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97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10-K Summary</w:t>
            </w:r>
          </w:p>
        </w:tc>
        <w:tc>
          <w:tcPr>
            <w:tcW w:w="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r>
    </w:tbl>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 REGARDING REFERENCES TO OUR COMPANY</w:t>
      </w:r>
    </w:p>
    <w:p>
      <w:pPr>
        <w:spacing w:after="0" w:line="239" w:lineRule="exact"/>
        <w:rPr>
          <w:sz w:val="20"/>
          <w:szCs w:val="20"/>
          <w:color w:val="auto"/>
        </w:rPr>
      </w:pPr>
    </w:p>
    <w:p>
      <w:pPr>
        <w:jc w:val="both"/>
        <w:ind w:left="180" w:right="80"/>
        <w:spacing w:after="0" w:line="238" w:lineRule="auto"/>
        <w:rPr>
          <w:sz w:val="20"/>
          <w:szCs w:val="20"/>
          <w:color w:val="auto"/>
        </w:rPr>
      </w:pPr>
      <w:r>
        <w:rPr>
          <w:rFonts w:ascii="Times New Roman" w:cs="Times New Roman" w:eastAsia="Times New Roman" w:hAnsi="Times New Roman"/>
          <w:sz w:val="20"/>
          <w:szCs w:val="20"/>
          <w:color w:val="auto"/>
        </w:rPr>
        <w:t>Throughout this Form 10-K, the words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 owned subsidiary of the Company on November 28, 2016. The capitalized term “Merger” refers to the November 28, 2016 merger of C&amp;RD Israel Ltd, a then wholly owned subsidiary of the Company, with and into Microbot Israel, with Microbot Israel surviving as a wholly owned subsidiary of the Company.</w:t>
      </w:r>
    </w:p>
    <w:p>
      <w:pPr>
        <w:sectPr>
          <w:pgSz w:w="12240" w:h="15840" w:orient="portrait"/>
          <w:cols w:equalWidth="0" w:num="1">
            <w:col w:w="11060"/>
          </w:cols>
          <w:pgMar w:left="540" w:top="719" w:right="64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1060"/>
          </w:cols>
          <w:pgMar w:left="540" w:top="719" w:right="640" w:bottom="215"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3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operations, and financial results. A more thorough discussion of these and other risks are listed under the section entitled “Risk Factors” commencing on page 12.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Financial Position and Need for Additional Capital</w:t>
      </w:r>
    </w:p>
    <w:p>
      <w:pPr>
        <w:spacing w:after="0" w:line="145" w:lineRule="exact"/>
        <w:rPr>
          <w:sz w:val="20"/>
          <w:szCs w:val="20"/>
          <w:color w:val="auto"/>
        </w:rPr>
      </w:pPr>
    </w:p>
    <w:p>
      <w:pPr>
        <w:jc w:val="both"/>
        <w:ind w:left="720" w:hanging="360"/>
        <w:spacing w:after="0" w:line="236"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4"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Microbot has a limited operating history outside of being a research and development-stage company, which may make it difficult to evaluate the prospects for the Company’s future viability.</w:t>
      </w:r>
    </w:p>
    <w:p>
      <w:pPr>
        <w:spacing w:after="0" w:line="145"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Microbot will need additional funding. If Microbot is unable to raise capital when needed, it could be forced to delay, reduce or eliminate its product development programs or commercialization efforts.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Development and Commercialization of Microbot’s Product Candidates</w:t>
      </w:r>
    </w:p>
    <w:p>
      <w:pPr>
        <w:spacing w:after="0" w:line="145" w:lineRule="exact"/>
        <w:rPr>
          <w:sz w:val="20"/>
          <w:szCs w:val="20"/>
          <w:color w:val="auto"/>
        </w:rPr>
      </w:pPr>
    </w:p>
    <w:p>
      <w:pPr>
        <w:ind w:left="720" w:hanging="360"/>
        <w:spacing w:after="0" w:line="23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Unsuccessful studies, trials or procedures relating to product candidates under development or that we may develop, or applications for such candidates, could have a material adverse effect on our prospects.</w:t>
      </w:r>
    </w:p>
    <w:p>
      <w:pPr>
        <w:spacing w:after="0" w:line="123" w:lineRule="exact"/>
        <w:rPr>
          <w:rFonts w:ascii="Arial" w:cs="Arial" w:eastAsia="Arial" w:hAnsi="Arial"/>
          <w:sz w:val="20"/>
          <w:szCs w:val="20"/>
          <w:color w:val="auto"/>
        </w:rPr>
      </w:pPr>
    </w:p>
    <w:p>
      <w:pPr>
        <w:jc w:val="both"/>
        <w:ind w:left="720" w:hanging="360"/>
        <w:spacing w:after="0" w:line="20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Microbot’s business depends heavily on the success of its sole lead product candidate,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If Microbot is unable to commercialize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experiences significant delays in doing so, Microbot’s business will be materially harmed.</w:t>
      </w:r>
    </w:p>
    <w:p>
      <w:pPr>
        <w:spacing w:after="0" w:line="144"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Microbot’s research and development efforts are uncertain and there can be no assurance of the commercial success of Microbot’s product candidates.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Microbot may not meet its development and commercialization objectives in a timely manner or at all.</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Microbot’s ability to expand its technology platforms for other uses may be limited.</w:t>
      </w:r>
    </w:p>
    <w:p>
      <w:pPr>
        <w:spacing w:after="0" w:line="143" w:lineRule="exact"/>
        <w:rPr>
          <w:rFonts w:ascii="Arial" w:cs="Arial" w:eastAsia="Arial" w:hAnsi="Arial"/>
          <w:sz w:val="20"/>
          <w:szCs w:val="20"/>
          <w:color w:val="auto"/>
        </w:rPr>
      </w:pPr>
    </w:p>
    <w:p>
      <w:pPr>
        <w:jc w:val="both"/>
        <w:ind w:left="720" w:hanging="360"/>
        <w:spacing w:after="0" w:line="21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At this time, Microbot does not know whether the data submitted with its 510(k) application will satisfy all FDA requirements to support clearance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which creates uncertainty for Microbot as well as the possibility of increased product development costs and time to market.</w:t>
      </w:r>
    </w:p>
    <w:p>
      <w:pPr>
        <w:spacing w:after="0" w:line="146" w:lineRule="exact"/>
        <w:rPr>
          <w:rFonts w:ascii="Arial" w:cs="Arial" w:eastAsia="Arial" w:hAnsi="Arial"/>
          <w:sz w:val="20"/>
          <w:szCs w:val="20"/>
          <w:color w:val="auto"/>
        </w:rPr>
      </w:pPr>
    </w:p>
    <w:p>
      <w:pPr>
        <w:jc w:val="both"/>
        <w:ind w:left="720" w:hanging="360"/>
        <w:spacing w:after="0" w:line="23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45" w:lineRule="exact"/>
        <w:rPr>
          <w:rFonts w:ascii="Arial" w:cs="Arial" w:eastAsia="Arial" w:hAnsi="Arial"/>
          <w:sz w:val="20"/>
          <w:szCs w:val="20"/>
          <w:color w:val="auto"/>
        </w:rPr>
      </w:pPr>
    </w:p>
    <w:p>
      <w:pPr>
        <w:jc w:val="both"/>
        <w:ind w:left="720" w:hanging="360"/>
        <w:spacing w:after="0" w:line="23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24" w:lineRule="exact"/>
        <w:rPr>
          <w:rFonts w:ascii="Arial" w:cs="Arial" w:eastAsia="Arial" w:hAnsi="Arial"/>
          <w:sz w:val="20"/>
          <w:szCs w:val="20"/>
          <w:color w:val="auto"/>
        </w:rPr>
      </w:pPr>
    </w:p>
    <w:p>
      <w:pPr>
        <w:jc w:val="both"/>
        <w:ind w:left="720" w:hanging="360"/>
        <w:spacing w:after="0" w:line="211" w:lineRule="auto"/>
        <w:tabs>
          <w:tab w:leader="none" w:pos="7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color w:val="auto"/>
        </w:rPr>
        <w:t>If the commercial opportunity for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and such other products will be adversely affected and Microbot’s business will suffer.</w:t>
      </w:r>
    </w:p>
    <w:p>
      <w:pPr>
        <w:spacing w:after="0" w:line="126" w:lineRule="exact"/>
        <w:rPr>
          <w:rFonts w:ascii="Arial" w:cs="Arial" w:eastAsia="Arial" w:hAnsi="Arial"/>
          <w:sz w:val="19"/>
          <w:szCs w:val="19"/>
          <w:color w:val="auto"/>
        </w:rPr>
      </w:pPr>
    </w:p>
    <w:p>
      <w:pPr>
        <w:ind w:left="720" w:hanging="360"/>
        <w:spacing w:after="0" w:line="210"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Customers will be unlikely to buy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unless Microbot can demonstrate that they can be produced for sale to consumers at attractive prices.</w:t>
      </w:r>
    </w:p>
    <w:p>
      <w:pPr>
        <w:spacing w:after="0" w:line="134"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Microbot has relied on, and intends to continue to rely on, third-party manufacturers to produce its product candidates.</w:t>
      </w:r>
    </w:p>
    <w:p>
      <w:pPr>
        <w:spacing w:after="0" w:line="143"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Microbot’s product candidates are not considered to be a safe and effective alternative to existing technologies, Microbot will not be commercially successful.</w:t>
      </w:r>
    </w:p>
    <w:p>
      <w:pPr>
        <w:spacing w:after="0" w:line="145"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Microbot may be subject to penalties and may be precluded from marketing its product candidates if Microbot fails to comply with extensive governmental regulations.</w:t>
      </w:r>
    </w:p>
    <w:p>
      <w:pPr>
        <w:spacing w:after="0" w:line="144" w:lineRule="exact"/>
        <w:rPr>
          <w:rFonts w:ascii="Arial" w:cs="Arial" w:eastAsia="Arial" w:hAnsi="Arial"/>
          <w:sz w:val="20"/>
          <w:szCs w:val="20"/>
          <w:color w:val="auto"/>
        </w:rPr>
      </w:pPr>
    </w:p>
    <w:p>
      <w:pPr>
        <w:jc w:val="both"/>
        <w:ind w:left="720" w:hanging="360"/>
        <w:spacing w:after="0" w:line="236"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69"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Clinical outcome studies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may not provide sufficient data to make</w:t>
      </w:r>
    </w:p>
    <w:p>
      <w:pPr>
        <w:ind w:left="720"/>
        <w:spacing w:after="0" w:line="230" w:lineRule="auto"/>
        <w:rPr>
          <w:rFonts w:ascii="Arial" w:cs="Arial" w:eastAsia="Arial" w:hAnsi="Arial"/>
          <w:sz w:val="20"/>
          <w:szCs w:val="20"/>
          <w:color w:val="auto"/>
        </w:rPr>
      </w:pPr>
      <w:r>
        <w:rPr>
          <w:rFonts w:ascii="Times New Roman" w:cs="Times New Roman" w:eastAsia="Times New Roman" w:hAnsi="Times New Roman"/>
          <w:sz w:val="20"/>
          <w:szCs w:val="20"/>
          <w:color w:val="auto"/>
        </w:rPr>
        <w:t>Microbot’s product candidates attractive. Microbot products may in the future be subject to mandatory product recalls that could harm its reputation, business and financial results.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800"/>
          </w:cols>
          <w:pgMar w:left="720" w:top="719" w:right="720" w:bottom="155" w:gutter="0" w:footer="0" w:header="0"/>
        </w:sectPr>
      </w:pPr>
    </w:p>
    <w:bookmarkStart w:id="4" w:name="page5"/>
    <w:bookmarkEnd w:id="4"/>
    <w:p>
      <w:pPr>
        <w:ind w:left="720" w:hanging="360"/>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Microbot’s future commercialized products cause or contribute to a death or a serious injury, Microbot will be subject to</w:t>
      </w:r>
    </w:p>
    <w:p>
      <w:pPr>
        <w:ind w:left="72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Medical Device Reporting regulations, which can result in voluntary corrective actions or agency enforcement actions.</w:t>
      </w:r>
    </w:p>
    <w:p>
      <w:pPr>
        <w:spacing w:after="0" w:line="143"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Microbot could be exposed to significant liability claims if Microbot is unable to obtain insurance at acceptable costs and adequate levels or otherwise protect itself against potential product liability claims.</w:t>
      </w:r>
    </w:p>
    <w:p>
      <w:pPr>
        <w:spacing w:after="0" w:line="144"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Microbot fails to retain certain of its key personnel and attract and retain additional qualified personnel, Microbot might not be able to pursue its growth strategy effectively.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International Business</w:t>
      </w:r>
    </w:p>
    <w:p>
      <w:pPr>
        <w:spacing w:after="0" w:line="144" w:lineRule="exact"/>
        <w:rPr>
          <w:sz w:val="20"/>
          <w:szCs w:val="20"/>
          <w:color w:val="auto"/>
        </w:rPr>
      </w:pPr>
    </w:p>
    <w:p>
      <w:pPr>
        <w:ind w:left="720" w:hanging="360"/>
        <w:spacing w:after="0" w:line="234"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If Microbot fails to obtain regulatory clearances in other countries for its product candidates under development, Microbot will not be able to commercialize these product candidates in those countries.</w:t>
      </w:r>
    </w:p>
    <w:p>
      <w:pPr>
        <w:spacing w:after="0" w:line="135" w:lineRule="exact"/>
        <w:rPr>
          <w:rFonts w:ascii="Arial" w:cs="Arial" w:eastAsia="Arial" w:hAnsi="Arial"/>
          <w:sz w:val="20"/>
          <w:szCs w:val="20"/>
          <w:color w:val="auto"/>
        </w:rPr>
      </w:pPr>
    </w:p>
    <w:p>
      <w:pPr>
        <w:ind w:left="720" w:hanging="360"/>
        <w:spacing w:after="0"/>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Microbot operations in international markets involve inherent risks that Microbot may not be able to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Intellectual Property</w:t>
      </w:r>
    </w:p>
    <w:p>
      <w:pPr>
        <w:spacing w:after="0" w:line="145" w:lineRule="exact"/>
        <w:rPr>
          <w:sz w:val="20"/>
          <w:szCs w:val="20"/>
          <w:color w:val="auto"/>
        </w:rPr>
      </w:pPr>
    </w:p>
    <w:p>
      <w:pPr>
        <w:ind w:left="720" w:hanging="360"/>
        <w:spacing w:after="0" w:line="234"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Intellectual property litigation and infringement claims could cause Microbot to incur significant expenses or prevent Microbot from selling certain of its product candidates.</w:t>
      </w:r>
    </w:p>
    <w:p>
      <w:pPr>
        <w:spacing w:after="0" w:line="144" w:lineRule="exact"/>
        <w:rPr>
          <w:rFonts w:ascii="Arial" w:cs="Arial" w:eastAsia="Arial" w:hAnsi="Arial"/>
          <w:sz w:val="20"/>
          <w:szCs w:val="20"/>
          <w:color w:val="auto"/>
        </w:rPr>
      </w:pPr>
    </w:p>
    <w:p>
      <w:pPr>
        <w:jc w:val="both"/>
        <w:ind w:left="720" w:hanging="360"/>
        <w:spacing w:after="0" w:line="236"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45"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Operations in Israel</w:t>
      </w:r>
    </w:p>
    <w:p>
      <w:pPr>
        <w:spacing w:after="0" w:line="145" w:lineRule="exact"/>
        <w:rPr>
          <w:sz w:val="20"/>
          <w:szCs w:val="20"/>
          <w:color w:val="auto"/>
        </w:rPr>
      </w:pPr>
    </w:p>
    <w:p>
      <w:pPr>
        <w:ind w:left="720" w:hanging="360"/>
        <w:spacing w:after="0" w:line="234"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44"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Microbot has facilities located in Israel, and therefore, political conditions in Israel may affect Microbot’s operations and results.</w:t>
      </w:r>
    </w:p>
    <w:p>
      <w:pPr>
        <w:spacing w:after="0" w:line="135"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relations could limit Microbot’s ability to sell or buy internationally.</w:t>
      </w:r>
    </w:p>
    <w:p>
      <w:pPr>
        <w:spacing w:after="0" w:line="132"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Israel’s economy may become unstable.</w:t>
      </w:r>
    </w:p>
    <w:p>
      <w:pPr>
        <w:spacing w:after="0" w:line="134"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Exchange rate fluctuations between the U.S. dollar and the NIS currencies may negatively affect Microbot’s operating costs.</w:t>
      </w:r>
    </w:p>
    <w:p>
      <w:pPr>
        <w:spacing w:after="0" w:line="143"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Funding and other benefits provided by Israeli government programs may be terminated or reduced in the future and the terms of such funding may have a significant impact on future corporate decisions.</w:t>
      </w:r>
    </w:p>
    <w:p>
      <w:pPr>
        <w:spacing w:after="0" w:line="135" w:lineRule="exact"/>
        <w:rPr>
          <w:rFonts w:ascii="Arial" w:cs="Arial" w:eastAsia="Arial" w:hAnsi="Arial"/>
          <w:sz w:val="20"/>
          <w:szCs w:val="20"/>
          <w:color w:val="auto"/>
        </w:rPr>
      </w:pPr>
    </w:p>
    <w:p>
      <w:pPr>
        <w:ind w:left="720" w:hanging="360"/>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Some of Microbot’s employees are obligated to perform military reserve duty in Israel.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34" w:lineRule="exact"/>
        <w:rPr>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social and geopolitical conditions can adversely affect our business.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Political uncertainty may have an adverse impact on our operating performance and results of operations.</w:t>
      </w:r>
    </w:p>
    <w:p>
      <w:pPr>
        <w:spacing w:after="0" w:line="143"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shares upon exercise of outstanding warrants and options could cause immediate and substantial dilution to existing stockholders.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Information technology failures and data security breaches could harm our business.</w:t>
      </w:r>
    </w:p>
    <w:p>
      <w:pPr>
        <w:sectPr>
          <w:pgSz w:w="12240" w:h="15840" w:orient="portrait"/>
          <w:cols w:equalWidth="0" w:num="1">
            <w:col w:w="10800"/>
          </w:cols>
          <w:pgMar w:left="720" w:top="732" w:right="72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800"/>
          </w:cols>
          <w:pgMar w:left="720" w:top="732" w:right="720" w:bottom="157"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u w:val="single" w:color="auto"/>
          <w:color w:val="auto"/>
        </w:rPr>
        <w:t>Description of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Microbot is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Using our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technological platform, we are developing the first ever fully disposable robot for various endovascular</w:t>
      </w:r>
    </w:p>
    <w:p>
      <w:pPr>
        <w:jc w:val="both"/>
        <w:spacing w:after="0" w:line="225" w:lineRule="auto"/>
        <w:rPr>
          <w:sz w:val="20"/>
          <w:szCs w:val="20"/>
          <w:color w:val="auto"/>
        </w:rPr>
      </w:pPr>
      <w:r>
        <w:rPr>
          <w:rFonts w:ascii="Times New Roman" w:cs="Times New Roman" w:eastAsia="Times New Roman" w:hAnsi="Times New Roman"/>
          <w:sz w:val="20"/>
          <w:szCs w:val="20"/>
          <w:color w:val="auto"/>
        </w:rPr>
        <w:t>interventional procedures.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Technological Platforms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LIBERTY</w:t>
      </w:r>
      <w:r>
        <w:rPr>
          <w:rFonts w:ascii="Times New Roman" w:cs="Times New Roman" w:eastAsia="Times New Roman" w:hAnsi="Times New Roman"/>
          <w:sz w:val="31"/>
          <w:szCs w:val="31"/>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w:t>
      </w:r>
    </w:p>
    <w:p>
      <w:pPr>
        <w:spacing w:after="0" w:line="17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platform or possibly other guidewire/microcatheter technologies.</w:t>
      </w:r>
    </w:p>
    <w:p>
      <w:pPr>
        <w:spacing w:after="0" w:line="13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3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We believe the addressable markets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3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The unique characteristics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is being designed to have the following attributes:</w:t>
      </w:r>
    </w:p>
    <w:p>
      <w:pPr>
        <w:spacing w:after="0" w:line="171" w:lineRule="exact"/>
        <w:rPr>
          <w:sz w:val="20"/>
          <w:szCs w:val="20"/>
          <w:color w:val="auto"/>
        </w:rPr>
      </w:pPr>
    </w:p>
    <w:p>
      <w:pPr>
        <w:ind w:left="720" w:hanging="360"/>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Compact size - Eliminates the need for large capital equipment in dedicated cath-lab rooms with dedicated staff.</w:t>
      </w:r>
    </w:p>
    <w:p>
      <w:pPr>
        <w:spacing w:after="0" w:line="13" w:lineRule="exact"/>
        <w:rPr>
          <w:rFonts w:ascii="Arial" w:cs="Arial" w:eastAsia="Arial" w:hAnsi="Arial"/>
          <w:sz w:val="20"/>
          <w:szCs w:val="20"/>
          <w:color w:val="auto"/>
        </w:rPr>
      </w:pPr>
    </w:p>
    <w:p>
      <w:pPr>
        <w:ind w:left="720" w:hanging="360"/>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Fully disposable - To our knowledge, the first fully disposable, robotic system for endovascular procedures.</w:t>
      </w:r>
    </w:p>
    <w:p>
      <w:pPr>
        <w:spacing w:after="0" w:line="2" w:lineRule="exact"/>
        <w:rPr>
          <w:rFonts w:ascii="Arial" w:cs="Arial" w:eastAsia="Arial" w:hAnsi="Arial"/>
          <w:sz w:val="20"/>
          <w:szCs w:val="20"/>
          <w:color w:val="auto"/>
        </w:rPr>
      </w:pPr>
    </w:p>
    <w:p>
      <w:pPr>
        <w:jc w:val="both"/>
        <w:ind w:left="720" w:hanging="360"/>
        <w:spacing w:after="0" w:line="219"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One &amp; Done</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 Has the potential to be compatible with Microbot’s NitiLoop’s NovaCross</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products or possibly other instruments that combines guidewire and microcatheter into a single device. We are currently evaluating this combination in different applications.</w:t>
      </w:r>
    </w:p>
    <w:p>
      <w:pPr>
        <w:spacing w:after="0" w:line="23"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5" w:lineRule="exact"/>
        <w:rPr>
          <w:rFonts w:ascii="Arial" w:cs="Arial" w:eastAsia="Arial" w:hAnsi="Arial"/>
          <w:sz w:val="20"/>
          <w:szCs w:val="20"/>
          <w:color w:val="auto"/>
        </w:rPr>
      </w:pPr>
    </w:p>
    <w:p>
      <w:pPr>
        <w:ind w:left="720" w:hanging="360"/>
        <w:spacing w:after="0"/>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Compatibility with a wide range of commercially-available guidewires, microcatheters and guide-catheters.</w:t>
      </w:r>
    </w:p>
    <w:p>
      <w:pPr>
        <w:spacing w:after="0" w:line="23"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Enhanced operator safety and comfort - Aims to reduce exposure to ionizing radiation and reduce physical strain due to the need for heavy lead vests otherwise to be worn during procedures.</w:t>
      </w:r>
    </w:p>
    <w:p>
      <w:pPr>
        <w:spacing w:after="0" w:line="24" w:lineRule="exact"/>
        <w:rPr>
          <w:rFonts w:ascii="Arial" w:cs="Arial" w:eastAsia="Arial" w:hAnsi="Arial"/>
          <w:sz w:val="20"/>
          <w:szCs w:val="20"/>
          <w:color w:val="auto"/>
        </w:rPr>
      </w:pPr>
    </w:p>
    <w:p>
      <w:pPr>
        <w:ind w:left="720" w:hanging="360"/>
        <w:spacing w:after="0" w:line="234"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Ease of use - Its intuitive remote controls aims to simplify advanced procedures while shortening the physician’s learning curve.</w:t>
      </w:r>
    </w:p>
    <w:p>
      <w:pPr>
        <w:spacing w:after="0" w:line="25" w:lineRule="exact"/>
        <w:rPr>
          <w:rFonts w:ascii="Arial" w:cs="Arial" w:eastAsia="Arial" w:hAnsi="Arial"/>
          <w:sz w:val="20"/>
          <w:szCs w:val="20"/>
          <w:color w:val="auto"/>
        </w:rPr>
      </w:pPr>
    </w:p>
    <w:p>
      <w:pPr>
        <w:jc w:val="both"/>
        <w:ind w:left="720" w:hanging="360"/>
        <w:spacing w:after="0" w:line="229" w:lineRule="auto"/>
        <w:tabs>
          <w:tab w:leader="none" w:pos="720" w:val="left"/>
        </w:tabs>
        <w:numPr>
          <w:ilvl w:val="0"/>
          <w:numId w:val="11"/>
        </w:numPr>
        <w:rPr>
          <w:rFonts w:ascii="Arial" w:cs="Arial" w:eastAsia="Arial" w:hAnsi="Arial"/>
          <w:sz w:val="19"/>
          <w:szCs w:val="19"/>
          <w:color w:val="auto"/>
        </w:rPr>
      </w:pPr>
      <w:r>
        <w:rPr>
          <w:rFonts w:ascii="Times New Roman" w:cs="Times New Roman" w:eastAsia="Times New Roman" w:hAnsi="Times New Roman"/>
          <w:sz w:val="19"/>
          <w:szCs w:val="19"/>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is still being evaluated and</w:t>
      </w:r>
    </w:p>
    <w:p>
      <w:pPr>
        <w:sectPr>
          <w:pgSz w:w="12240" w:h="15840" w:orient="portrait"/>
          <w:cols w:equalWidth="0" w:num="1">
            <w:col w:w="10800"/>
          </w:cols>
          <w:pgMar w:left="720" w:top="719" w:right="720" w:bottom="155"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719" w:right="720" w:bottom="155" w:gutter="0" w:footer="0" w:header="0"/>
          <w:type w:val="continuous"/>
        </w:sectPr>
      </w:pPr>
    </w:p>
    <w:bookmarkStart w:id="6" w:name="page7"/>
    <w:bookmarkEnd w:id="6"/>
    <w:p>
      <w:pPr>
        <w:ind w:left="720"/>
        <w:spacing w:after="0" w:line="234" w:lineRule="auto"/>
        <w:rPr>
          <w:sz w:val="20"/>
          <w:szCs w:val="20"/>
          <w:color w:val="auto"/>
        </w:rPr>
      </w:pPr>
      <w:r>
        <w:rPr>
          <w:rFonts w:ascii="Times New Roman" w:cs="Times New Roman" w:eastAsia="Times New Roman" w:hAnsi="Times New Roman"/>
          <w:sz w:val="20"/>
          <w:szCs w:val="20"/>
          <w:color w:val="auto"/>
        </w:rPr>
        <w:t>is not covered under the Company’s pending 510(k) premarket submission with the U.S. Food and Drug Administration (“FDA”).</w:t>
      </w:r>
    </w:p>
    <w:p>
      <w:pPr>
        <w:spacing w:after="0" w:line="23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On August 17, 2020, Microbot announced the successful conclusion of its feasibility animal study using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3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On May 3, 2023, we announced that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June 29, 2023, we announced the successful completion of a two-day preclinical study held by leading key opinion leaders at a New</w:t>
      </w:r>
    </w:p>
    <w:p>
      <w:pPr>
        <w:spacing w:after="0" w:line="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York-based research lab, where they performed dozens of catheterizations, including the utilization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System’s remote operation capabilities, to pre-determined vascular targets, with a 100% success rate of reaching the intended target with no observable on-site complications.</w:t>
      </w:r>
    </w:p>
    <w:p>
      <w:pPr>
        <w:spacing w:after="0" w:line="235"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20"/>
          <w:szCs w:val="20"/>
          <w:color w:val="auto"/>
        </w:rPr>
        <w:t>In October 2023, we announced the successful initial outcomes from our pivotal preclinical study with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to reach a total of 48 animal targets. A total of 6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Systems were used in the study. All 6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a human clinical study. On January 29, 2024, the Company submitted an IDE application with the U.S. Food and Drug Administration, in order to commence its pivotal clinical trial in humans.</w:t>
      </w:r>
    </w:p>
    <w:p>
      <w:pPr>
        <w:spacing w:after="0" w:line="23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On December 10, 2024, we announced that we submitted a 510(k) premarket notification to the FDA for our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System. The 510(k) submission follows the successful completion of our multi-center, single-arm, human trial to evaluate the performance and safety of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in human subjects undergoing Peripheral Vascular Interventions.</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anticipate FDA marketing clearance during the second quarter of 2025, with U.S. commercialization activities expected to commence after the clearance. However, we can give no assurance that we will meet this projected milestone, if ever. See “Risk Factors-Risks Relating to the Development and Commercialization of Microbot’s Product Candidates” below.</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to ultimately</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allow us to market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FDA regarding the quality system management regulation and its incorporation by reference of the ISO 13485 standard, we believe it will help streamline our transition into this revised FDA regulation.</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University will assume the responsibility of exploring the feasibility of integrating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with an imaging system to create an autonomous robotic system for endovascular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NovaCross</w:t>
      </w:r>
      <w:r>
        <w:rPr>
          <w:rFonts w:ascii="Times New Roman" w:cs="Times New Roman" w:eastAsia="Times New Roman" w:hAnsi="Times New Roman"/>
          <w:sz w:val="31"/>
          <w:szCs w:val="31"/>
          <w:b w:val="1"/>
          <w:bCs w:val="1"/>
          <w:i w:val="1"/>
          <w:iCs w:val="1"/>
          <w:color w:val="auto"/>
          <w:vertAlign w:val="superscript"/>
        </w:rPr>
        <w:t>®</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w:t>
      </w:r>
    </w:p>
    <w:p>
      <w:pPr>
        <w:sectPr>
          <w:pgSz w:w="12240" w:h="15840" w:orient="portrait"/>
          <w:cols w:equalWidth="0" w:num="1">
            <w:col w:w="10800"/>
          </w:cols>
          <w:pgMar w:left="720" w:top="729" w:right="720" w:bottom="155"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729" w:right="720" w:bottom="155" w:gutter="0" w:footer="0" w:header="0"/>
          <w:type w:val="continuous"/>
        </w:sectPr>
      </w:pPr>
    </w:p>
    <w:bookmarkStart w:id="7" w:name="page8"/>
    <w:bookmarkEnd w:id="7"/>
    <w:p>
      <w:pPr>
        <w:jc w:val="both"/>
        <w:spacing w:after="0" w:line="234" w:lineRule="auto"/>
        <w:rPr>
          <w:sz w:val="20"/>
          <w:szCs w:val="20"/>
          <w:color w:val="auto"/>
        </w:rPr>
      </w:pPr>
      <w:r>
        <w:rPr>
          <w:rFonts w:ascii="Times New Roman" w:cs="Times New Roman" w:eastAsia="Times New Roman" w:hAnsi="Times New Roman"/>
          <w:sz w:val="20"/>
          <w:szCs w:val="20"/>
          <w:color w:val="auto"/>
        </w:rPr>
        <w:t>incorporating the technology owned by Nitiloop and designated by Nitiloop as “NovaCross”, “NovaCross Xtreme” and “NovaCross BTK” and any enhancements, modifications and improvements.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Minimally Invasive Robot-Assisted Endovascular Interventions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2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23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Microbot believes that with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coupled with its own NovaCross® products and other off-the-shelf products, it is well-positioned to deliver a value-added endovascular robotic system, with a focus on improving the ease and access and enhancing the safety of endovascular interventions.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Strategy</w:t>
      </w:r>
    </w:p>
    <w:p>
      <w:pPr>
        <w:spacing w:after="0" w:line="23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Microbot’s goal is to generate sales of its products, once they have received regulatory approval, by establishing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257" w:lineRule="exact"/>
        <w:rPr>
          <w:sz w:val="20"/>
          <w:szCs w:val="20"/>
          <w:color w:val="auto"/>
        </w:rPr>
      </w:pPr>
    </w:p>
    <w:p>
      <w:pPr>
        <w:jc w:val="both"/>
        <w:ind w:left="720" w:hanging="360"/>
        <w:spacing w:after="0" w:line="237"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refine existing product candidates and develop additional surgical robotic solutions. As Microbot prepares to bring its initial product 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27" w:lineRule="exact"/>
        <w:rPr>
          <w:rFonts w:ascii="Arial" w:cs="Arial" w:eastAsia="Arial" w:hAnsi="Arial"/>
          <w:sz w:val="20"/>
          <w:szCs w:val="20"/>
          <w:color w:val="auto"/>
        </w:rPr>
      </w:pPr>
    </w:p>
    <w:p>
      <w:pPr>
        <w:jc w:val="both"/>
        <w:ind w:left="720" w:hanging="360"/>
        <w:spacing w:after="0" w:line="224"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and leverage relationships with key institutions and leading clinicians. Microbot’s objective will be to maintain clinical focus with leading hospitals and clinics so as to establish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29" w:lineRule="exact"/>
        <w:rPr>
          <w:rFonts w:ascii="Arial" w:cs="Arial" w:eastAsia="Arial" w:hAnsi="Arial"/>
          <w:sz w:val="20"/>
          <w:szCs w:val="20"/>
          <w:color w:val="auto"/>
        </w:rPr>
      </w:pPr>
    </w:p>
    <w:p>
      <w:pPr>
        <w:jc w:val="both"/>
        <w:ind w:left="720" w:hanging="360"/>
        <w:spacing w:after="0" w:line="253" w:lineRule="auto"/>
        <w:tabs>
          <w:tab w:leader="none" w:pos="72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Continuously invest in research and development. Microbot’s most significant expense has historically been research and development, and Microbot expects to continue investing in research and development activities, including expenses it expects</w:t>
      </w:r>
    </w:p>
    <w:p>
      <w:pPr>
        <w:sectPr>
          <w:pgSz w:w="12240" w:h="15840" w:orient="portrait"/>
          <w:cols w:equalWidth="0" w:num="1">
            <w:col w:w="10800"/>
          </w:cols>
          <w:pgMar w:left="720" w:top="729" w:right="720" w:bottom="155"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729" w:right="720" w:bottom="155" w:gutter="0" w:footer="0" w:header="0"/>
          <w:type w:val="continuous"/>
        </w:sectPr>
      </w:pPr>
    </w:p>
    <w:bookmarkStart w:id="8" w:name="page9"/>
    <w:bookmarkEnd w:id="8"/>
    <w:p>
      <w:pPr>
        <w:ind w:left="720"/>
        <w:spacing w:after="0" w:line="234" w:lineRule="auto"/>
        <w:rPr>
          <w:sz w:val="20"/>
          <w:szCs w:val="20"/>
          <w:color w:val="auto"/>
        </w:rPr>
      </w:pPr>
      <w:r>
        <w:rPr>
          <w:rFonts w:ascii="Times New Roman" w:cs="Times New Roman" w:eastAsia="Times New Roman" w:hAnsi="Times New Roman"/>
          <w:sz w:val="20"/>
          <w:szCs w:val="20"/>
          <w:color w:val="auto"/>
        </w:rPr>
        <w:t>to incur to improve on its prototype products in order to respond to clinical data, to develop additional applications using its technologies and to develop future product candidates.</w:t>
      </w:r>
    </w:p>
    <w:p>
      <w:pPr>
        <w:spacing w:after="0" w:line="26" w:lineRule="exact"/>
        <w:rPr>
          <w:sz w:val="20"/>
          <w:szCs w:val="20"/>
          <w:color w:val="auto"/>
        </w:rPr>
      </w:pPr>
    </w:p>
    <w:p>
      <w:pPr>
        <w:jc w:val="both"/>
        <w:ind w:left="720" w:hanging="360"/>
        <w:spacing w:after="0" w:line="237"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Explore partnerships for the introduction of Microbot’s products. In parallel to its efforts to establish direct sales and marketing capabilities, 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24" w:lineRule="exact"/>
        <w:rPr>
          <w:rFonts w:ascii="Arial" w:cs="Arial" w:eastAsia="Arial" w:hAnsi="Arial"/>
          <w:sz w:val="20"/>
          <w:szCs w:val="20"/>
          <w:color w:val="auto"/>
        </w:rPr>
      </w:pPr>
    </w:p>
    <w:p>
      <w:pPr>
        <w:jc w:val="both"/>
        <w:ind w:left="720" w:hanging="360"/>
        <w:spacing w:after="0" w:line="236"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Seek additional IP and technologies to complement and strengthen Microbot’s current IP portfolio. Microbot intends to continue exploring new technologies, IP and know-how to add to its current portfolio through licensing, mergers and/or acquisitions and to allow Microbot to enter new spaces and strengthen its overall product portfolio.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LIBERTY</w:t>
      </w:r>
      <w:r>
        <w:rPr>
          <w:rFonts w:ascii="Times New Roman" w:cs="Times New Roman" w:eastAsia="Times New Roman" w:hAnsi="Times New Roman"/>
          <w:sz w:val="31"/>
          <w:szCs w:val="31"/>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Competitive Landscape</w:t>
      </w:r>
    </w:p>
    <w:p>
      <w:pPr>
        <w:spacing w:after="0" w:line="1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We believe the main competitor to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and is CE-marked for neurovascular interventions.. Another competitor is R-One+ by Robocath (CE Marked, NMPA, South Africa for PCI only), and we believe there are many other competitors in the endovascular robotics space. We believe these systems of our competitors that we have identified have drawbacks, such as limited maneuverability, the requirement to exchange and use multiple expensive surgical tools,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2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3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System’s core technology is co-owned by Microbot Medical® and The Technion Research and Development Foundation Ltd., or TRDF. The NovaCross®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16 patents issued/allowed and 59 patent applications pending worldwide. Microbot also holds 14 design patents issued/allowed worldwide. It also has registered trademarks in Israel, Europe, UK and the U.S. relating to</w:t>
      </w:r>
    </w:p>
    <w:p>
      <w:pPr>
        <w:spacing w:after="0" w:line="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and also has trademarks relating to its proprietary Microbot Medical® wordmark registered in the U.S., Israel, Europe, and UK, and Microbot Medical logo registered in Israel, Europe, and UK, in addition to having registered trademarks for the “One &amp; Done” wordmark in Israel, Europe, the U.S., UK, and Japan. Microbot also has a registered trademark in the U.S. for the NovaCross trademark.</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w:t>
      </w:r>
    </w:p>
    <w:p>
      <w:pPr>
        <w:sectPr>
          <w:pgSz w:w="12240" w:h="15840" w:orient="portrait"/>
          <w:cols w:equalWidth="0" w:num="1">
            <w:col w:w="10800"/>
          </w:cols>
          <w:pgMar w:left="720" w:top="729" w:right="720" w:bottom="155"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729" w:right="720" w:bottom="155" w:gutter="0" w:footer="0" w:header="0"/>
          <w:type w:val="continuous"/>
        </w:sectPr>
      </w:pPr>
    </w:p>
    <w:bookmarkStart w:id="9" w:name="page10"/>
    <w:bookmarkEnd w:id="9"/>
    <w:p>
      <w:pPr>
        <w:jc w:val="both"/>
        <w:spacing w:after="0" w:line="237" w:lineRule="auto"/>
        <w:rPr>
          <w:sz w:val="20"/>
          <w:szCs w:val="20"/>
          <w:color w:val="auto"/>
        </w:rPr>
      </w:pPr>
      <w:r>
        <w:rPr>
          <w:rFonts w:ascii="Times New Roman" w:cs="Times New Roman" w:eastAsia="Times New Roman" w:hAnsi="Times New Roman"/>
          <w:sz w:val="20"/>
          <w:szCs w:val="20"/>
          <w:color w:val="auto"/>
        </w:rPr>
        <w:t>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2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the Technion</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23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Microbot Israel has received grants from the Israeli Innovation Authority (“IIA”) for participation in research and development since 2013 through December 31, 2024 totaling approximately $1.9 million. This includes amounts received of approximately $378,000, which is a portion of an additional grant from the IIA in the amount of approximately NIS 1,620,000 (approximately $447,000) approved</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by the IIA on June 1, 2023, to further finance the development of the manufacturing process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As a result of the agreement with Nitiloop, on October 6, 2022, Microbot Israel took over the liability to repay Nitiloop’s IIA grants in the aggregate amount of approximately $925,000.</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relation to the IIA grants described above, the Company is obligated to pay royalties amounting to 3%-5% of its future sales of the products relating to such grants.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grants are linked to the exchange rate of the dollar to the New Israeli Shekel and bears interest of SOFR per year (SOFR is a benchmark interest rate which replaced LIBOR).</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729" w:right="720" w:bottom="155" w:gutter="0" w:footer="0" w:header="0"/>
          <w:type w:val="continuous"/>
        </w:sectPr>
      </w:pPr>
    </w:p>
    <w:bookmarkStart w:id="10" w:name="page11"/>
    <w:bookmarkEnd w:id="10"/>
    <w:p>
      <w:pPr>
        <w:jc w:val="both"/>
        <w:ind w:right="120"/>
        <w:spacing w:after="0" w:line="237" w:lineRule="auto"/>
        <w:rPr>
          <w:sz w:val="20"/>
          <w:szCs w:val="20"/>
          <w:color w:val="auto"/>
        </w:rPr>
      </w:pPr>
      <w:r>
        <w:rPr>
          <w:rFonts w:ascii="Times New Roman" w:cs="Times New Roman" w:eastAsia="Times New Roman" w:hAnsi="Times New Roman"/>
          <w:sz w:val="20"/>
          <w:szCs w:val="20"/>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241" w:lineRule="exact"/>
        <w:rPr>
          <w:sz w:val="20"/>
          <w:szCs w:val="20"/>
          <w:color w:val="auto"/>
        </w:rPr>
      </w:pPr>
    </w:p>
    <w:p>
      <w:pPr>
        <w:jc w:val="both"/>
        <w:ind w:right="120"/>
        <w:spacing w:after="0" w:line="216" w:lineRule="auto"/>
        <w:rPr>
          <w:sz w:val="20"/>
          <w:szCs w:val="20"/>
          <w:color w:val="auto"/>
        </w:rPr>
      </w:pPr>
      <w:r>
        <w:rPr>
          <w:rFonts w:ascii="Times New Roman" w:cs="Times New Roman" w:eastAsia="Times New Roman" w:hAnsi="Times New Roman"/>
          <w:sz w:val="20"/>
          <w:szCs w:val="20"/>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the U.S. market.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the Company received approximately $50,000 of such amount.</w:t>
      </w:r>
    </w:p>
    <w:p>
      <w:pPr>
        <w:spacing w:after="0" w:line="241"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0"/>
          <w:szCs w:val="20"/>
          <w:color w:val="auto"/>
        </w:rPr>
        <w:t>In relation with the Ministry of Economy grant, the Company is obligated to pay royalties amounting to 3% of future sales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expects to continue to access government funding in the future.</w:t>
      </w:r>
    </w:p>
    <w:p>
      <w:pPr>
        <w:spacing w:after="0" w:line="239"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20"/>
          <w:szCs w:val="20"/>
          <w:color w:val="auto"/>
        </w:rPr>
        <w:t>For the fiscal years ended December 31, 2024 and 2023, respectively, Microbot incurred research and development expenses, net of approximately $6,630,000 and 5,724,000.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39"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0"/>
          <w:szCs w:val="20"/>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242"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0"/>
          <w:szCs w:val="20"/>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2025.</w:t>
      </w:r>
    </w:p>
    <w:p>
      <w:pPr>
        <w:spacing w:after="0" w:line="241"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0"/>
          <w:szCs w:val="20"/>
          <w:color w:val="auto"/>
        </w:rPr>
        <w:t>On August 4, 2023, we signed a Turn-Key Manufacturing Agreement with a subcontractor that is suited to assemble and test our products under applicable regulatory requirements and regulations. As of the filing date of this Annual Report on Form 10-K, we are working with the subcontractor to transfer the production to the subcontractor.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233" w:lineRule="exact"/>
        <w:rPr>
          <w:sz w:val="20"/>
          <w:szCs w:val="20"/>
          <w:color w:val="auto"/>
        </w:rPr>
      </w:pPr>
    </w:p>
    <w:p>
      <w:pPr>
        <w:jc w:val="both"/>
        <w:ind w:right="120"/>
        <w:spacing w:after="0" w:line="223" w:lineRule="auto"/>
        <w:rPr>
          <w:sz w:val="20"/>
          <w:szCs w:val="20"/>
          <w:color w:val="auto"/>
        </w:rPr>
      </w:pPr>
      <w:r>
        <w:rPr>
          <w:rFonts w:ascii="Times New Roman" w:cs="Times New Roman" w:eastAsia="Times New Roman" w:hAnsi="Times New Roman"/>
          <w:sz w:val="20"/>
          <w:szCs w:val="20"/>
          <w:color w:val="auto"/>
        </w:rPr>
        <w:t>Microbot has recently commenced the establishment of a sales, marketing and product distribution infrastructure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while it awaits potential FDA clearance of its 510(k) application.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Israel-Hamas War</w:t>
      </w:r>
    </w:p>
    <w:p>
      <w:pPr>
        <w:spacing w:after="0" w:line="241" w:lineRule="exact"/>
        <w:rPr>
          <w:sz w:val="20"/>
          <w:szCs w:val="20"/>
          <w:color w:val="auto"/>
        </w:rPr>
      </w:pPr>
    </w:p>
    <w:p>
      <w:pPr>
        <w:jc w:val="both"/>
        <w:ind w:right="120"/>
        <w:spacing w:after="0" w:line="237" w:lineRule="auto"/>
        <w:rPr>
          <w:sz w:val="20"/>
          <w:szCs w:val="20"/>
          <w:color w:val="auto"/>
        </w:rPr>
      </w:pPr>
      <w:r>
        <w:rPr>
          <w:rFonts w:ascii="Times New Roman" w:cs="Times New Roman" w:eastAsia="Times New Roman" w:hAnsi="Times New Roman"/>
          <w:sz w:val="20"/>
          <w:szCs w:val="20"/>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filing date of this Annual Report on Form 10-K, although there have been temporary cease fires in such military operations from time to time.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considered various ongoing risks relating to the military operations and related matters, including:</w:t>
      </w:r>
    </w:p>
    <w:p>
      <w:pPr>
        <w:spacing w:after="0" w:line="239" w:lineRule="exact"/>
        <w:rPr>
          <w:sz w:val="20"/>
          <w:szCs w:val="20"/>
          <w:color w:val="auto"/>
        </w:rPr>
      </w:pPr>
    </w:p>
    <w:p>
      <w:pPr>
        <w:ind w:left="940" w:hanging="510"/>
        <w:spacing w:after="0" w:line="235" w:lineRule="auto"/>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some of our Israeli subcontractors, vendors, suppliers and other companies in which the Company relies, are currently only partially active, as instructed by the relevant authorities; and</w:t>
      </w:r>
    </w:p>
    <w:p>
      <w:pPr>
        <w:ind w:left="940" w:hanging="510"/>
        <w:spacing w:after="0"/>
        <w:tabs>
          <w:tab w:leader="none" w:pos="94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slowdown in the number of international flights in and out of Israel.</w:t>
      </w:r>
    </w:p>
    <w:p>
      <w:pPr>
        <w:spacing w:after="0" w:line="240"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9"/>
          <w:szCs w:val="19"/>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filing date of this Annual Report on Form 10-K,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w:t>
      </w:r>
    </w:p>
    <w:p>
      <w:pPr>
        <w:sectPr>
          <w:pgSz w:w="12240" w:h="15840" w:orient="portrait"/>
          <w:cols w:equalWidth="0" w:num="1">
            <w:col w:w="10920"/>
          </w:cols>
          <w:pgMar w:left="720" w:top="729" w:right="600" w:bottom="155"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920"/>
          </w:cols>
          <w:pgMar w:left="720" w:top="729" w:right="600" w:bottom="155" w:gutter="0" w:footer="0" w:header="0"/>
          <w:type w:val="continuous"/>
        </w:sectPr>
      </w:pPr>
    </w:p>
    <w:bookmarkStart w:id="11" w:name="page12"/>
    <w:bookmarkEnd w:id="11"/>
    <w:p>
      <w:pPr>
        <w:jc w:val="both"/>
        <w:spacing w:after="0" w:line="234" w:lineRule="auto"/>
        <w:rPr>
          <w:sz w:val="20"/>
          <w:szCs w:val="20"/>
          <w:color w:val="auto"/>
        </w:rPr>
      </w:pPr>
      <w:r>
        <w:rPr>
          <w:rFonts w:ascii="Times New Roman" w:cs="Times New Roman" w:eastAsia="Times New Roman" w:hAnsi="Times New Roman"/>
          <w:sz w:val="20"/>
          <w:szCs w:val="20"/>
          <w:color w:val="auto"/>
        </w:rPr>
        <w:t>of our Israeli office to support the Company’s clinical and regulatory activities. We do not have any specific contingency plans in the event of any such escalation or change.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Regulation</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230" w:lineRule="exact"/>
        <w:rPr>
          <w:sz w:val="20"/>
          <w:szCs w:val="20"/>
          <w:color w:val="auto"/>
        </w:rPr>
      </w:pPr>
    </w:p>
    <w:p>
      <w:pPr>
        <w:ind w:left="480" w:hanging="457"/>
        <w:spacing w:after="0"/>
        <w:tabs>
          <w:tab w:leader="none" w:pos="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design, and development;</w:t>
      </w:r>
    </w:p>
    <w:p>
      <w:pPr>
        <w:spacing w:after="0" w:line="229" w:lineRule="exact"/>
        <w:rPr>
          <w:rFonts w:ascii="Times New Roman" w:cs="Times New Roman" w:eastAsia="Times New Roman" w:hAnsi="Times New Roman"/>
          <w:sz w:val="20"/>
          <w:szCs w:val="20"/>
          <w:color w:val="auto"/>
        </w:rPr>
      </w:pPr>
    </w:p>
    <w:p>
      <w:pPr>
        <w:ind w:left="460" w:hanging="442"/>
        <w:spacing w:after="0"/>
        <w:tabs>
          <w:tab w:leader="none" w:pos="4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safety, testing, labeling and storage;</w:t>
      </w:r>
    </w:p>
    <w:p>
      <w:pPr>
        <w:spacing w:after="0" w:line="230" w:lineRule="exact"/>
        <w:rPr>
          <w:rFonts w:ascii="Times New Roman" w:cs="Times New Roman" w:eastAsia="Times New Roman" w:hAnsi="Times New Roman"/>
          <w:sz w:val="20"/>
          <w:szCs w:val="20"/>
          <w:color w:val="auto"/>
        </w:rPr>
      </w:pPr>
    </w:p>
    <w:p>
      <w:pPr>
        <w:ind w:left="520" w:hanging="495"/>
        <w:spacing w:after="0"/>
        <w:tabs>
          <w:tab w:leader="none" w:pos="5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record keeping procedures; and</w:t>
      </w:r>
    </w:p>
    <w:p>
      <w:pPr>
        <w:spacing w:after="0" w:line="229" w:lineRule="exact"/>
        <w:rPr>
          <w:rFonts w:ascii="Times New Roman" w:cs="Times New Roman" w:eastAsia="Times New Roman" w:hAnsi="Times New Roman"/>
          <w:sz w:val="20"/>
          <w:szCs w:val="20"/>
          <w:color w:val="auto"/>
        </w:rPr>
      </w:pPr>
    </w:p>
    <w:p>
      <w:pPr>
        <w:ind w:left="440" w:hanging="402"/>
        <w:spacing w:after="0"/>
        <w:tabs>
          <w:tab w:leader="none" w:pos="44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marketing.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numerous FDA regulatory requirements governing the approval or clearance and subsequent commercial marketing of</w:t>
      </w:r>
    </w:p>
    <w:p>
      <w:pPr>
        <w:spacing w:after="0"/>
        <w:rPr>
          <w:sz w:val="20"/>
          <w:szCs w:val="20"/>
          <w:color w:val="auto"/>
        </w:rPr>
      </w:pPr>
      <w:r>
        <w:rPr>
          <w:rFonts w:ascii="Times New Roman" w:cs="Times New Roman" w:eastAsia="Times New Roman" w:hAnsi="Times New Roman"/>
          <w:sz w:val="20"/>
          <w:szCs w:val="20"/>
          <w:color w:val="auto"/>
        </w:rPr>
        <w:t>Microbot’s products. These include:</w:t>
      </w:r>
    </w:p>
    <w:p>
      <w:pPr>
        <w:spacing w:after="0" w:line="239" w:lineRule="exact"/>
        <w:rPr>
          <w:sz w:val="20"/>
          <w:szCs w:val="20"/>
          <w:color w:val="auto"/>
        </w:rPr>
      </w:pPr>
    </w:p>
    <w:p>
      <w:pPr>
        <w:ind w:left="520" w:hanging="514"/>
        <w:spacing w:after="0"/>
        <w:tabs>
          <w:tab w:leader="none" w:pos="52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timely submission of product listing and establishment registration information, along with associated establishment user fees;</w:t>
      </w:r>
    </w:p>
    <w:p>
      <w:pPr>
        <w:spacing w:after="0" w:line="11" w:lineRule="exact"/>
        <w:rPr>
          <w:rFonts w:ascii="Times New Roman" w:cs="Times New Roman" w:eastAsia="Times New Roman" w:hAnsi="Times New Roman"/>
          <w:sz w:val="19"/>
          <w:szCs w:val="19"/>
          <w:color w:val="auto"/>
        </w:rPr>
      </w:pPr>
    </w:p>
    <w:p>
      <w:pPr>
        <w:jc w:val="both"/>
        <w:ind w:left="520" w:hanging="514"/>
        <w:spacing w:after="0" w:line="236" w:lineRule="auto"/>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1" w:lineRule="exact"/>
        <w:rPr>
          <w:rFonts w:ascii="Times New Roman" w:cs="Times New Roman" w:eastAsia="Times New Roman" w:hAnsi="Times New Roman"/>
          <w:sz w:val="20"/>
          <w:szCs w:val="20"/>
          <w:color w:val="auto"/>
        </w:rPr>
      </w:pPr>
    </w:p>
    <w:p>
      <w:pPr>
        <w:ind w:left="520" w:hanging="514"/>
        <w:spacing w:after="0" w:line="234" w:lineRule="auto"/>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labeling regulations and FDA prohibitions against the promotion of products for uncleared, unapproved or off-label use or indication;</w:t>
      </w:r>
    </w:p>
    <w:p>
      <w:pPr>
        <w:spacing w:after="0" w:line="11"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clearance or approval of product modifications that could significantly affect the safety or effectiveness of the device or that would constitute a major change in intended use;</w:t>
      </w:r>
    </w:p>
    <w:p>
      <w:pPr>
        <w:spacing w:after="0" w:line="9" w:lineRule="exact"/>
        <w:rPr>
          <w:rFonts w:ascii="Times New Roman" w:cs="Times New Roman" w:eastAsia="Times New Roman" w:hAnsi="Times New Roman"/>
          <w:sz w:val="20"/>
          <w:szCs w:val="20"/>
          <w:color w:val="auto"/>
        </w:rPr>
      </w:pPr>
    </w:p>
    <w:p>
      <w:pPr>
        <w:jc w:val="both"/>
        <w:ind w:left="520" w:hanging="514"/>
        <w:spacing w:after="0" w:line="237" w:lineRule="auto"/>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9"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use of the Corrective and Preventive Actions process to identify and correct or prevent significant systemic failures of products or processes or in trends which suggest same;</w:t>
      </w:r>
    </w:p>
    <w:p>
      <w:pPr>
        <w:ind w:left="520" w:hanging="514"/>
        <w:spacing w:after="0"/>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post-approval restrictions or conditions, including post-approval study commitments;</w:t>
      </w:r>
    </w:p>
    <w:p>
      <w:pPr>
        <w:sectPr>
          <w:pgSz w:w="12240" w:h="15840" w:orient="portrait"/>
          <w:cols w:equalWidth="0" w:num="1">
            <w:col w:w="10800"/>
          </w:cols>
          <w:pgMar w:left="720" w:top="729" w:right="720" w:bottom="155"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729" w:right="720" w:bottom="155" w:gutter="0" w:footer="0" w:header="0"/>
          <w:type w:val="continuous"/>
        </w:sectPr>
      </w:pPr>
    </w:p>
    <w:bookmarkStart w:id="12" w:name="page13"/>
    <w:bookmarkEnd w:id="12"/>
    <w:p>
      <w:pPr>
        <w:ind w:left="520" w:hanging="514"/>
        <w:spacing w:after="0" w:line="234" w:lineRule="auto"/>
        <w:tabs>
          <w:tab w:leader="none" w:pos="5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post-market surveillance regulations, which apply when necessary to protect the public health or to provide additional safety and effectiveness data for the device; and</w:t>
      </w:r>
    </w:p>
    <w:p>
      <w:pPr>
        <w:spacing w:after="0" w:line="1" w:lineRule="exact"/>
        <w:rPr>
          <w:rFonts w:ascii="Times New Roman" w:cs="Times New Roman" w:eastAsia="Times New Roman" w:hAnsi="Times New Roman"/>
          <w:sz w:val="20"/>
          <w:szCs w:val="20"/>
          <w:color w:val="auto"/>
        </w:rPr>
      </w:pPr>
    </w:p>
    <w:p>
      <w:pPr>
        <w:ind w:left="520" w:hanging="444"/>
        <w:spacing w:after="0"/>
        <w:tabs>
          <w:tab w:leader="none" w:pos="52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of correction or removal and recall regulations.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243" w:lineRule="exact"/>
        <w:rPr>
          <w:sz w:val="20"/>
          <w:szCs w:val="20"/>
          <w:color w:val="auto"/>
        </w:rPr>
      </w:pPr>
    </w:p>
    <w:p>
      <w:pPr>
        <w:jc w:val="both"/>
        <w:ind w:left="520" w:hanging="514"/>
        <w:spacing w:after="0" w:line="236" w:lineRule="auto"/>
        <w:tabs>
          <w:tab w:leader="none" w:pos="5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0" w:lineRule="exact"/>
        <w:rPr>
          <w:rFonts w:ascii="Times New Roman" w:cs="Times New Roman" w:eastAsia="Times New Roman" w:hAnsi="Times New Roman"/>
          <w:sz w:val="20"/>
          <w:szCs w:val="20"/>
          <w:color w:val="auto"/>
        </w:rPr>
      </w:pPr>
    </w:p>
    <w:p>
      <w:pPr>
        <w:jc w:val="both"/>
        <w:ind w:left="520" w:hanging="514"/>
        <w:spacing w:after="0" w:line="236" w:lineRule="auto"/>
        <w:tabs>
          <w:tab w:leader="none" w:pos="5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1" w:lineRule="exact"/>
        <w:rPr>
          <w:rFonts w:ascii="Times New Roman" w:cs="Times New Roman" w:eastAsia="Times New Roman" w:hAnsi="Times New Roman"/>
          <w:sz w:val="20"/>
          <w:szCs w:val="20"/>
          <w:color w:val="auto"/>
        </w:rPr>
      </w:pPr>
    </w:p>
    <w:p>
      <w:pPr>
        <w:jc w:val="both"/>
        <w:ind w:left="520" w:hanging="514"/>
        <w:spacing w:after="0" w:line="236" w:lineRule="auto"/>
        <w:tabs>
          <w:tab w:leader="none" w:pos="5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219" w:lineRule="exact"/>
        <w:rPr>
          <w:sz w:val="20"/>
          <w:szCs w:val="20"/>
          <w:color w:val="auto"/>
        </w:rPr>
      </w:pPr>
    </w:p>
    <w:p>
      <w:pPr>
        <w:ind w:left="520" w:hanging="514"/>
        <w:spacing w:after="0"/>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comprehensive product description and indications for use;</w:t>
      </w:r>
    </w:p>
    <w:p>
      <w:pPr>
        <w:spacing w:after="0" w:line="10" w:lineRule="exact"/>
        <w:rPr>
          <w:rFonts w:ascii="Times New Roman" w:cs="Times New Roman" w:eastAsia="Times New Roman" w:hAnsi="Times New Roman"/>
          <w:sz w:val="20"/>
          <w:szCs w:val="20"/>
          <w:color w:val="auto"/>
        </w:rPr>
      </w:pPr>
    </w:p>
    <w:p>
      <w:pPr>
        <w:ind w:left="520" w:hanging="514"/>
        <w:spacing w:after="0" w:line="234" w:lineRule="auto"/>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review of predicate devices and development of data supporting the new product’s substantial equivalence to one or more predicate devices; and</w:t>
      </w:r>
    </w:p>
    <w:p>
      <w:pPr>
        <w:spacing w:after="0" w:line="11"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appropriate and required, certain types of clinical trials (IDE submission and approval may be required for conducting a clinical trial in the U.S.).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2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Description of the IDE process. The IDE will become effective 30 days after receipt by the FDA, unless the FDA otherwise informs the sponsor prior to the 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510(k) clearance typically involves the following:</w:t>
      </w:r>
    </w:p>
    <w:p>
      <w:pPr>
        <w:spacing w:after="0" w:line="239" w:lineRule="exact"/>
        <w:rPr>
          <w:sz w:val="20"/>
          <w:szCs w:val="20"/>
          <w:color w:val="auto"/>
        </w:rPr>
      </w:pPr>
    </w:p>
    <w:p>
      <w:pPr>
        <w:jc w:val="both"/>
        <w:ind w:left="520" w:hanging="514"/>
        <w:spacing w:after="0" w:line="237" w:lineRule="auto"/>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2" w:lineRule="exact"/>
        <w:rPr>
          <w:rFonts w:ascii="Times New Roman" w:cs="Times New Roman" w:eastAsia="Times New Roman" w:hAnsi="Times New Roman"/>
          <w:sz w:val="20"/>
          <w:szCs w:val="20"/>
          <w:color w:val="auto"/>
        </w:rPr>
      </w:pPr>
    </w:p>
    <w:p>
      <w:pPr>
        <w:ind w:left="520" w:hanging="514"/>
        <w:spacing w:after="0" w:line="234" w:lineRule="auto"/>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510(k) clearance letter from the FDA will authorize commercial marketing of the device for one or more specific indications for use.</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729" w:right="720" w:bottom="155" w:gutter="0" w:footer="0" w:header="0"/>
          <w:type w:val="continuous"/>
        </w:sectPr>
      </w:pPr>
    </w:p>
    <w:bookmarkStart w:id="13" w:name="page14"/>
    <w:bookmarkEnd w:id="13"/>
    <w:p>
      <w:pPr>
        <w:jc w:val="both"/>
        <w:ind w:left="520" w:hanging="514"/>
        <w:spacing w:after="0" w:line="238" w:lineRule="auto"/>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2" w:lineRule="exact"/>
        <w:rPr>
          <w:rFonts w:ascii="Times New Roman" w:cs="Times New Roman" w:eastAsia="Times New Roman" w:hAnsi="Times New Roman"/>
          <w:sz w:val="20"/>
          <w:szCs w:val="20"/>
          <w:color w:val="auto"/>
        </w:rPr>
      </w:pPr>
    </w:p>
    <w:p>
      <w:pPr>
        <w:jc w:val="both"/>
        <w:ind w:left="520" w:hanging="514"/>
        <w:spacing w:after="0" w:line="238" w:lineRule="auto"/>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4" w:lineRule="exact"/>
        <w:rPr>
          <w:rFonts w:ascii="Times New Roman" w:cs="Times New Roman" w:eastAsia="Times New Roman" w:hAnsi="Times New Roman"/>
          <w:sz w:val="20"/>
          <w:szCs w:val="20"/>
          <w:color w:val="auto"/>
        </w:rPr>
      </w:pPr>
    </w:p>
    <w:p>
      <w:pPr>
        <w:jc w:val="both"/>
        <w:ind w:left="520" w:hanging="514"/>
        <w:spacing w:after="0" w:line="236" w:lineRule="auto"/>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Regulation</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w:t>
      </w:r>
    </w:p>
    <w:p>
      <w:pPr>
        <w:sectPr>
          <w:pgSz w:w="12240" w:h="15840" w:orient="portrait"/>
          <w:cols w:equalWidth="0" w:num="1">
            <w:col w:w="10800"/>
          </w:cols>
          <w:pgMar w:left="720" w:top="729" w:right="720" w:bottom="155"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729" w:right="720" w:bottom="155" w:gutter="0" w:footer="0" w:header="0"/>
          <w:type w:val="continuous"/>
        </w:sectPr>
      </w:pPr>
    </w:p>
    <w:bookmarkStart w:id="14" w:name="page15"/>
    <w:bookmarkEnd w:id="14"/>
    <w:p>
      <w:pPr>
        <w:jc w:val="both"/>
        <w:spacing w:after="0" w:line="237" w:lineRule="auto"/>
        <w:rPr>
          <w:sz w:val="20"/>
          <w:szCs w:val="20"/>
          <w:color w:val="auto"/>
        </w:rPr>
      </w:pPr>
      <w:r>
        <w:rPr>
          <w:rFonts w:ascii="Times New Roman" w:cs="Times New Roman" w:eastAsia="Times New Roman" w:hAnsi="Times New Roman"/>
          <w:sz w:val="20"/>
          <w:szCs w:val="20"/>
          <w:color w:val="auto"/>
        </w:rPr>
        <w:t>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2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Europe. The primary regulatory body in Europe is the European Union, or E.U., which consists of 27 member states and has a coordinated system for the authorization of medical devices.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23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242" w:lineRule="exact"/>
        <w:rPr>
          <w:sz w:val="20"/>
          <w:szCs w:val="20"/>
          <w:color w:val="auto"/>
        </w:rPr>
      </w:pPr>
    </w:p>
    <w:p>
      <w:pPr>
        <w:spacing w:after="0" w:line="235" w:lineRule="auto"/>
        <w:tabs>
          <w:tab w:leader="none" w:pos="21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CE Marking certification, comply with European Commission Regulation (EU) No. 2017/745, commonly known as the Medical Device Regulation (MDR).</w:t>
      </w:r>
    </w:p>
    <w:p>
      <w:pPr>
        <w:spacing w:after="0" w:line="239" w:lineRule="exact"/>
        <w:rPr>
          <w:rFonts w:ascii="Times New Roman" w:cs="Times New Roman" w:eastAsia="Times New Roman" w:hAnsi="Times New Roman"/>
          <w:sz w:val="20"/>
          <w:szCs w:val="20"/>
          <w:color w:val="auto"/>
        </w:rPr>
      </w:pPr>
    </w:p>
    <w:p>
      <w:pPr>
        <w:spacing w:after="0" w:line="235" w:lineRule="auto"/>
        <w:tabs>
          <w:tab w:leader="none" w:pos="19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 a Person Responsible for Regulatory Compliance (PRRC). Determine classification of device - Class I (self-certified); Class I (sterile, measuring or reusable surgical instrument); Class IIa, Class IIb, or Class III.</w:t>
      </w:r>
    </w:p>
    <w:p>
      <w:pPr>
        <w:spacing w:after="0" w:line="239" w:lineRule="exact"/>
        <w:rPr>
          <w:rFonts w:ascii="Times New Roman" w:cs="Times New Roman" w:eastAsia="Times New Roman" w:hAnsi="Times New Roman"/>
          <w:sz w:val="20"/>
          <w:szCs w:val="20"/>
          <w:color w:val="auto"/>
        </w:rPr>
      </w:pPr>
    </w:p>
    <w:p>
      <w:pPr>
        <w:jc w:val="both"/>
        <w:spacing w:after="0" w:line="237" w:lineRule="auto"/>
        <w:tabs>
          <w:tab w:leader="none" w:pos="21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241" w:lineRule="exact"/>
        <w:rPr>
          <w:rFonts w:ascii="Times New Roman" w:cs="Times New Roman" w:eastAsia="Times New Roman" w:hAnsi="Times New Roman"/>
          <w:sz w:val="20"/>
          <w:szCs w:val="20"/>
          <w:color w:val="auto"/>
        </w:rPr>
      </w:pPr>
    </w:p>
    <w:p>
      <w:pPr>
        <w:jc w:val="both"/>
        <w:spacing w:after="0" w:line="238" w:lineRule="auto"/>
        <w:tabs>
          <w:tab w:leader="none" w:pos="21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240" w:lineRule="exact"/>
        <w:rPr>
          <w:rFonts w:ascii="Times New Roman" w:cs="Times New Roman" w:eastAsia="Times New Roman" w:hAnsi="Times New Roman"/>
          <w:sz w:val="20"/>
          <w:szCs w:val="20"/>
          <w:color w:val="auto"/>
        </w:rPr>
      </w:pPr>
    </w:p>
    <w:p>
      <w:pPr>
        <w:jc w:val="both"/>
        <w:spacing w:after="0" w:line="236" w:lineRule="auto"/>
        <w:tabs>
          <w:tab w:leader="none" w:pos="19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241" w:lineRule="exact"/>
        <w:rPr>
          <w:rFonts w:ascii="Times New Roman" w:cs="Times New Roman" w:eastAsia="Times New Roman" w:hAnsi="Times New Roman"/>
          <w:sz w:val="20"/>
          <w:szCs w:val="20"/>
          <w:color w:val="auto"/>
        </w:rPr>
      </w:pPr>
    </w:p>
    <w:p>
      <w:pPr>
        <w:spacing w:after="0" w:line="234" w:lineRule="auto"/>
        <w:tabs>
          <w:tab w:leader="none" w:pos="193"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231"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except Class I (self-certified), the company will be issued a European CE Marking Certificate for the device and an</w:t>
      </w:r>
    </w:p>
    <w:p>
      <w:pPr>
        <w:spacing w:after="0" w:line="9" w:lineRule="exact"/>
        <w:rPr>
          <w:rFonts w:ascii="Times New Roman" w:cs="Times New Roman" w:eastAsia="Times New Roman" w:hAnsi="Times New Roman"/>
          <w:sz w:val="20"/>
          <w:szCs w:val="20"/>
          <w:color w:val="auto"/>
        </w:rPr>
      </w:pPr>
    </w:p>
    <w:p>
      <w:pPr>
        <w:jc w:val="both"/>
        <w:spacing w:after="0" w:line="23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241" w:lineRule="exact"/>
        <w:rPr>
          <w:rFonts w:ascii="Times New Roman" w:cs="Times New Roman" w:eastAsia="Times New Roman" w:hAnsi="Times New Roman"/>
          <w:sz w:val="20"/>
          <w:szCs w:val="20"/>
          <w:color w:val="auto"/>
        </w:rPr>
      </w:pPr>
    </w:p>
    <w:p>
      <w:pPr>
        <w:spacing w:after="0" w:line="235" w:lineRule="auto"/>
        <w:tabs>
          <w:tab w:leader="none" w:pos="19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239" w:lineRule="exact"/>
        <w:rPr>
          <w:rFonts w:ascii="Times New Roman" w:cs="Times New Roman" w:eastAsia="Times New Roman" w:hAnsi="Times New Roman"/>
          <w:sz w:val="20"/>
          <w:szCs w:val="20"/>
          <w:color w:val="auto"/>
        </w:rPr>
      </w:pPr>
    </w:p>
    <w:p>
      <w:pPr>
        <w:spacing w:after="0" w:line="234" w:lineRule="auto"/>
        <w:tabs>
          <w:tab w:leader="none" w:pos="20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Register the device and its Unique Device Identifier (UDI) in the EUDAMED database. UDI must be on label and associated with the regulatory documents.</w:t>
      </w:r>
    </w:p>
    <w:p>
      <w:pPr>
        <w:spacing w:after="0" w:line="241" w:lineRule="exact"/>
        <w:rPr>
          <w:rFonts w:ascii="Times New Roman" w:cs="Times New Roman" w:eastAsia="Times New Roman" w:hAnsi="Times New Roman"/>
          <w:sz w:val="20"/>
          <w:szCs w:val="20"/>
          <w:color w:val="auto"/>
        </w:rPr>
      </w:pPr>
    </w:p>
    <w:p>
      <w:pPr>
        <w:jc w:val="both"/>
        <w:spacing w:after="0" w:line="253" w:lineRule="auto"/>
        <w:tabs>
          <w:tab w:leader="none" w:pos="31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ectPr>
          <w:pgSz w:w="12240" w:h="15840" w:orient="portrait"/>
          <w:cols w:equalWidth="0" w:num="1">
            <w:col w:w="10800"/>
          </w:cols>
          <w:pgMar w:left="720" w:top="729" w:right="720" w:bottom="155"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729" w:right="720" w:bottom="155" w:gutter="0" w:footer="0" w:header="0"/>
          <w:type w:val="continuous"/>
        </w:sectPr>
      </w:pPr>
    </w:p>
    <w:bookmarkStart w:id="15" w:name="page16"/>
    <w:bookmarkEnd w:id="15"/>
    <w:p>
      <w:pPr>
        <w:jc w:val="both"/>
        <w:spacing w:after="0" w:line="227" w:lineRule="auto"/>
        <w:rPr>
          <w:sz w:val="20"/>
          <w:szCs w:val="20"/>
          <w:color w:val="auto"/>
        </w:rPr>
      </w:pPr>
      <w:r>
        <w:rPr>
          <w:rFonts w:ascii="Times New Roman" w:cs="Times New Roman" w:eastAsia="Times New Roman" w:hAnsi="Times New Roman"/>
          <w:sz w:val="20"/>
          <w:szCs w:val="20"/>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Israel.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230" w:lineRule="exact"/>
        <w:rPr>
          <w:sz w:val="20"/>
          <w:szCs w:val="20"/>
          <w:color w:val="auto"/>
        </w:rPr>
      </w:pPr>
    </w:p>
    <w:p>
      <w:pPr>
        <w:ind w:left="520" w:hanging="514"/>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and address of the manufacturer, and of the importer as applicable;</w:t>
      </w:r>
    </w:p>
    <w:p>
      <w:pPr>
        <w:ind w:left="520" w:hanging="514"/>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the intended use of the medical device and of its medical indications;</w:t>
      </w:r>
    </w:p>
    <w:p>
      <w:pPr>
        <w:spacing w:after="0" w:line="10" w:lineRule="exact"/>
        <w:rPr>
          <w:rFonts w:ascii="Times New Roman" w:cs="Times New Roman" w:eastAsia="Times New Roman" w:hAnsi="Times New Roman"/>
          <w:sz w:val="20"/>
          <w:szCs w:val="20"/>
          <w:color w:val="auto"/>
        </w:rPr>
      </w:pPr>
    </w:p>
    <w:p>
      <w:pPr>
        <w:ind w:left="520" w:hanging="514"/>
        <w:spacing w:after="0" w:line="234" w:lineRule="auto"/>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Technical details of the medical device and of its components, and in the event that the device or the components are not new, information should be provided on the date or renovation;</w:t>
      </w:r>
    </w:p>
    <w:p>
      <w:pPr>
        <w:spacing w:after="0" w:line="11"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 attesting to the safety of the device, issued by a competent authority of one of the following countries: Australia, Canada, European Community (EC), Member States (MSs), Israel, Japan, or the United States;</w:t>
      </w:r>
    </w:p>
    <w:p>
      <w:pPr>
        <w:ind w:left="520" w:hanging="514"/>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on any risk which may be associated with the use of the device (including precautionary measures to be taken);</w:t>
      </w:r>
    </w:p>
    <w:p>
      <w:pPr>
        <w:ind w:left="520" w:hanging="514"/>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Instructions for use of the device in Hebrew; the MOH may allow the instructions to be in English for certain devices;</w:t>
      </w:r>
    </w:p>
    <w:p>
      <w:pPr>
        <w:ind w:left="520" w:hanging="514"/>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the standards to which the device complies;</w:t>
      </w:r>
    </w:p>
    <w:p>
      <w:pPr>
        <w:ind w:left="520" w:hanging="514"/>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Description of the technical and maintenance services, including periodic checks and inspections; and</w:t>
      </w:r>
    </w:p>
    <w:p>
      <w:pPr>
        <w:ind w:left="520" w:hanging="514"/>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Declaration, as appropriate: of the local manufacturer/importer, and of the foreign manufacturer.</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2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220"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Reside and maintain a place of business in Israel and serve as the regulatory representative.</w:t>
      </w:r>
    </w:p>
    <w:p>
      <w:pPr>
        <w:ind w:left="420" w:hanging="412"/>
        <w:spacing w:after="0"/>
        <w:tabs>
          <w:tab w:leader="none" w:pos="4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questions from AMAR concerning the registered products.</w:t>
      </w:r>
    </w:p>
    <w:p>
      <w:pPr>
        <w:ind w:left="420" w:hanging="412"/>
        <w:spacing w:after="0"/>
        <w:tabs>
          <w:tab w:leader="none" w:pos="4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adverse events to AMAR.</w:t>
      </w:r>
    </w:p>
    <w:p>
      <w:pPr>
        <w:ind w:left="420" w:hanging="412"/>
        <w:spacing w:after="0"/>
        <w:tabs>
          <w:tab w:leader="none" w:pos="4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 the registration on time to keep the market approval active.</w:t>
      </w:r>
    </w:p>
    <w:p>
      <w:pPr>
        <w:spacing w:after="0" w:line="24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Comply with post-marketing requirements, including reporting of adverse and unexpected events occurring in Israel or in other countries where the device is in use.</w:t>
      </w:r>
    </w:p>
    <w:p>
      <w:pPr>
        <w:spacing w:after="0" w:line="24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Getting a device listed on Israel’s four major Sick Funds (health insurance entities) is also necessary in order for Israeli hospitals and health care providers to order such products.</w:t>
      </w:r>
    </w:p>
    <w:p>
      <w:pPr>
        <w:spacing w:after="0" w:line="24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24, 2025, we have 21 employees (including full-time and hourly employees).</w:t>
      </w:r>
    </w:p>
    <w:p>
      <w:pPr>
        <w:sectPr>
          <w:pgSz w:w="12240" w:h="15840" w:orient="portrait"/>
          <w:cols w:equalWidth="0" w:num="1">
            <w:col w:w="10800"/>
          </w:cols>
          <w:pgMar w:left="720" w:top="729" w:right="720" w:bottom="155" w:gutter="0" w:footer="0" w:header="0"/>
        </w:sectPr>
      </w:pP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729" w:right="720" w:bottom="155" w:gutter="0" w:footer="0" w:header="0"/>
          <w:type w:val="continuous"/>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9"/>
          <w:szCs w:val="19"/>
          <w:color w:val="auto"/>
        </w:rPr>
        <w:t>Microbot’s Chief Executive Officer, President and Chairman, Harel Gadot, along with 5 other full-time employees, are based in the United States. Additionally, Microbot has 15 full-time employees based in its office located in Yokneam, Israel. These employees oversee day-to-day operations of the Company and leading engineering, manufacturing, intellectual property and administration functions of the Company. In 2025, the Company commenced hiring a commercialization and sales team, in advance of its planned 510(k) clearance from the FDA. The Company expects to continue to increase hirings for that team, assuming it receives clearance.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22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have historically been able to attract and retain top talent by creating a culture that challenges and engages our employees, offering them opportunities to learn, grow and achieve their career goals.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Benefits and Wellbeing</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Leadership, Training and Development</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aim to provide our employees with advanced professional and development skills, so that they can perform effectively in their roles and build their capabilities and career prospects for the future.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Equity and Inclusion</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strive to encourage a diversity of views and to create an equal opportunity workplace. During the past two years, we have increased the total number of women in management positions.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u w:val="single" w:color="auto"/>
          <w:color w:val="auto"/>
        </w:rPr>
        <w:t>Risk Factors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Financial Position and Need for Additional Capital</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Microbot has incurred significant operating losses since its inception and expects to incur significant losses for the foreseeable future as</w:t>
      </w:r>
    </w:p>
    <w:p>
      <w:pPr>
        <w:spacing w:after="0" w:line="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Microbot continues its preclinical and clinical development programs for its existing product candidates, primarily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w:t>
      </w:r>
    </w:p>
    <w:p>
      <w:pPr>
        <w:spacing w:after="0" w:line="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working towards medical device regulatory compliance; and, if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2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or other future product candidates. Microbot does not currently have the required approvals or clearances to market or test in humans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958" w:right="720" w:bottom="155" w:gutter="0" w:footer="0" w:header="0"/>
        </w:sectPr>
      </w:pPr>
    </w:p>
    <w:bookmarkStart w:id="17" w:name="page18"/>
    <w:bookmarkEnd w:id="17"/>
    <w:p>
      <w:pPr>
        <w:jc w:val="both"/>
        <w:spacing w:after="0" w:line="237" w:lineRule="auto"/>
        <w:rPr>
          <w:sz w:val="20"/>
          <w:szCs w:val="20"/>
          <w:color w:val="auto"/>
        </w:rPr>
      </w:pPr>
      <w:r>
        <w:rPr>
          <w:rFonts w:ascii="Times New Roman" w:cs="Times New Roman" w:eastAsia="Times New Roman" w:hAnsi="Times New Roman"/>
          <w:sz w:val="20"/>
          <w:szCs w:val="20"/>
          <w:color w:val="auto"/>
        </w:rPr>
        <w:t>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2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2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2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pre-commercialization planning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2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2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expects the research and development expenses of the Company to continue to increase substantially in future periods as it</w:t>
      </w:r>
    </w:p>
    <w:p>
      <w:pPr>
        <w:spacing w:after="0" w:line="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potentially conducts clinical trials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and especially if it initiates additional research programs for future applications and product candidates. This is the case even with the Company’s past suspension or termination of the research and development programs relating to the SCS device, the technology we originally acquired from CardioSert,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will likely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 in which case it may be unable to meet its obligations or fully implement its business plan, if at all.</w:t>
      </w:r>
    </w:p>
    <w:p>
      <w:pPr>
        <w:spacing w:after="0" w:line="24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The Company intends to continue to opportunistically strengthen its balance sheet by raising additional funds through equity offerings or otherwise in order to meet expected future liquidity needs, including the commercial introduction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The Company’s future capital requirements, generally, will depend on many factors, including:</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729" w:right="720" w:bottom="155" w:gutter="0" w:footer="0" w:header="0"/>
          <w:type w:val="continuous"/>
        </w:sectPr>
      </w:pPr>
    </w:p>
    <w:bookmarkStart w:id="18" w:name="page19"/>
    <w:bookmarkEnd w:id="18"/>
    <w:p>
      <w:pPr>
        <w:ind w:left="520" w:hanging="514"/>
        <w:spacing w:after="0" w:line="234"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outcomes of the product candidates’ regulatory reviews, subsequent approvals or clearances, or other regulatory actions;</w:t>
      </w:r>
    </w:p>
    <w:p>
      <w:pPr>
        <w:spacing w:after="0" w:line="11"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design, duration and any potential delays of the clinical trials that could be conducted at the FDA’s request using Microbot’s product candidates;</w:t>
      </w:r>
    </w:p>
    <w:p>
      <w:pPr>
        <w:ind w:left="520" w:hanging="514"/>
        <w:spacing w:after="0"/>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acquiring, licensing or investing in new and existing businesses, product candidates and technologies;</w:t>
      </w:r>
    </w:p>
    <w:p>
      <w:pPr>
        <w:ind w:left="520" w:hanging="514"/>
        <w:spacing w:after="0"/>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to maintain, expand and defend the scope of Microbot’s intellectual property portfolio;</w:t>
      </w:r>
    </w:p>
    <w:p>
      <w:pPr>
        <w:spacing w:after="0" w:line="10" w:lineRule="exact"/>
        <w:rPr>
          <w:rFonts w:ascii="Times New Roman" w:cs="Times New Roman" w:eastAsia="Times New Roman" w:hAnsi="Times New Roman"/>
          <w:sz w:val="20"/>
          <w:szCs w:val="20"/>
          <w:color w:val="auto"/>
        </w:rPr>
      </w:pPr>
    </w:p>
    <w:p>
      <w:pPr>
        <w:ind w:left="520" w:hanging="514"/>
        <w:spacing w:after="0" w:line="234"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to secure or establish sales, marketing and commercial manufacturing capabilities or arrangements with third parties regarding same;</w:t>
      </w:r>
    </w:p>
    <w:p>
      <w:pPr>
        <w:spacing w:after="0" w:line="1" w:lineRule="exact"/>
        <w:rPr>
          <w:rFonts w:ascii="Times New Roman" w:cs="Times New Roman" w:eastAsia="Times New Roman" w:hAnsi="Times New Roman"/>
          <w:sz w:val="20"/>
          <w:szCs w:val="20"/>
          <w:color w:val="auto"/>
        </w:rPr>
      </w:pPr>
    </w:p>
    <w:p>
      <w:pPr>
        <w:ind w:left="520" w:hanging="514"/>
        <w:spacing w:after="0"/>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need and ability to hire additional management and scientific and medical personnel; and</w:t>
      </w:r>
    </w:p>
    <w:p>
      <w:pPr>
        <w:ind w:left="520" w:hanging="444"/>
        <w:spacing w:after="0"/>
        <w:tabs>
          <w:tab w:leader="none" w:pos="52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to operate as a public company in the United States.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Development and Commercialization of Microbot’s Product Candidates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Unsuccessful studies, trials or procedures relating to product candidates under development or that we may develop, or applications for such candidates, could have a material adverse effect on our prospects.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Failure to successfully complete the studies or trials in a timely and cost-effective manner could have a material adverse effect on</w:t>
      </w:r>
    </w:p>
    <w:p>
      <w:pPr>
        <w:spacing w:after="0" w:line="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Microbot’s prospects with respect to potential future uses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prospects with respect to other uses or other product candidates we may pursue or identify from time to time.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Microbot’s business depends heavily on the success of its sole lead product candidate,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b w:val="1"/>
          <w:bCs w:val="1"/>
          <w:i w:val="1"/>
          <w:iCs w:val="1"/>
          <w:color w:val="auto"/>
        </w:rPr>
        <w:t xml:space="preserve"> Endovascular Robotic Surgical</w:t>
      </w:r>
    </w:p>
    <w:p>
      <w:pPr>
        <w:jc w:val="both"/>
        <w:spacing w:after="0" w:line="208" w:lineRule="auto"/>
        <w:rPr>
          <w:sz w:val="20"/>
          <w:szCs w:val="20"/>
          <w:color w:val="auto"/>
        </w:rPr>
      </w:pPr>
      <w:r>
        <w:rPr>
          <w:rFonts w:ascii="Times New Roman" w:cs="Times New Roman" w:eastAsia="Times New Roman" w:hAnsi="Times New Roman"/>
          <w:sz w:val="20"/>
          <w:szCs w:val="20"/>
          <w:b w:val="1"/>
          <w:bCs w:val="1"/>
          <w:i w:val="1"/>
          <w:iCs w:val="1"/>
          <w:color w:val="auto"/>
        </w:rPr>
        <w:t>System. If Microbot is unable to commercialize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or experiences significant delays in doing so, Microbot’s business will be materially harmed.</w:t>
      </w:r>
    </w:p>
    <w:p>
      <w:pPr>
        <w:spacing w:after="0" w:line="23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Generally, after all necessary clinical and performance data supporting the safety and effectiveness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w:t>
      </w:r>
    </w:p>
    <w:p>
      <w:pPr>
        <w:spacing w:after="0" w:line="207" w:lineRule="auto"/>
        <w:rPr>
          <w:sz w:val="20"/>
          <w:szCs w:val="20"/>
          <w:color w:val="auto"/>
        </w:rPr>
      </w:pPr>
      <w:r>
        <w:rPr>
          <w:rFonts w:ascii="Times New Roman" w:cs="Times New Roman" w:eastAsia="Times New Roman" w:hAnsi="Times New Roman"/>
          <w:sz w:val="19"/>
          <w:szCs w:val="19"/>
          <w:color w:val="auto"/>
        </w:rPr>
        <w:t>commercialization of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or any of our other product candidates from time to time.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The success of commercializing any of our product candidates, include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will depend on a number of factors, including the following:</w:t>
      </w:r>
    </w:p>
    <w:p>
      <w:pPr>
        <w:spacing w:after="0" w:line="230" w:lineRule="exact"/>
        <w:rPr>
          <w:sz w:val="20"/>
          <w:szCs w:val="20"/>
          <w:color w:val="auto"/>
        </w:rPr>
      </w:pPr>
    </w:p>
    <w:p>
      <w:pPr>
        <w:ind w:left="520" w:hanging="514"/>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capital;</w:t>
      </w:r>
    </w:p>
    <w:p>
      <w:pPr>
        <w:spacing w:after="0" w:line="10"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of animal studies and human clinical trials and the collection of sufficient data to demonstrate that the device is safe and effective for its intended use;</w:t>
      </w:r>
    </w:p>
    <w:p>
      <w:pPr>
        <w:spacing w:after="0" w:line="9"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marketing approvals or clearances from the FDA and other applicable regulatory authorities, which we continue to seek;</w:t>
      </w:r>
    </w:p>
    <w:p>
      <w:pPr>
        <w:ind w:left="520" w:hanging="514"/>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commercial manufacturing arrangements with one or more third parties;</w:t>
      </w:r>
    </w:p>
    <w:p>
      <w:pPr>
        <w:ind w:left="520" w:hanging="514"/>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and trade secret protections;</w:t>
      </w:r>
    </w:p>
    <w:p>
      <w:pPr>
        <w:ind w:left="520" w:hanging="514"/>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Microbot’s rights in its intellectual property portfolio;</w:t>
      </w:r>
    </w:p>
    <w:p>
      <w:pPr>
        <w:ind w:left="520" w:hanging="514"/>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sales, marketing and distribution capabilities;</w:t>
      </w:r>
    </w:p>
    <w:p>
      <w:pPr>
        <w:ind w:left="520" w:hanging="514"/>
        <w:spacing w:after="0"/>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generating commercial sales, if and when approved, whether alone or in collaboration with other entities;</w:t>
      </w:r>
    </w:p>
    <w:p>
      <w:pPr>
        <w:spacing w:after="0" w:line="9" w:lineRule="exact"/>
        <w:rPr>
          <w:rFonts w:ascii="Times New Roman" w:cs="Times New Roman" w:eastAsia="Times New Roman" w:hAnsi="Times New Roman"/>
          <w:sz w:val="20"/>
          <w:szCs w:val="20"/>
          <w:color w:val="auto"/>
        </w:rPr>
      </w:pPr>
    </w:p>
    <w:p>
      <w:pPr>
        <w:ind w:left="520" w:hanging="514"/>
        <w:spacing w:after="0" w:line="234" w:lineRule="auto"/>
        <w:tabs>
          <w:tab w:leader="none" w:pos="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our product candidates, if and when commercially launched, by the medical community, patients and third-party payors;</w:t>
      </w:r>
    </w:p>
    <w:p>
      <w:pPr>
        <w:sectPr>
          <w:pgSz w:w="12240" w:h="15840" w:orient="portrait"/>
          <w:cols w:equalWidth="0" w:num="1">
            <w:col w:w="10800"/>
          </w:cols>
          <w:pgMar w:left="720" w:top="729" w:right="720" w:bottom="155" w:gutter="0" w:footer="0" w:header="0"/>
        </w:sectPr>
      </w:pP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729" w:right="720" w:bottom="155" w:gutter="0" w:footer="0" w:header="0"/>
          <w:type w:val="continuous"/>
        </w:sectPr>
      </w:pPr>
    </w:p>
    <w:bookmarkStart w:id="19" w:name="page20"/>
    <w:bookmarkEnd w:id="19"/>
    <w:p>
      <w:pPr>
        <w:ind w:left="520" w:hanging="514"/>
        <w:spacing w:after="0" w:line="234" w:lineRule="auto"/>
        <w:tabs>
          <w:tab w:leader="none" w:pos="5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competing with existing and competitive products on the market and any new competing products that may enter the market; and</w:t>
      </w:r>
    </w:p>
    <w:p>
      <w:pPr>
        <w:spacing w:after="0" w:line="1" w:lineRule="exact"/>
        <w:rPr>
          <w:rFonts w:ascii="Times New Roman" w:cs="Times New Roman" w:eastAsia="Times New Roman" w:hAnsi="Times New Roman"/>
          <w:sz w:val="20"/>
          <w:szCs w:val="20"/>
          <w:color w:val="auto"/>
        </w:rPr>
      </w:pPr>
    </w:p>
    <w:p>
      <w:pPr>
        <w:ind w:left="520" w:hanging="514"/>
        <w:spacing w:after="0"/>
        <w:tabs>
          <w:tab w:leader="none" w:pos="5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quality and an acceptable safety profile of our products following clearance or approval.</w:t>
      </w:r>
    </w:p>
    <w:p>
      <w:pPr>
        <w:spacing w:after="0" w:line="23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0"/>
          <w:szCs w:val="20"/>
          <w:color w:val="auto"/>
        </w:rPr>
        <w:t>We previously suspended our research and development programs for all of our product candidates and platforms other than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as a result of, among other things, some of the above factors, and our short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0"/>
          <w:szCs w:val="20"/>
          <w:color w:val="auto"/>
        </w:rPr>
        <w:t>medium term success is no longer tied to multiple product candidates but rather just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If Microbot does not achieve one or more of these factors in a timely manner or at all, it could experience significant delays or</w:t>
      </w:r>
    </w:p>
    <w:p>
      <w:pPr>
        <w:spacing w:after="0" w:line="5"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an inability to successfully commercialize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 which would materially harm its business.</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 results of Microbot’s research and development efforts are uncertain and there can be no assurance of the commercial success of Microbot’s product candidates.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may not meet its development and commercialization objectives in a timely manner or at all.</w:t>
      </w:r>
    </w:p>
    <w:p>
      <w:pPr>
        <w:spacing w:after="0" w:line="24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0"/>
          <w:szCs w:val="20"/>
          <w:color w:val="auto"/>
        </w:rPr>
        <w:t>Microbot has established internal goals, based upon expectations with respect to its technologies, which Microbot has used to assess its progress toward developing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These goals relate to technology and design</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color w:val="auto"/>
        </w:rPr>
        <w:t>improvements as well as to dates for achieving specific development, commercialization and results. If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exhibits technical defects or are unable to meet cost or performance goals, Microbot’s commercialization schedule could be delayed and potential purchasers may decline to purchase such products or may opt to pursue alternative products, which would materially harm its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Microbot’s ability to expand its technology platforms for other uses may be limited.</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24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b w:val="1"/>
          <w:bCs w:val="1"/>
          <w:i w:val="1"/>
          <w:iCs w:val="1"/>
          <w:color w:val="auto"/>
        </w:rPr>
        <w:t>At this time, Microbot does not know whether the data submitted with its 510(k) application will satisfy all FDA requirements to support clearance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3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Microbot has identified a predicate device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which it used in its 510(k) application. However, there is no guarantee that the FDA will agree with the Company’s determination or that the FDA would accept the predicate device that Microbot submitted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The FDA requires clinical data to be submitted as part of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w:t>
      </w:r>
    </w:p>
    <w:p>
      <w:pPr>
        <w:sectPr>
          <w:pgSz w:w="12240" w:h="15840" w:orient="portrait"/>
          <w:cols w:equalWidth="0" w:num="1">
            <w:col w:w="10800"/>
          </w:cols>
          <w:pgMar w:left="720" w:top="729" w:right="720" w:bottom="155"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729" w:right="720" w:bottom="155" w:gutter="0" w:footer="0" w:header="0"/>
          <w:type w:val="continuous"/>
        </w:sectPr>
      </w:pPr>
    </w:p>
    <w:bookmarkStart w:id="20" w:name="page21"/>
    <w:bookmarkEnd w:id="20"/>
    <w:p>
      <w:pPr>
        <w:jc w:val="both"/>
        <w:spacing w:after="0" w:line="234" w:lineRule="auto"/>
        <w:rPr>
          <w:sz w:val="20"/>
          <w:szCs w:val="20"/>
          <w:color w:val="auto"/>
        </w:rPr>
      </w:pPr>
      <w:r>
        <w:rPr>
          <w:rFonts w:ascii="Times New Roman" w:cs="Times New Roman" w:eastAsia="Times New Roman" w:hAnsi="Times New Roman"/>
          <w:sz w:val="20"/>
          <w:szCs w:val="20"/>
          <w:color w:val="auto"/>
        </w:rPr>
        <w:t>eligibility criteria, failure of patients to complete the clinical trial, delay in or failure to obtain IRB approval to conduct a clinical trial at a prospective site, and shortages of supply in the investigational device.</w:t>
      </w:r>
    </w:p>
    <w:p>
      <w:pPr>
        <w:spacing w:after="0" w:line="23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Thus, the addition of one or more mandatory clinical trials to the development timeline for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w:t>
      </w:r>
    </w:p>
    <w:p>
      <w:pPr>
        <w:spacing w:after="0" w:line="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0"/>
          <w:szCs w:val="20"/>
          <w:color w:val="auto"/>
        </w:rPr>
        <w:t>changes by the FDA could further affect our development plans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a development-stage, clinical-stage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research and development program is dependent on the availability of the component parts that we use to manufacture our</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As a result of the Israel-Hamas war and related conflicts,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the commercial opportunity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and any other commercial products that</w:t>
      </w:r>
    </w:p>
    <w:p>
      <w:pPr>
        <w:spacing w:after="0" w:line="199" w:lineRule="auto"/>
        <w:rPr>
          <w:sz w:val="20"/>
          <w:szCs w:val="20"/>
          <w:color w:val="auto"/>
        </w:rPr>
      </w:pPr>
      <w:r>
        <w:rPr>
          <w:rFonts w:ascii="Times New Roman" w:cs="Times New Roman" w:eastAsia="Times New Roman" w:hAnsi="Times New Roman"/>
          <w:sz w:val="20"/>
          <w:szCs w:val="20"/>
          <w:b w:val="1"/>
          <w:bCs w:val="1"/>
          <w:i w:val="1"/>
          <w:iCs w:val="1"/>
          <w:color w:val="auto"/>
        </w:rPr>
        <w:t>may be developed by Microbot is smaller than Microbot anticipates, Microbot’s future revenue from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b w:val="1"/>
          <w:bCs w:val="1"/>
          <w:i w:val="1"/>
          <w:iCs w:val="1"/>
          <w:color w:val="auto"/>
        </w:rPr>
        <w:t xml:space="preserve"> Endovascular</w:t>
      </w:r>
    </w:p>
    <w:p>
      <w:pPr>
        <w:spacing w:after="0" w:line="222" w:lineRule="auto"/>
        <w:rPr>
          <w:sz w:val="20"/>
          <w:szCs w:val="20"/>
          <w:color w:val="auto"/>
        </w:rPr>
      </w:pPr>
      <w:r>
        <w:rPr>
          <w:rFonts w:ascii="Times New Roman" w:cs="Times New Roman" w:eastAsia="Times New Roman" w:hAnsi="Times New Roman"/>
          <w:sz w:val="20"/>
          <w:szCs w:val="20"/>
          <w:b w:val="1"/>
          <w:bCs w:val="1"/>
          <w:i w:val="1"/>
          <w:iCs w:val="1"/>
          <w:color w:val="auto"/>
        </w:rPr>
        <w:t>Robotic Surgical System and such other products will be adversely affected and Microbot’s business will suffer.</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23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The commercial success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729" w:right="720" w:bottom="155" w:gutter="0" w:footer="0" w:header="0"/>
          <w:type w:val="continuous"/>
        </w:sectPr>
      </w:pPr>
    </w:p>
    <w:bookmarkStart w:id="21" w:name="page22"/>
    <w:bookmarkEnd w:id="21"/>
    <w:p>
      <w:pPr>
        <w:jc w:val="both"/>
        <w:spacing w:after="0" w:line="210" w:lineRule="auto"/>
        <w:rPr>
          <w:sz w:val="20"/>
          <w:szCs w:val="20"/>
          <w:color w:val="auto"/>
        </w:rPr>
      </w:pPr>
      <w:r>
        <w:rPr>
          <w:rFonts w:ascii="Times New Roman" w:cs="Times New Roman" w:eastAsia="Times New Roman" w:hAnsi="Times New Roman"/>
          <w:sz w:val="20"/>
          <w:szCs w:val="20"/>
          <w:color w:val="auto"/>
        </w:rPr>
        <w:t>Customers will be unlikely to buy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unless Microbot can demonstrate that they can be produced for sale to consumers at attractive prices.</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To date, Microbot has focused primarily on research and development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2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has relied on, and intends to continue to rely on, third-party manufacturers to produce its product candidates.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241" w:lineRule="exact"/>
        <w:rPr>
          <w:sz w:val="20"/>
          <w:szCs w:val="20"/>
          <w:color w:val="auto"/>
        </w:rPr>
      </w:pPr>
    </w:p>
    <w:p>
      <w:pPr>
        <w:ind w:left="520" w:hanging="514"/>
        <w:spacing w:after="0"/>
        <w:tabs>
          <w:tab w:leader="none" w:pos="5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limitations on supply availability resulting from capacity, internal operational problems or scheduling constraints of third parties;</w:t>
      </w:r>
    </w:p>
    <w:p>
      <w:pPr>
        <w:spacing w:after="0" w:line="2" w:lineRule="exact"/>
        <w:rPr>
          <w:rFonts w:ascii="Times New Roman" w:cs="Times New Roman" w:eastAsia="Times New Roman" w:hAnsi="Times New Roman"/>
          <w:sz w:val="19"/>
          <w:szCs w:val="19"/>
          <w:color w:val="auto"/>
        </w:rPr>
      </w:pPr>
    </w:p>
    <w:p>
      <w:pPr>
        <w:ind w:left="520" w:hanging="514"/>
        <w:spacing w:after="0"/>
        <w:tabs>
          <w:tab w:leader="none" w:pos="5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regulatory non-compliance or other violations by the third-party manufacturer that could result in quality assurance;</w:t>
      </w:r>
    </w:p>
    <w:p>
      <w:pPr>
        <w:ind w:left="520" w:hanging="514"/>
        <w:spacing w:after="0"/>
        <w:tabs>
          <w:tab w:leader="none" w:pos="5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termination or non-renewal of manufacturing agreements by third parties for various reasons beyond Microbot’s control, at a time that is costly or inconvenient to Microbot.</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Microbot’s product candidates are not considered to be a safe and effective alternative to existing technologies, Microbot will not be commercially successful.</w:t>
      </w:r>
    </w:p>
    <w:p>
      <w:pPr>
        <w:spacing w:after="0" w:line="23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w:t>
      </w:r>
    </w:p>
    <w:p>
      <w:pPr>
        <w:spacing w:after="0" w:line="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data regarding efficacy, safety and clinical outcomes associated with the use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ectPr>
          <w:pgSz w:w="12240" w:h="15840" w:orient="portrait"/>
          <w:cols w:equalWidth="0" w:num="1">
            <w:col w:w="10800"/>
          </w:cols>
          <w:pgMar w:left="720" w:top="722"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722" w:right="720" w:bottom="155" w:gutter="0" w:footer="0" w:header="0"/>
          <w:type w:val="continuous"/>
        </w:sectPr>
      </w:pPr>
    </w:p>
    <w:bookmarkStart w:id="22" w:name="page23"/>
    <w:bookmarkEnd w:id="22"/>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Microbot may be subject to penalties and may be precluded from marketing its product candidates if Microbot fails to comply with extensive governmental regulations.</w:t>
      </w:r>
    </w:p>
    <w:p>
      <w:pPr>
        <w:spacing w:after="0" w:line="2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2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2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As Microbot’s product offerings are used across diverse healthcare settings, they will be affected to varying degrees by the different payment systems.</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729" w:right="720" w:bottom="155" w:gutter="0" w:footer="0" w:header="0"/>
          <w:type w:val="continuous"/>
        </w:sectPr>
      </w:pPr>
    </w:p>
    <w:bookmarkStart w:id="23" w:name="page24"/>
    <w:bookmarkEnd w:id="23"/>
    <w:p>
      <w:pPr>
        <w:jc w:val="both"/>
        <w:spacing w:after="0" w:line="210" w:lineRule="auto"/>
        <w:rPr>
          <w:sz w:val="20"/>
          <w:szCs w:val="20"/>
          <w:color w:val="auto"/>
        </w:rPr>
      </w:pPr>
      <w:r>
        <w:rPr>
          <w:rFonts w:ascii="Times New Roman" w:cs="Times New Roman" w:eastAsia="Times New Roman" w:hAnsi="Times New Roman"/>
          <w:sz w:val="20"/>
          <w:szCs w:val="20"/>
          <w:b w:val="1"/>
          <w:bCs w:val="1"/>
          <w:i w:val="1"/>
          <w:iCs w:val="1"/>
          <w:color w:val="auto"/>
        </w:rPr>
        <w:t>Clinical outcome studies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may not provide sufficient data to make such product candidate the attractive.</w:t>
      </w:r>
    </w:p>
    <w:p>
      <w:pPr>
        <w:spacing w:after="0" w:line="23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Microbot’s business plan with respect to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relies on the broad adoption by doctors of the product for its planned applications.</w:t>
      </w:r>
    </w:p>
    <w:p>
      <w:pPr>
        <w:spacing w:after="0" w:line="23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9"/>
          <w:szCs w:val="19"/>
          <w:color w:val="auto"/>
        </w:rPr>
        <w:t>Clinical studies may not show an advantage in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based procedures in a timely manner, or at all, and outcome studies have not been designed at this time, and may be too large and too costly for Microbot to conduct.</w:t>
      </w:r>
    </w:p>
    <w:p>
      <w:pPr>
        <w:spacing w:after="0" w:line="5"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Both situations could prevent broad adoption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and materially impact Microbot’s business.</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Microbot products may in the future be subject to mandatory product recalls that could harm its reputation, business and financial results.</w:t>
      </w:r>
    </w:p>
    <w:p>
      <w:pPr>
        <w:spacing w:after="0" w:line="2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232" w:lineRule="exact"/>
        <w:rPr>
          <w:sz w:val="20"/>
          <w:szCs w:val="20"/>
          <w:color w:val="auto"/>
        </w:rPr>
      </w:pPr>
    </w:p>
    <w:p>
      <w:pPr>
        <w:ind w:left="520" w:hanging="514"/>
        <w:spacing w:after="0"/>
        <w:tabs>
          <w:tab w:leader="none" w:pos="5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untitled letters, warning letters, fines, injunctions, consent decrees and civil penalties;</w:t>
      </w:r>
    </w:p>
    <w:p>
      <w:pPr>
        <w:ind w:left="520" w:hanging="514"/>
        <w:spacing w:after="0"/>
        <w:tabs>
          <w:tab w:leader="none" w:pos="5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detention or seizure of Microbot products;</w:t>
      </w:r>
    </w:p>
    <w:p>
      <w:pPr>
        <w:ind w:left="520" w:hanging="514"/>
        <w:spacing w:after="0"/>
        <w:tabs>
          <w:tab w:leader="none" w:pos="5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ind w:left="520" w:hanging="514"/>
        <w:spacing w:after="0"/>
        <w:tabs>
          <w:tab w:leader="none" w:pos="5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refusing or delaying requests for 510(k) clearance or premarket approval of new products or modified products;</w:t>
      </w:r>
    </w:p>
    <w:p>
      <w:pPr>
        <w:ind w:left="520" w:hanging="514"/>
        <w:spacing w:after="0"/>
        <w:tabs>
          <w:tab w:leader="none" w:pos="5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withdrawing 510(k) clearances or other types of regulatory authorizations -that have already been granted;</w:t>
      </w:r>
    </w:p>
    <w:p>
      <w:pPr>
        <w:ind w:left="520" w:hanging="514"/>
        <w:spacing w:after="0"/>
        <w:tabs>
          <w:tab w:leader="none" w:pos="5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refusing to grant export approval for Microbot products; or</w:t>
      </w:r>
    </w:p>
    <w:p>
      <w:pPr>
        <w:ind w:left="520" w:hanging="443"/>
        <w:spacing w:after="0"/>
        <w:tabs>
          <w:tab w:leader="none" w:pos="5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prosecution.</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ectPr>
          <w:pgSz w:w="12240" w:h="15840" w:orient="portrait"/>
          <w:cols w:equalWidth="0" w:num="1">
            <w:col w:w="10800"/>
          </w:cols>
          <w:pgMar w:left="720" w:top="722"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722" w:right="720" w:bottom="155" w:gutter="0" w:footer="0" w:header="0"/>
          <w:type w:val="continuous"/>
        </w:sectPr>
      </w:pPr>
    </w:p>
    <w:bookmarkStart w:id="24" w:name="page25"/>
    <w:bookmarkEnd w:id="24"/>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does not carry, and does not intend to carry, any key person life insurance policies on any of its existing executive officers.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International Business</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order for Microbot to market its product candidates in countries other than the United States, it must comply with the safety and quality regulations in such countries.</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23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Although we engaged with a leading notified body to secure a CE Mark for sales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Europe, it is not yet certain as to when we will secure the CE Mark, and we cannot be certain that we will be successful in complying with the requirements of the CE Certificate of Conformity and receiving a CE Mark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other product candidates or in continuing to meet the requirements of the Medical Devices Directive in the European Economic Area (EEA).</w:t>
      </w:r>
    </w:p>
    <w:p>
      <w:pPr>
        <w:spacing w:after="0" w:line="24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operations in international markets involve inherent risks that Microbot may not be able to control.</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ectPr>
          <w:pgSz w:w="12240" w:h="15840" w:orient="portrait"/>
          <w:cols w:equalWidth="0" w:num="1">
            <w:col w:w="10800"/>
          </w:cols>
          <w:pgMar w:left="720" w:top="729" w:right="720" w:bottom="155"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729" w:right="720" w:bottom="155" w:gutter="0" w:footer="0" w:header="0"/>
          <w:type w:val="continuous"/>
        </w:sectPr>
      </w:pPr>
    </w:p>
    <w:bookmarkStart w:id="25" w:name="page26"/>
    <w:bookmarkEnd w:id="25"/>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macroeconomic conditions affecting geographies where Microbot intends to do business;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 of international borders, including as a result of biohazards or pandemics;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rates;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or social unrest or economic instability in a specific country or region;</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costs of doing business in certain foreign countries;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infringement claims on foreign patents, copyrights or trademark rights;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operations across disparate geographic areas;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associated with enforcing agreements and intellectual property rights through foreign legal systems;</w:t>
      </w:r>
    </w:p>
    <w:p>
      <w:pPr>
        <w:spacing w:after="0" w:line="9" w:lineRule="exact"/>
        <w:rPr>
          <w:rFonts w:ascii="Times New Roman" w:cs="Times New Roman" w:eastAsia="Times New Roman" w:hAnsi="Times New Roman"/>
          <w:sz w:val="20"/>
          <w:szCs w:val="20"/>
          <w:color w:val="auto"/>
        </w:rPr>
      </w:pPr>
    </w:p>
    <w:p>
      <w:pPr>
        <w:ind w:left="520" w:hanging="514"/>
        <w:spacing w:after="0" w:line="235" w:lineRule="auto"/>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protection measures and other regulatory requirements, which affect Microbot’s ability to import or export its product candidates from or to various countries;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legal and regulatory requirements;</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military conflict, terrorist activities, natural disasters and medical epidemics; and</w:t>
      </w:r>
    </w:p>
    <w:p>
      <w:pPr>
        <w:ind w:left="520" w:hanging="514"/>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Microbot’s ability to recruit and retain channel partners in foreign jurisdictions.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Microbot’s financial results may be affected by fluctuations in exchange rates and Microbot’s current currency hedging strategy may not be sufficient to counter such fluctuations.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Intellectual Property</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and infringement claims could cause Microbot to incur significant expenses or prevent Microbot from selling certain of its product candidates.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w:t>
      </w:r>
    </w:p>
    <w:p>
      <w:pPr>
        <w:spacing w:after="0" w:line="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patents, including the remaining TRDF licensed patents that relate to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ectPr>
          <w:pgSz w:w="12240" w:h="15840" w:orient="portrait"/>
          <w:cols w:equalWidth="0" w:num="1">
            <w:col w:w="10800"/>
          </w:cols>
          <w:pgMar w:left="720" w:top="719" w:right="720" w:bottom="155"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719" w:right="720" w:bottom="155" w:gutter="0" w:footer="0" w:header="0"/>
          <w:type w:val="continuous"/>
        </w:sectPr>
      </w:pPr>
    </w:p>
    <w:bookmarkStart w:id="26" w:name="page27"/>
    <w:bookmarkEnd w:id="26"/>
    <w:p>
      <w:pPr>
        <w:jc w:val="both"/>
        <w:spacing w:after="0" w:line="238" w:lineRule="auto"/>
        <w:rPr>
          <w:sz w:val="20"/>
          <w:szCs w:val="20"/>
          <w:color w:val="auto"/>
        </w:rPr>
      </w:pPr>
      <w:r>
        <w:rPr>
          <w:rFonts w:ascii="Times New Roman" w:cs="Times New Roman" w:eastAsia="Times New Roman" w:hAnsi="Times New Roman"/>
          <w:sz w:val="20"/>
          <w:szCs w:val="20"/>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2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23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Operations in Israel</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2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ongoing risks of operating in Israel are being exacerbated as a result of the October 7, 2023 surprise attack by hostile forces from Gaza, which led to Israeli military operation at first in Gaza and then in Lebanon. These include security and economic risks, risks relating to our ability to sell or buy internationally, risk of economic instability, risk of exchange rate fluctuation negatively affecting operating costs, and the risk of employees leaving to perform military service. These military operations and related activities, such as the recent collapse of the Assad regime in Syria and Israel’s subsequent military operations in Syria, and the recent escalation of military operations by and against the Houthis in Yemen, are on-going as of the filing date of this Annual Report on Form 10-K, although there have been temporary cease fires in such military operations from time to time.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considered various ongoing risks relating to the military operation and related matters, including:</w:t>
      </w:r>
    </w:p>
    <w:p>
      <w:pPr>
        <w:spacing w:after="0" w:line="239" w:lineRule="exact"/>
        <w:rPr>
          <w:sz w:val="20"/>
          <w:szCs w:val="20"/>
          <w:color w:val="auto"/>
        </w:rPr>
      </w:pPr>
    </w:p>
    <w:p>
      <w:pPr>
        <w:ind w:left="520" w:hanging="514"/>
        <w:spacing w:after="0" w:line="235" w:lineRule="auto"/>
        <w:tabs>
          <w:tab w:leader="none" w:pos="5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some of our Israeli subcontractors, vendors, suppliers and other companies in which the Company relies, are currently only partially active, as instructed by the relevant authorities; and</w:t>
      </w:r>
    </w:p>
    <w:p>
      <w:pPr>
        <w:ind w:left="520" w:hanging="514"/>
        <w:spacing w:after="0"/>
        <w:tabs>
          <w:tab w:leader="none" w:pos="5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slowdown in the number of international flights in and out of Israel.</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Annual Report on Form 10-K, the Company has determined that there have not been any materially adverse effects on its business or operations, but it continues to monitor the situation, as any collapse of a cease-fire from time to time or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729" w:right="720" w:bottom="155"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has facilities located in Israel, and therefore, political conditions in Israel may affect Microbot’s operations and results.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relations could limit Microbot’s ability to sell or buy internationally.</w:t>
      </w: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Israel’s economy may become unstable.</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Exchange rate fluctuations between the U.S. dollar and the NIS currencies may negatively affect Microbot’s operating costs.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Microbot’s research and development efforts from inception until now have been financed in part through such Israeli Innovation Authority royalty bearing grants in an aggregate amount of approximately $1.9 million through December 31, 2024. During 2023</w:t>
      </w:r>
    </w:p>
    <w:p>
      <w:pPr>
        <w:sectPr>
          <w:pgSz w:w="12240" w:h="15840" w:orient="portrait"/>
          <w:cols w:equalWidth="0" w:num="1">
            <w:col w:w="10800"/>
          </w:cols>
          <w:pgMar w:left="720" w:top="719" w:right="720" w:bottom="155"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719" w:right="720" w:bottom="155"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through December 31, 2024, total grants approved from the Israeli Innovation Authority was in the amount of approximately NIS 1.6</w:t>
      </w:r>
    </w:p>
    <w:p>
      <w:pPr>
        <w:spacing w:after="0" w:line="3"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million, to further finance the development of the Company’s manufacturing process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Furthermore the Company received approval for a grant from the Ministry of Economy of the State of Israel in the amount of</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approximately NIS 300,000, to further finance the marketing activities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the U.S. market.</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addition, as a result of our 2022 agreement with Nitiloop, we took over the liability to repay Nitiloop’s IIA grants in the amount of approximately $925,000.</w:t>
      </w:r>
    </w:p>
    <w:p>
      <w:pPr>
        <w:spacing w:after="0" w:line="24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Some of Microbot’s employees are obligated to perform military reserve duty in Israel.</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 may be difficult to enforce a non-Israeli judgment against Microbot or its officers and directors.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Securities, Governance and Other Matters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2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w:t>
      </w:r>
    </w:p>
    <w:p>
      <w:pPr>
        <w:sectPr>
          <w:pgSz w:w="12240" w:h="15840" w:orient="portrait"/>
          <w:cols w:equalWidth="0" w:num="1">
            <w:col w:w="10800"/>
          </w:cols>
          <w:pgMar w:left="720" w:top="719" w:right="720" w:bottom="155" w:gutter="0" w:footer="0" w:header="0"/>
        </w:sectPr>
      </w:pP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719" w:right="720" w:bottom="155" w:gutter="0" w:footer="0" w:header="0"/>
          <w:type w:val="continuous"/>
        </w:sectPr>
      </w:pPr>
    </w:p>
    <w:bookmarkStart w:id="29" w:name="page30"/>
    <w:bookmarkEnd w:id="29"/>
    <w:p>
      <w:pPr>
        <w:jc w:val="both"/>
        <w:spacing w:after="0" w:line="239" w:lineRule="auto"/>
        <w:rPr>
          <w:sz w:val="20"/>
          <w:szCs w:val="20"/>
          <w:color w:val="auto"/>
        </w:rPr>
      </w:pPr>
      <w:r>
        <w:rPr>
          <w:rFonts w:ascii="Times New Roman" w:cs="Times New Roman" w:eastAsia="Times New Roman" w:hAnsi="Times New Roman"/>
          <w:sz w:val="20"/>
          <w:szCs w:val="20"/>
          <w:color w:val="auto"/>
        </w:rPr>
        <w:t>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cash dividends on our common stock.</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2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social and geopolitical conditions can adversely affect our business.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Political, social and geopolitical conditions in the markets in which our products are expected to be sold have been and could continue to be difficult to predict, resulting in adverse effects on our business. The results of elections, referendums or other political conditions (including government shutdowns), geopolitical events and tensions, wars and other military conflicts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 retaliatory tariffs against certain countries or covering certain products or ingredients, sanctions, environmental and climate change regulations, taxes, benefit programs, the movement of goods, services and people between countries, relationships between countries, customer or consumer perception of a particular country or its government and other matters. Such conditions have resulted in and could continue to result in exchange rate fluctuation, limitations on access to credit markets and other corporate banking services, including working capital facilities, volatility in global stock markets and global economic uncertainty and heightened risk to employee safety, any of which can adversely affect our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uncertainty may have an adverse impact on our operating performance and results of operations.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It is presently unclear as to all of the actions the second Trump administration in the U.S. will implement, and if implemented, how these actions may impact us or how we operate in the U.S., particularly any changes in personnel or processes or procedures at the FDA. Any actions taken by the Trump administration, including the many recent executive orders, may have a negative impact on the U.S. economy in general and on our business, financial condition, and results of operations in particular, especially if any such impact delays our planned 510(k) approval.</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729" w:right="720" w:bottom="155" w:gutter="0" w:footer="0" w:header="0"/>
          <w:type w:val="continuous"/>
        </w:sectPr>
      </w:pPr>
    </w:p>
    <w:bookmarkStart w:id="30" w:name="page31"/>
    <w:bookmarkEnd w:id="30"/>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the Company’s investors, restrict its operations or require it to relinquish rights to its technologies or product candidates.</w:t>
      </w:r>
    </w:p>
    <w:p>
      <w:pPr>
        <w:spacing w:after="0" w:line="2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2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w:t>
      </w:r>
    </w:p>
    <w:p>
      <w:pPr>
        <w:spacing w:after="0" w:line="4"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and any other products that it may from time to time seek to develop or commercialize in the future.</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0"/>
          <w:szCs w:val="20"/>
          <w:color w:val="auto"/>
        </w:rPr>
        <w:t>effective, are more convenient or are less expensive than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and 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technology failures and data security breaches could harm our business.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use information technology, digital communications and other computer resources to carry out important operational and marketing activities and to maintain our business records. We have implemented systems and processes intended to address ongoing and evolving cyber security risks, secure our information technology, applications and computer systems, and prevent unauthorized access to or loss of sensitive, confidential and personal data. We also depend on various partners and providers, and our software partners, to secure personal identifiable and confidential information. We provide regular personnel awareness training regarding potential cyber security threats, including the use of internal tips, reminders and phishing assessments, to help ensure employees remain diligent in identifying potential risks. In addition, we have deployed monitoring capabilities to support early detection, internal and external escalation, and effective responses to potential anomalies. However, cyberattacks or other security breaches may remain undetected over an extended period of time and may not be addressed in a timely manner to minimize the impact, which could result in substantial costs. Many of our information technology and other computer resources are provided to us and/or maintained on our behalf by third-party service providers pursuant to agreements that specify to varying degrees certain security and service level standards. We also rely upon our third-party service providers to maintain effective cyber security measures to keep our information secure and to carry cyber insurance. Although we and our service providers employ what we believe are adequate security, disaster recovery and other preventative and corrective measures, our security measures, taken as a whole, may not be sufficient for all possible situations and may be vulnerable to, among other things, hacking, employee error, system error and faulty password management.</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Our ability to conduct our business may be impaired if these information technology and computer resources, including our website and customer-facing applications, are compromised, degraded or damaged or if they fail, whether due to a virus or other harmful circumstance, intentional penetration or disruption of our information technology resources by a third party, natural disaster, hardware or software corruption or failure or error (including a failure of security controls incorporated into or applied to such hardware or software), telecommunications system failure, service provider error or failure or intentional or unintentional personnel actions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729" w:right="720" w:bottom="155" w:gutter="0" w:footer="0" w:header="0"/>
        </w:sectPr>
      </w:pPr>
    </w:p>
    <w:bookmarkStart w:id="31" w:name="page32"/>
    <w:bookmarkEnd w:id="31"/>
    <w:p>
      <w:pPr>
        <w:jc w:val="both"/>
        <w:spacing w:after="0" w:line="236" w:lineRule="auto"/>
        <w:rPr>
          <w:sz w:val="20"/>
          <w:szCs w:val="20"/>
          <w:color w:val="auto"/>
        </w:rPr>
      </w:pPr>
      <w:r>
        <w:rPr>
          <w:rFonts w:ascii="Times New Roman" w:cs="Times New Roman" w:eastAsia="Times New Roman" w:hAnsi="Times New Roman"/>
          <w:sz w:val="20"/>
          <w:szCs w:val="20"/>
          <w:color w:val="auto"/>
        </w:rPr>
        <w:t>(including the failure to follow our security protocols), or lost connectivity to our networked resources. A significant disruption in the functioning of these resources, or breach thereof, including our website, could damage our reputation and cause us to lose customers, sales and revenue.</w:t>
      </w: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In addition, breaches of our information technology systems or data security systems, including cyberattacks and malicious uses of artificial intelligence, could result in the unintended and/or unauthorized public disclosure or the misappropriation of proprietary, personal identifying and confidential information (including information we collect and retain in connection with our business, business partners and employees), and require us to incur significant expense (that we may not be able to recover in whole or in part from our service providers or responsible parties, or their or our insurers) to address and remediate or otherwise resolve. The unintended and/or unauthorized public disclosure or the misappropriation of proprietary, personal identifying or confidential information may also lead to litigation or other proceedings against us by affected individuals and/or business partners and/or by regulators, and the outcome of such proceedings, which could include losses, penalties, fines, injunctions, expenses and charges recorded against our earnings, could have a material and adverse effect on our financial condition, results of operations and cash flows and harm our reputation. In addition, the costs of maintaining adequate protection against such threats, based on considerations of their evolution, increasing sophistication, pervasiveness and frequency and/or increasingly demanding government-mandated standards or obligations regarding information security and privacy, could be material to our consolidated financial statements in a particular period or over various periods.</w:t>
      </w:r>
    </w:p>
    <w:p>
      <w:pPr>
        <w:spacing w:after="0" w:line="2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have in the past and may again in the future pursue other acquisitions of businesses and technologies. Acquisitions entail numerous risks, including:</w:t>
      </w:r>
    </w:p>
    <w:p>
      <w:pPr>
        <w:spacing w:after="0" w:line="232" w:lineRule="exact"/>
        <w:rPr>
          <w:sz w:val="20"/>
          <w:szCs w:val="20"/>
          <w:color w:val="auto"/>
        </w:rPr>
      </w:pPr>
    </w:p>
    <w:p>
      <w:pPr>
        <w:ind w:left="620" w:hanging="614"/>
        <w:spacing w:after="0"/>
        <w:tabs>
          <w:tab w:leader="none" w:pos="6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the integration of acquired operations, services and products;</w:t>
      </w:r>
    </w:p>
    <w:p>
      <w:pPr>
        <w:ind w:left="620" w:hanging="614"/>
        <w:spacing w:after="0"/>
        <w:tabs>
          <w:tab w:leader="none" w:pos="6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achieve expected synergies;</w:t>
      </w:r>
    </w:p>
    <w:p>
      <w:pPr>
        <w:ind w:left="620" w:hanging="614"/>
        <w:spacing w:after="0"/>
        <w:tabs>
          <w:tab w:leader="none" w:pos="6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other business concerns;</w:t>
      </w:r>
    </w:p>
    <w:p>
      <w:pPr>
        <w:ind w:left="620" w:hanging="614"/>
        <w:spacing w:after="0"/>
        <w:tabs>
          <w:tab w:leader="none" w:pos="6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 of unknown material liabilities of acquired companies;</w:t>
      </w:r>
    </w:p>
    <w:p>
      <w:pPr>
        <w:ind w:left="620" w:hanging="614"/>
        <w:spacing w:after="0"/>
        <w:tabs>
          <w:tab w:leader="none" w:pos="6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acquired intangible assets, which could reduce future reported earnings;</w:t>
      </w:r>
    </w:p>
    <w:p>
      <w:pPr>
        <w:ind w:left="620" w:hanging="614"/>
        <w:spacing w:after="0"/>
        <w:tabs>
          <w:tab w:leader="none" w:pos="6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funding to properly and adequately develop and commercialize the technologies acquired;</w:t>
      </w:r>
    </w:p>
    <w:p>
      <w:pPr>
        <w:ind w:left="620" w:hanging="614"/>
        <w:spacing w:after="0"/>
        <w:tabs>
          <w:tab w:leader="none" w:pos="6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loss of clients or key employees of acquired companies; and</w:t>
      </w:r>
    </w:p>
    <w:p>
      <w:pPr>
        <w:ind w:left="620" w:hanging="532"/>
        <w:spacing w:after="0"/>
        <w:tabs>
          <w:tab w:leader="none" w:pos="6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dilution to existing stockholders.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for our common stock may be volatile.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market price for our common stock may be volatile and subject to wide fluctuations in response to factors including the following:</w:t>
      </w:r>
    </w:p>
    <w:p>
      <w:pPr>
        <w:spacing w:after="0" w:line="231" w:lineRule="exact"/>
        <w:rPr>
          <w:sz w:val="20"/>
          <w:szCs w:val="20"/>
          <w:color w:val="auto"/>
        </w:rPr>
      </w:pPr>
    </w:p>
    <w:p>
      <w:pPr>
        <w:ind w:left="620" w:hanging="614"/>
        <w:spacing w:after="0"/>
        <w:tabs>
          <w:tab w:leader="none" w:pos="6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w:t>
      </w:r>
    </w:p>
    <w:p>
      <w:pPr>
        <w:ind w:left="620" w:hanging="614"/>
        <w:spacing w:after="0"/>
        <w:tabs>
          <w:tab w:leader="none" w:pos="6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or operational estimates or projections;</w:t>
      </w:r>
    </w:p>
    <w:p>
      <w:pPr>
        <w:ind w:left="620" w:hanging="614"/>
        <w:spacing w:after="0"/>
        <w:tabs>
          <w:tab w:leader="none" w:pos="6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in markets generally;</w:t>
      </w:r>
    </w:p>
    <w:p>
      <w:pPr>
        <w:ind w:left="620" w:hanging="614"/>
        <w:spacing w:after="0"/>
        <w:tabs>
          <w:tab w:leader="none" w:pos="6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economic performance or market valuations of companies similar to ours;</w:t>
      </w:r>
    </w:p>
    <w:p>
      <w:pPr>
        <w:spacing w:after="0" w:line="9" w:lineRule="exact"/>
        <w:rPr>
          <w:rFonts w:ascii="Times New Roman" w:cs="Times New Roman" w:eastAsia="Times New Roman" w:hAnsi="Times New Roman"/>
          <w:sz w:val="20"/>
          <w:szCs w:val="20"/>
          <w:color w:val="auto"/>
        </w:rPr>
      </w:pPr>
    </w:p>
    <w:p>
      <w:pPr>
        <w:ind w:left="620" w:hanging="614"/>
        <w:spacing w:after="0" w:line="235" w:lineRule="auto"/>
        <w:tabs>
          <w:tab w:leader="none" w:pos="6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new products, acquisitions, strategic partnerships, joint ventures or capital commitments;</w:t>
      </w:r>
    </w:p>
    <w:p>
      <w:pPr>
        <w:ind w:left="620" w:hanging="614"/>
        <w:spacing w:after="0"/>
        <w:tabs>
          <w:tab w:leader="none" w:pos="6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intellectual property position; and</w:t>
      </w:r>
    </w:p>
    <w:p>
      <w:pPr>
        <w:ind w:left="620" w:hanging="614"/>
        <w:spacing w:after="0"/>
        <w:tabs>
          <w:tab w:leader="none" w:pos="6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or political conditions in the United States, Israel or elsewhere.</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ectPr>
          <w:pgSz w:w="12240" w:h="15840" w:orient="portrait"/>
          <w:cols w:equalWidth="0" w:num="1">
            <w:col w:w="10800"/>
          </w:cols>
          <w:pgMar w:left="720" w:top="729" w:right="720" w:bottom="155"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729" w:right="720" w:bottom="155" w:gutter="0" w:footer="0" w:header="0"/>
          <w:type w:val="continuous"/>
        </w:sectPr>
      </w:pPr>
    </w:p>
    <w:bookmarkStart w:id="32" w:name="page33"/>
    <w:bookmarkEnd w:id="32"/>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The issuance of shares upon exercise of outstanding warrants and options could cause immediate and substantial dilution to existing stockholders.</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u w:val="single" w:color="auto"/>
          <w:color w:val="auto"/>
        </w:rPr>
        <w:t>Unresolved Staff Comments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1C. </w:t>
      </w:r>
      <w:r>
        <w:rPr>
          <w:rFonts w:ascii="Times New Roman" w:cs="Times New Roman" w:eastAsia="Times New Roman" w:hAnsi="Times New Roman"/>
          <w:sz w:val="20"/>
          <w:szCs w:val="20"/>
          <w:b w:val="1"/>
          <w:bCs w:val="1"/>
          <w:u w:val="single" w:color="auto"/>
          <w:color w:val="auto"/>
        </w:rPr>
        <w:t>Cybersecurity</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Since our formation, we have been primarily focused on research and development activities and pursuing FDA approval of our planned products, and recently commenced building our commercial team. We have 22 employees and currently use third-party vendors and service providers for certain product development and regulatory approval activities.</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We use a third-party sub-contractor to manage all Information Technology (IT) issues, including protection against, detection, and response to cyberattacks.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measures that are taken to ensure proper protection include:</w:t>
      </w:r>
    </w:p>
    <w:p>
      <w:pPr>
        <w:spacing w:after="0" w:line="239" w:lineRule="exact"/>
        <w:rPr>
          <w:sz w:val="20"/>
          <w:szCs w:val="20"/>
          <w:color w:val="auto"/>
        </w:rPr>
      </w:pPr>
    </w:p>
    <w:p>
      <w:pPr>
        <w:jc w:val="both"/>
        <w:ind w:left="620" w:hanging="614"/>
        <w:spacing w:after="0" w:line="237" w:lineRule="auto"/>
        <w:tabs>
          <w:tab w:leader="none" w:pos="6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computers are protected using a cloud-powered endpoint security solution that helps enterprises prevent, detect, investigate, and respond to advanced threats on their networks. It offers endpoint protection, endpoint detection and response, mobile threat defense, and integrated vulnerability management. It also provides, among other things, malware and spyware detection and remediation, rootkit detection and remediation and network vulnerability detection.</w:t>
      </w:r>
    </w:p>
    <w:p>
      <w:pPr>
        <w:spacing w:after="0" w:line="2" w:lineRule="exact"/>
        <w:rPr>
          <w:rFonts w:ascii="Times New Roman" w:cs="Times New Roman" w:eastAsia="Times New Roman" w:hAnsi="Times New Roman"/>
          <w:sz w:val="20"/>
          <w:szCs w:val="20"/>
          <w:color w:val="auto"/>
        </w:rPr>
      </w:pPr>
    </w:p>
    <w:p>
      <w:pPr>
        <w:ind w:left="620" w:hanging="614"/>
        <w:spacing w:after="0"/>
        <w:tabs>
          <w:tab w:leader="none" w:pos="6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Company computer hard drives are automatically encrypted.</w:t>
      </w:r>
    </w:p>
    <w:p>
      <w:pPr>
        <w:spacing w:after="0" w:line="10" w:lineRule="exact"/>
        <w:rPr>
          <w:rFonts w:ascii="Times New Roman" w:cs="Times New Roman" w:eastAsia="Times New Roman" w:hAnsi="Times New Roman"/>
          <w:sz w:val="20"/>
          <w:szCs w:val="20"/>
          <w:color w:val="auto"/>
        </w:rPr>
      </w:pPr>
    </w:p>
    <w:p>
      <w:pPr>
        <w:ind w:left="620" w:hanging="614"/>
        <w:spacing w:after="0" w:line="234" w:lineRule="auto"/>
        <w:tabs>
          <w:tab w:leader="none" w:pos="6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Company e-mails are protected by a cloud-based email filtering service designed to protect the Company against advanced threats related to email and collaboration tools.</w:t>
      </w:r>
    </w:p>
    <w:p>
      <w:pPr>
        <w:spacing w:after="0" w:line="1" w:lineRule="exact"/>
        <w:rPr>
          <w:rFonts w:ascii="Times New Roman" w:cs="Times New Roman" w:eastAsia="Times New Roman" w:hAnsi="Times New Roman"/>
          <w:sz w:val="20"/>
          <w:szCs w:val="20"/>
          <w:color w:val="auto"/>
        </w:rPr>
      </w:pPr>
    </w:p>
    <w:p>
      <w:pPr>
        <w:ind w:left="620" w:hanging="614"/>
        <w:spacing w:after="0"/>
        <w:tabs>
          <w:tab w:leader="none" w:pos="6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Periodically, all users on the Company’s computer network are required to perform multi-factor authentication.</w:t>
      </w:r>
    </w:p>
    <w:p>
      <w:pPr>
        <w:ind w:left="620" w:hanging="614"/>
        <w:spacing w:after="0"/>
        <w:tabs>
          <w:tab w:leader="none" w:pos="6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uses a cloud-based identity and access management service that enables access to external resources.</w:t>
      </w:r>
    </w:p>
    <w:p>
      <w:pPr>
        <w:ind w:left="620" w:hanging="614"/>
        <w:spacing w:after="0"/>
        <w:tabs>
          <w:tab w:leader="none" w:pos="6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Backup is performed using a secure, automatic cloud-based backup and restore service.</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Additionally, we believe that our third-party vendors and service providers have their own respective cybersecurity protocols which our management believes to be adequate for protecting any of the Company’s data that might be in their possession from time to time; however, having such protocols is not necessarily a condition for us using or not using the services of any such vendors or providers.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Chief Technology Officer and General Manager is responsible for assessing and managing cybersecurity risks, through his oversight of our IT service provider that manages our IT, but he does not have specific cybersecurity expertise. The Company has an Information Technology Policy that, among other things, governs and provides for cybersecurity policies and processes, including to define safety measures to protect the Company’s confidentiality, integrity and availability of data and other intellectual property, as well as to define the manner in which information is stored, saved and routed in the Company’s network. Additionally, the Board and management believe cybersecurity represents an important component of the Company’s overall approach to risk management and oversight, especially as the Company moves towards commercialization of its first product.</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Cybersecurity threats have not materially affected, and are not reasonably likely to affect, the Company, including its business strategy, results of operations or financial condition while we are strategically focused on pursuing FDA approval and have pre-commercial operations. The Company is not aware of any material security breach to date. Accordingly, the Company has not incurred any material expenses over the last two years relating to information security breaches. The occurrence of cyber-incidents, or a deficiency in our cybersecurity or in those of any of our third-party service providers could negatively impact our business by causing a disruption to our operations, a compromise or corruption of our confidential information and systems, or damage to our business relationships or reputation, all of which could negatively impact our business and results of operations. There can be no assurance that the Company’s third-party vendors’ and service providers’ cybersecurity risk management processes, including their policies, controls or procedures, will be fully implemented, complied with or effective in protecting the Company’s systems and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u w:val="single" w:color="auto"/>
          <w:color w:val="auto"/>
        </w:rPr>
        <w:t>Description of Property.</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These facilities are expected to provide the space and infrastructure necessary to accommodate its commercial and business development work based on its current operating plan. Microbot does not own any real property.</w:t>
      </w:r>
    </w:p>
    <w:p>
      <w:pPr>
        <w:sectPr>
          <w:pgSz w:w="12240" w:h="15840" w:orient="portrait"/>
          <w:cols w:equalWidth="0" w:num="1">
            <w:col w:w="10800"/>
          </w:cols>
          <w:pgMar w:left="720" w:top="729" w:right="720" w:bottom="155"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729" w:right="720" w:bottom="155"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u w:val="single" w:color="auto"/>
          <w:color w:val="auto"/>
        </w:rPr>
        <w:t>Legal Proceedings.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u w:val="single" w:color="auto"/>
          <w:color w:val="auto"/>
        </w:rPr>
        <w:t>Mine Safety Disclosures</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u w:val="single" w:color="auto"/>
          <w:color w:val="auto"/>
        </w:rPr>
        <w:t>Market for Registrant’s Common Equity, Related Stockholder Matters and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Purchases of Equity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Capital Market under the symbol “MBOT” since November 29, 2016.</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As of March 24, 2025, there were approximately 117 holders of record of our common stock, and the closing price of our common stock as reported on the NASDAQ Capital Market was $1.60.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 Table</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following table provides information about shares of our common stock that may be issued upon the exercise of options under all of our existing compensation plans as of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Weighted-average exercise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Number of securities to be issued</w:t>
            </w:r>
          </w:p>
        </w:tc>
        <w:tc>
          <w:tcPr>
            <w:tcW w:w="100" w:type="dxa"/>
            <w:vAlign w:val="bottom"/>
          </w:tcPr>
          <w:p>
            <w:pPr>
              <w:spacing w:after="0"/>
              <w:rPr>
                <w:sz w:val="20"/>
                <w:szCs w:val="20"/>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price of outstanding options,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Number of securities</w:t>
            </w:r>
          </w:p>
        </w:tc>
      </w:tr>
      <w:tr>
        <w:trPr>
          <w:trHeight w:val="229"/>
        </w:trPr>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upon exercise of outstanding options,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warrants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remaining available for</w:t>
            </w:r>
          </w:p>
        </w:tc>
      </w:tr>
      <w:tr>
        <w:trPr>
          <w:trHeight w:val="231"/>
        </w:trPr>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warrants and rights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and rights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future issuance</w:t>
            </w:r>
          </w:p>
        </w:tc>
      </w:tr>
      <w:tr>
        <w:trPr>
          <w:trHeight w:val="229"/>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Plan Category</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approved by security holders: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29"/>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2017 Equity Incentive Plan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467,133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156,585</w:t>
            </w:r>
          </w:p>
        </w:tc>
      </w:tr>
      <w:tr>
        <w:trPr>
          <w:trHeight w:val="230"/>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2020 Omnibus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0"/>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Performance Award Plan</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1,890,810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729,842</w:t>
            </w:r>
          </w:p>
        </w:tc>
      </w:tr>
      <w:tr>
        <w:trPr>
          <w:trHeight w:val="229"/>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 approved by security</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holders:</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29"/>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Microbot Israel Employee</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 Option Plan(1)</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25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 Options (2)</w:t>
            </w: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77, 846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100" w:type="dxa"/>
            <w:vAlign w:val="bottom"/>
            <w:gridSpan w:val="2"/>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3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2,497,366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886,427</w:t>
            </w:r>
          </w:p>
        </w:tc>
      </w:tr>
      <w:tr>
        <w:trPr>
          <w:trHeight w:val="20"/>
        </w:trPr>
        <w:tc>
          <w:tcPr>
            <w:tcW w:w="2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jc w:val="both"/>
        <w:ind w:left="240" w:hanging="233"/>
        <w:spacing w:after="0" w:line="236" w:lineRule="auto"/>
        <w:rPr>
          <w:sz w:val="20"/>
          <w:szCs w:val="20"/>
          <w:color w:val="auto"/>
        </w:rPr>
      </w:pPr>
      <w:r>
        <w:rPr>
          <w:rFonts w:ascii="Times New Roman" w:cs="Times New Roman" w:eastAsia="Times New Roman" w:hAnsi="Times New Roman"/>
          <w:sz w:val="20"/>
          <w:szCs w:val="20"/>
          <w:color w:val="auto"/>
        </w:rPr>
        <w:t>(1)Such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2" w:lineRule="exact"/>
        <w:rPr>
          <w:sz w:val="20"/>
          <w:szCs w:val="20"/>
          <w:color w:val="auto"/>
        </w:rPr>
      </w:pPr>
    </w:p>
    <w:p>
      <w:pPr>
        <w:jc w:val="both"/>
        <w:ind w:left="240" w:hanging="233"/>
        <w:spacing w:after="0" w:line="237" w:lineRule="auto"/>
        <w:rPr>
          <w:sz w:val="20"/>
          <w:szCs w:val="20"/>
          <w:color w:val="auto"/>
        </w:rPr>
      </w:pPr>
      <w:r>
        <w:rPr>
          <w:rFonts w:ascii="Times New Roman" w:cs="Times New Roman" w:eastAsia="Times New Roman" w:hAnsi="Times New Roman"/>
          <w:sz w:val="20"/>
          <w:szCs w:val="20"/>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u w:val="single" w:color="auto"/>
          <w:color w:val="auto"/>
        </w:rPr>
        <w:t>[Reserved]</w:t>
      </w:r>
    </w:p>
    <w:p>
      <w:pPr>
        <w:sectPr>
          <w:pgSz w:w="12240" w:h="15840" w:orient="portrait"/>
          <w:cols w:equalWidth="0" w:num="1">
            <w:col w:w="10800"/>
          </w:cols>
          <w:pgMar w:left="720" w:top="719" w:right="720" w:bottom="155"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719" w:right="720" w:bottom="155"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u w:val="single" w:color="auto"/>
          <w:color w:val="auto"/>
        </w:rPr>
        <w:t>Management’s Discussion and Analysis of Financial Condition and 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2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Microbot is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Using our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technological platform, we are developing the first ever fully disposable robot for various endovascular</w:t>
      </w:r>
    </w:p>
    <w:p>
      <w:pPr>
        <w:jc w:val="both"/>
        <w:spacing w:after="0" w:line="232" w:lineRule="auto"/>
        <w:rPr>
          <w:sz w:val="20"/>
          <w:szCs w:val="20"/>
          <w:color w:val="auto"/>
        </w:rPr>
      </w:pPr>
      <w:r>
        <w:rPr>
          <w:rFonts w:ascii="Times New Roman" w:cs="Times New Roman" w:eastAsia="Times New Roman" w:hAnsi="Times New Roman"/>
          <w:sz w:val="19"/>
          <w:szCs w:val="19"/>
          <w:color w:val="auto"/>
        </w:rPr>
        <w:t>interventional procedures. The LIBERTY</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9"/>
          <w:szCs w:val="19"/>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Research and development expenses consist primarily of salaries, benefits and related expenses and overhead for Microbot’s research, development and engineering personnel, prototype materials and research studies, obtaining and maintaining Microbot’s patent portfolio, net of government grants and NRE payments. Microbot expenses its research and development costs as incurred.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General and administrative expenses consist primarily of the costs associated with management salaries, benefits and related expenses, professional fees for accounting, auditing, consulting, legal services, and insurance expenses, net of insurance loss recoveries.</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expects that its general and administrative expenses will increase over the long-term,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ectPr>
          <w:pgSz w:w="12240" w:h="15840" w:orient="portrait"/>
          <w:cols w:equalWidth="0" w:num="1">
            <w:col w:w="10800"/>
          </w:cols>
          <w:pgMar w:left="720" w:top="71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719" w:right="720" w:bottom="155"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2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9"/>
          <w:szCs w:val="19"/>
          <w:i w:val="1"/>
          <w:iCs w:val="1"/>
          <w:color w:val="auto"/>
        </w:rPr>
        <w:t>Contingencies</w:t>
      </w:r>
      <w:r>
        <w:rPr>
          <w:rFonts w:ascii="Times New Roman" w:cs="Times New Roman" w:eastAsia="Times New Roman" w:hAnsi="Times New Roman"/>
          <w:sz w:val="19"/>
          <w:szCs w:val="19"/>
          <w:color w:val="auto"/>
        </w:rPr>
        <w:t>. A provision is recorded when it is both probable that a liability has been incurred and the amount of the loss can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reasonably estimated. The Company monitors the stage of progress of its litigation matters to determine if any adjustments are required.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Warrants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measures the fair value of certain of its financial instruments on a recurring basis.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Quoted prices (unadjusted) in active markets for identical assets and liabilities.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the assets or liabilities.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2024 and 2023</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following table sets forth the key components of Microbot’s results of operations for the years ended December 31,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19"/>
                <w:szCs w:val="19"/>
                <w:color w:val="auto"/>
              </w:rPr>
            </w:pPr>
          </w:p>
        </w:tc>
        <w:tc>
          <w:tcPr>
            <w:tcW w:w="2720" w:type="dxa"/>
            <w:vAlign w:val="bottom"/>
            <w:gridSpan w:val="4"/>
          </w:tcPr>
          <w:p>
            <w:pPr>
              <w:jc w:val="center"/>
              <w:ind w:left="42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0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1"/>
        </w:trPr>
        <w:tc>
          <w:tcPr>
            <w:tcW w:w="60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5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60" w:type="dxa"/>
            <w:vAlign w:val="bottom"/>
          </w:tcPr>
          <w:p>
            <w:pPr>
              <w:spacing w:after="0"/>
              <w:rPr>
                <w:sz w:val="20"/>
                <w:szCs w:val="20"/>
                <w:color w:val="auto"/>
              </w:rPr>
            </w:pP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expenses, net</w:t>
            </w:r>
          </w:p>
        </w:tc>
        <w:tc>
          <w:tcPr>
            <w:tcW w:w="96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5"/>
              </w:rPr>
              <w:t>(6,630)</w:t>
            </w:r>
          </w:p>
        </w:tc>
        <w:tc>
          <w:tcPr>
            <w:tcW w:w="960" w:type="dxa"/>
            <w:vAlign w:val="bottom"/>
          </w:tcPr>
          <w:p>
            <w:pPr>
              <w:jc w:val="right"/>
              <w:ind w:right="76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5"/>
              </w:rPr>
              <w:t>(5,724)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(906)</w:t>
            </w: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 net</w:t>
            </w:r>
          </w:p>
        </w:tc>
        <w:tc>
          <w:tcPr>
            <w:tcW w:w="9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5"/>
              </w:rPr>
              <w:t>(4,995)</w:t>
            </w:r>
          </w:p>
        </w:tc>
        <w:tc>
          <w:tcPr>
            <w:tcW w:w="96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5"/>
              </w:rPr>
              <w:t>(4,131)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(864)</w:t>
            </w:r>
          </w:p>
        </w:tc>
      </w:tr>
      <w:tr>
        <w:trPr>
          <w:trHeight w:val="229"/>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Financing income, net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Loss on legal settlement, net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5"/>
              </w:rPr>
              <w:t>(1,111)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60" w:type="dxa"/>
            <w:vAlign w:val="bottom"/>
          </w:tcPr>
          <w:p>
            <w:pPr>
              <w:spacing w:after="0"/>
              <w:rPr>
                <w:sz w:val="20"/>
                <w:szCs w:val="20"/>
                <w:color w:val="auto"/>
              </w:rPr>
            </w:pPr>
          </w:p>
        </w:tc>
      </w:tr>
    </w:tbl>
    <w:p>
      <w:pPr>
        <w:spacing w:after="0" w:line="101" w:lineRule="exact"/>
        <w:rPr>
          <w:sz w:val="20"/>
          <w:szCs w:val="20"/>
          <w:color w:val="auto"/>
        </w:rPr>
      </w:pPr>
    </w:p>
    <w:p>
      <w:pPr>
        <w:sectPr>
          <w:pgSz w:w="12240" w:h="15840" w:orient="portrait"/>
          <w:cols w:equalWidth="0" w:num="1">
            <w:col w:w="10800"/>
          </w:cols>
          <w:pgMar w:left="720" w:top="719" w:right="720" w:bottom="155" w:gutter="0" w:footer="0" w:header="0"/>
        </w:sect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719" w:right="720" w:bottom="155"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 net</w:t>
      </w:r>
      <w:r>
        <w:rPr>
          <w:rFonts w:ascii="Times New Roman" w:cs="Times New Roman" w:eastAsia="Times New Roman" w:hAnsi="Times New Roman"/>
          <w:sz w:val="20"/>
          <w:szCs w:val="20"/>
          <w:color w:val="auto"/>
        </w:rPr>
        <w:t>.</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increase in research and development expenses of approximately $0.9 million in 2024 as compared to 2023 was primarily due to increases in headcount, employees’ salaries and bonuses. Additionally, there were increased regulatory expenses in 2024 due to the Investigational Device Exemption and 510K submission, as well as higher costs associated with clinical studies conducted in 2024 compared to 2023.</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i w:val="1"/>
          <w:iCs w:val="1"/>
          <w:color w:val="auto"/>
        </w:rPr>
        <w:t>General and Administrative Expenses, net</w:t>
      </w:r>
      <w:r>
        <w:rPr>
          <w:rFonts w:ascii="Times New Roman" w:cs="Times New Roman" w:eastAsia="Times New Roman" w:hAnsi="Times New Roman"/>
          <w:sz w:val="20"/>
          <w:szCs w:val="20"/>
          <w:color w:val="auto"/>
        </w:rPr>
        <w:t>. The increase in general and administrative expenses of approximately $0.9 million in 2024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compared to 2023 was primarily due to certain cost reduction plans targeting employee salaries and bonuses as well as board of director fees that were implemented in 2023 and later relaxed in 2024.</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i w:val="1"/>
          <w:iCs w:val="1"/>
          <w:color w:val="auto"/>
        </w:rPr>
        <w:t>Financing Income, net</w:t>
      </w:r>
      <w:r>
        <w:rPr>
          <w:rFonts w:ascii="Times New Roman" w:cs="Times New Roman" w:eastAsia="Times New Roman" w:hAnsi="Times New Roman"/>
          <w:sz w:val="20"/>
          <w:szCs w:val="20"/>
          <w:color w:val="auto"/>
        </w:rPr>
        <w:t>. The decrease in Finance income in 2024 as compared to 2023 is due to a decrease in market gains offset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increase in interest income and foreign exchange changes.</w:t>
      </w:r>
    </w:p>
    <w:p>
      <w:pPr>
        <w:spacing w:after="0" w:line="240" w:lineRule="exact"/>
        <w:rPr>
          <w:sz w:val="20"/>
          <w:szCs w:val="20"/>
          <w:color w:val="auto"/>
        </w:rPr>
      </w:pPr>
    </w:p>
    <w:p>
      <w:pPr>
        <w:ind w:right="800"/>
        <w:spacing w:after="0" w:line="235" w:lineRule="auto"/>
        <w:rPr>
          <w:sz w:val="20"/>
          <w:szCs w:val="20"/>
          <w:color w:val="auto"/>
        </w:rPr>
      </w:pPr>
      <w:r>
        <w:rPr>
          <w:rFonts w:ascii="Times New Roman" w:cs="Times New Roman" w:eastAsia="Times New Roman" w:hAnsi="Times New Roman"/>
          <w:sz w:val="20"/>
          <w:szCs w:val="20"/>
          <w:color w:val="auto"/>
        </w:rPr>
        <w:t>Loss on legal settlement, net. Loss on legal settlement, net for the year ended December 31, 2023 is related to the issuance of restricted shares of our common stock to settle the Lawsuit pursuant to the Settlement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To date, Microbot has not generated revenues from operations. Microbot has incurred losses since inception and negative cash flows from operating activities for all periods presented. As of December 31, 2024, Microbot had a net working capital of approximately $3.4 million, consisting primarily of cash and cash equivalents and marketable securities. This compares to net working capital of approximately $4.1 million as of December 31, 2023. This does not include any of the approximately $30.6 million we have raised subsequent to December 31, 2024, discussed further below. Microbot anticipates that it will continue to incur net losses for the foreseeable future as it continues research and development efforts and ramps up commercialization of its primary product candidate and continues to incur costs associated with being a public company.</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has funded its operations through the issuance of capital stock, grants from the Israeli Innovation Authority, and convertible debt. Since inception (November 2010) through December 31, 2024, Microbot has raised cash proceeds of approximately $74.9 million. Since inception (November 2010) through December 31, 2024, Microbot incurred a total cumulative loss of approximately $90.9 million.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 January 1, 2025, we have raised the following amounts:</w:t>
      </w:r>
    </w:p>
    <w:p>
      <w:pPr>
        <w:spacing w:after="0" w:line="239" w:lineRule="exact"/>
        <w:rPr>
          <w:sz w:val="20"/>
          <w:szCs w:val="20"/>
          <w:color w:val="auto"/>
        </w:rPr>
      </w:pPr>
    </w:p>
    <w:p>
      <w:pPr>
        <w:ind w:left="620" w:hanging="614"/>
        <w:spacing w:after="0"/>
        <w:tabs>
          <w:tab w:leader="none" w:pos="6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aggregate of approximately $1.1 million in January 2025, before fees and expenses of $35,179, through our ATM Agreement;</w:t>
      </w:r>
    </w:p>
    <w:p>
      <w:pPr>
        <w:spacing w:after="0" w:line="11" w:lineRule="exact"/>
        <w:rPr>
          <w:rFonts w:ascii="Times New Roman" w:cs="Times New Roman" w:eastAsia="Times New Roman" w:hAnsi="Times New Roman"/>
          <w:sz w:val="19"/>
          <w:szCs w:val="19"/>
          <w:color w:val="auto"/>
        </w:rPr>
      </w:pPr>
    </w:p>
    <w:p>
      <w:pPr>
        <w:ind w:left="620" w:hanging="614"/>
        <w:spacing w:after="0" w:line="235" w:lineRule="auto"/>
        <w:tabs>
          <w:tab w:leader="none" w:pos="6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2025, an aggregate of approximately $15.6 million in gross proceeds, before fees and expenses of approximately $1.4 million, from institutional investors;</w:t>
      </w:r>
    </w:p>
    <w:p>
      <w:pPr>
        <w:spacing w:after="0" w:line="9" w:lineRule="exact"/>
        <w:rPr>
          <w:rFonts w:ascii="Times New Roman" w:cs="Times New Roman" w:eastAsia="Times New Roman" w:hAnsi="Times New Roman"/>
          <w:sz w:val="20"/>
          <w:szCs w:val="20"/>
          <w:color w:val="auto"/>
        </w:rPr>
      </w:pPr>
    </w:p>
    <w:p>
      <w:pPr>
        <w:ind w:left="620" w:hanging="614"/>
        <w:spacing w:after="0" w:line="235" w:lineRule="auto"/>
        <w:tabs>
          <w:tab w:leader="none" w:pos="6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2025, approximately $916,000 in gross proceeds from the exercise of outstanding preferred investment options, before fees and expenses of $64,164; and</w:t>
      </w:r>
    </w:p>
    <w:p>
      <w:pPr>
        <w:spacing w:after="0" w:line="10" w:lineRule="exact"/>
        <w:rPr>
          <w:rFonts w:ascii="Times New Roman" w:cs="Times New Roman" w:eastAsia="Times New Roman" w:hAnsi="Times New Roman"/>
          <w:sz w:val="20"/>
          <w:szCs w:val="20"/>
          <w:color w:val="auto"/>
        </w:rPr>
      </w:pPr>
    </w:p>
    <w:p>
      <w:pPr>
        <w:ind w:left="620" w:hanging="614"/>
        <w:spacing w:after="0" w:line="234" w:lineRule="auto"/>
        <w:tabs>
          <w:tab w:leader="none" w:pos="6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February 2025, an aggregate of approximately $13.0 million in gross proceeds, before fees and expenses of approximately $1.2 million, from institutional investors.</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Microbot Israel obtained from the Israeli Innovation Authority (“IIA”) grants for participation in research and development for the years 2013 through December 31, 2024 in the total amount of approximately $1.9 million. This amount includes amounts received of approximately $378,000, which are a portion of an additional grant from the IIA in the amount of approximately NIS 1.6 million</w:t>
      </w:r>
    </w:p>
    <w:p>
      <w:pPr>
        <w:spacing w:after="0" w:line="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(approximately $447,000) approved on June 1, 2023, to further finance the development of the manufacturing process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On January 4, 2018, Microbot Israel entered into an agreement with CardioSert to acquire certain of its patent-protected technology as well as to assume CardioSert’s grants from the IIA in the aggregate amount of approximately $530,000. During the 3rd quarter of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948" w:right="720" w:bottom="155" w:gutter="0" w:footer="0" w:header="0"/>
        </w:sectPr>
      </w:pPr>
    </w:p>
    <w:bookmarkStart w:id="37" w:name="page38"/>
    <w:bookmarkEnd w:id="37"/>
    <w:p>
      <w:pPr>
        <w:jc w:val="both"/>
        <w:spacing w:after="0" w:line="234" w:lineRule="auto"/>
        <w:rPr>
          <w:sz w:val="20"/>
          <w:szCs w:val="20"/>
          <w:color w:val="auto"/>
        </w:rPr>
      </w:pPr>
      <w:r>
        <w:rPr>
          <w:rFonts w:ascii="Times New Roman" w:cs="Times New Roman" w:eastAsia="Times New Roman" w:hAnsi="Times New Roman"/>
          <w:sz w:val="20"/>
          <w:szCs w:val="20"/>
          <w:color w:val="auto"/>
        </w:rPr>
        <w:t>we do not expect to repay, or have the obligation to repay, the grants relating to that technology. The financial risk is assumed completely by the IIA.</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On March 2, 2023, the Company announced that it received approval for a grant from the Ministry of Economy in the amount of approximately NIS 300,000, which based on an exchange rate on such date of NIS 1.00 = $0.2923, would be approximately $88,000, to</w:t>
      </w:r>
    </w:p>
    <w:p>
      <w:pPr>
        <w:spacing w:after="0" w:line="198" w:lineRule="auto"/>
        <w:rPr>
          <w:sz w:val="20"/>
          <w:szCs w:val="20"/>
          <w:color w:val="auto"/>
        </w:rPr>
      </w:pPr>
      <w:r>
        <w:rPr>
          <w:rFonts w:ascii="Times New Roman" w:cs="Times New Roman" w:eastAsia="Times New Roman" w:hAnsi="Times New Roman"/>
          <w:sz w:val="20"/>
          <w:szCs w:val="20"/>
          <w:color w:val="auto"/>
        </w:rPr>
        <w:t>further finance the marketing activities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the U.S. market. In relation to the</w:t>
      </w:r>
    </w:p>
    <w:p>
      <w:pPr>
        <w:jc w:val="both"/>
        <w:spacing w:after="0" w:line="208" w:lineRule="auto"/>
        <w:rPr>
          <w:sz w:val="20"/>
          <w:szCs w:val="20"/>
          <w:color w:val="auto"/>
        </w:rPr>
      </w:pPr>
      <w:r>
        <w:rPr>
          <w:rFonts w:ascii="Times New Roman" w:cs="Times New Roman" w:eastAsia="Times New Roman" w:hAnsi="Times New Roman"/>
          <w:sz w:val="20"/>
          <w:szCs w:val="20"/>
          <w:color w:val="auto"/>
        </w:rPr>
        <w:t>Ministry of Economy grant, the Company is obligated to pay royalties amounting to 3% of future sales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pacing w:after="0" w:line="2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To the extent available, Microbot intends to continue to raise capital through future public and private issuances of debt and/or equity securities, to fund its commercial activities and working capital and general business purposes.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 additional funds to continue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commercialization process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of the filing date of this Annual Report on Form 10-K, management believes we have sufficient funds for our operations for in excess of one year.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a summary of the net cash flow activity for each of the periods presented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6"/>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For the Years Ended</w:t>
            </w:r>
          </w:p>
        </w:tc>
      </w:tr>
      <w:tr>
        <w:trPr>
          <w:trHeight w:val="231"/>
        </w:trPr>
        <w:tc>
          <w:tcPr>
            <w:tcW w:w="8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30"/>
        </w:trPr>
        <w:tc>
          <w:tcPr>
            <w:tcW w:w="8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r>
      <w:tr>
        <w:trPr>
          <w:trHeight w:val="229"/>
        </w:trPr>
        <w:tc>
          <w:tcPr>
            <w:tcW w:w="8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flows used in operating activities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(8,827)</w:t>
            </w:r>
          </w:p>
        </w:tc>
        <w:tc>
          <w:tcPr>
            <w:tcW w:w="2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(8,533)</w:t>
            </w:r>
          </w:p>
        </w:tc>
      </w:tr>
      <w:tr>
        <w:trPr>
          <w:trHeight w:val="230"/>
        </w:trPr>
        <w:tc>
          <w:tcPr>
            <w:tcW w:w="8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flows provided by investing activities</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w:t>
            </w:r>
          </w:p>
        </w:tc>
        <w:tc>
          <w:tcPr>
            <w:tcW w:w="60" w:type="dxa"/>
            <w:vAlign w:val="bottom"/>
          </w:tcPr>
          <w:p>
            <w:pPr>
              <w:spacing w:after="0"/>
              <w:rPr>
                <w:sz w:val="20"/>
                <w:szCs w:val="20"/>
                <w:color w:val="auto"/>
              </w:rPr>
            </w:pPr>
          </w:p>
        </w:tc>
      </w:tr>
      <w:tr>
        <w:trPr>
          <w:trHeight w:val="231"/>
        </w:trPr>
        <w:tc>
          <w:tcPr>
            <w:tcW w:w="8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flows provided by financing activities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6,558</w:t>
            </w:r>
          </w:p>
        </w:tc>
        <w:tc>
          <w:tcPr>
            <w:tcW w:w="60" w:type="dxa"/>
            <w:vAlign w:val="bottom"/>
          </w:tcPr>
          <w:p>
            <w:pPr>
              <w:spacing w:after="0"/>
              <w:rPr>
                <w:sz w:val="20"/>
                <w:szCs w:val="20"/>
                <w:color w:val="auto"/>
              </w:rPr>
            </w:pPr>
          </w:p>
        </w:tc>
      </w:tr>
      <w:tr>
        <w:trPr>
          <w:trHeight w:val="230"/>
        </w:trPr>
        <w:tc>
          <w:tcPr>
            <w:tcW w:w="8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0"/>
        </w:trPr>
        <w:tc>
          <w:tcPr>
            <w:tcW w:w="8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increase in net cash flows used in operating activities was primarily from an increase in research and development expenses and general and administration expenses discussed above.</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decrease of net cash flows provided by investing activities was primarily due to a decrease in proceeds from maturities of marketable securities in 2024 compared to 2023.</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increase in net cash flows provided by financing activities was due to increased issuances of common stock and warrants in 2024 compared to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u w:val="single" w:color="auto"/>
          <w:color w:val="auto"/>
        </w:rPr>
        <w:t>Quantitative and Qualitative Disclosures About Market Risk.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Microbot’s cash and cash equivalents as of December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Exchange Risks</w:t>
      </w:r>
    </w:p>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729" w:right="720" w:bottom="155" w:gutter="0" w:footer="0" w:header="0"/>
          <w:type w:val="continuous"/>
        </w:sectPr>
      </w:pPr>
    </w:p>
    <w:bookmarkStart w:id="38" w:name="page39"/>
    <w:bookmarkEnd w:id="38"/>
    <w:p>
      <w:pPr>
        <w:jc w:val="both"/>
        <w:spacing w:after="0" w:line="238" w:lineRule="auto"/>
        <w:rPr>
          <w:sz w:val="20"/>
          <w:szCs w:val="20"/>
          <w:color w:val="auto"/>
        </w:rPr>
      </w:pPr>
      <w:r>
        <w:rPr>
          <w:rFonts w:ascii="Times New Roman" w:cs="Times New Roman" w:eastAsia="Times New Roman" w:hAnsi="Times New Roman"/>
          <w:sz w:val="20"/>
          <w:szCs w:val="20"/>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Inflation</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u w:val="single" w:color="auto"/>
          <w:color w:val="auto"/>
        </w:rPr>
        <w:t>Financial Statements and Supplementary Data.</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consolidated financial statements and supplementary data required by this item are included in this Annual Report on Form 10-K immediately following Part IV and are incorporated herein by reference.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u w:val="single" w:color="auto"/>
          <w:color w:val="auto"/>
        </w:rPr>
        <w:t>Changes in and Disagreements with Accountants on Accounting and Financial Disclosure.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u w:val="single" w:color="auto"/>
          <w:color w:val="auto"/>
        </w:rPr>
        <w:t>Controls and Procedures.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u w:val="single" w:color="auto"/>
          <w:color w:val="auto"/>
        </w:rPr>
        <w:t>Disclosure Controls and Procedures</w:t>
      </w:r>
      <w:r>
        <w:rPr>
          <w:rFonts w:ascii="Times New Roman" w:cs="Times New Roman" w:eastAsia="Times New Roman" w:hAnsi="Times New Roman"/>
          <w:sz w:val="20"/>
          <w:szCs w:val="20"/>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2024. Based on that review and evaluation, the Chief Executive Officer and Chief Financial Officer, along with the management of the Company, have determined that as of December 31,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24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u w:val="single" w:color="auto"/>
          <w:color w:val="auto"/>
        </w:rPr>
        <w:t>Management’s Annual Report on Internal Control Over Financial Reporting.</w:t>
      </w:r>
      <w:r>
        <w:rPr>
          <w:rFonts w:ascii="Times New Roman" w:cs="Times New Roman" w:eastAsia="Times New Roman" w:hAnsi="Times New Roman"/>
          <w:sz w:val="20"/>
          <w:szCs w:val="20"/>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2024, and have concluded that, as of December 31, 2024, our internal control over financial reporting was effective.</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u w:val="single" w:color="auto"/>
          <w:color w:val="auto"/>
        </w:rPr>
        <w:t>Changes in Internal Control Over Financial Reporting.</w:t>
      </w:r>
      <w:r>
        <w:rPr>
          <w:rFonts w:ascii="Times New Roman" w:cs="Times New Roman" w:eastAsia="Times New Roman" w:hAnsi="Times New Roman"/>
          <w:sz w:val="20"/>
          <w:szCs w:val="20"/>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u w:val="single" w:color="auto"/>
          <w:color w:val="auto"/>
        </w:rPr>
        <w:t>Other Information.</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During the three months ended December 31,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u w:val="single" w:color="auto"/>
          <w:color w:val="auto"/>
        </w:rPr>
        <w:t>Disclosure Regarding Foreign Jurisdictions that Prevent Inspections.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729" w:right="720" w:bottom="155" w:gutter="0" w:footer="0" w:header="0"/>
          <w:type w:val="continuous"/>
        </w:sectPr>
      </w:pPr>
    </w:p>
    <w:bookmarkStart w:id="39" w:name="page40"/>
    <w:bookmarkEnd w:id="39"/>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10. </w:t>
      </w:r>
      <w:r>
        <w:rPr>
          <w:rFonts w:ascii="Times New Roman" w:cs="Times New Roman" w:eastAsia="Times New Roman" w:hAnsi="Times New Roman"/>
          <w:sz w:val="20"/>
          <w:szCs w:val="20"/>
          <w:b w:val="1"/>
          <w:bCs w:val="1"/>
          <w:u w:val="single" w:color="auto"/>
          <w:color w:val="auto"/>
        </w:rPr>
        <w:t>Directors, Executive Officers, and Corporate Governance.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of Directors</w:t>
      </w:r>
    </w:p>
    <w:p>
      <w:pPr>
        <w:spacing w:after="0" w:line="24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We currently have seven directors serving on our Board. The following table lists the names, ages and positions of the individuals who serve as directors of the Company, as of March 24,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0"/>
                <w:szCs w:val="20"/>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80" w:type="dxa"/>
            <w:vAlign w:val="bottom"/>
          </w:tcPr>
          <w:p>
            <w:pPr>
              <w:spacing w:after="0"/>
              <w:rPr>
                <w:sz w:val="20"/>
                <w:szCs w:val="20"/>
                <w:color w:val="auto"/>
              </w:rPr>
            </w:pPr>
          </w:p>
        </w:tc>
        <w:tc>
          <w:tcPr>
            <w:tcW w:w="764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Harel Gadot</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President, Chief Executive Officer and Chairman of the Board of Directors</w:t>
            </w: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Scott Burell(1)(2)</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60</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Martin Madden(1)(3)</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8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Prattipati Laxminarain(2)</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67</w:t>
            </w:r>
          </w:p>
        </w:tc>
        <w:tc>
          <w:tcPr>
            <w:tcW w:w="8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29"/>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Aileen Stockburger(3)</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62</w:t>
            </w:r>
          </w:p>
        </w:tc>
        <w:tc>
          <w:tcPr>
            <w:tcW w:w="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Tal Wenderow(2)</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c>
          <w:tcPr>
            <w:tcW w:w="8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David J. Wilson (1)(3)</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57</w:t>
            </w:r>
          </w:p>
        </w:tc>
        <w:tc>
          <w:tcPr>
            <w:tcW w:w="8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52" w:lineRule="exact"/>
        <w:rPr>
          <w:sz w:val="20"/>
          <w:szCs w:val="20"/>
          <w:color w:val="auto"/>
        </w:rPr>
      </w:pPr>
    </w:p>
    <w:p>
      <w:pPr>
        <w:ind w:left="640" w:hanging="640"/>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Audit Committee.</w:t>
      </w:r>
    </w:p>
    <w:p>
      <w:pPr>
        <w:ind w:left="640" w:hanging="640"/>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Corporate Governance Committee.</w:t>
      </w:r>
    </w:p>
    <w:p>
      <w:pPr>
        <w:ind w:left="640" w:hanging="640"/>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Compensation Committee.</w:t>
      </w:r>
    </w:p>
    <w:p>
      <w:pPr>
        <w:spacing w:after="0" w:line="24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have a classified Board, with each of our directors serving a staggered three-year term. The following table shows the current composition of the three classes of our Board: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 Directors (term scheduled to expire in 2025):</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Harel Gadot</w:t>
      </w:r>
    </w:p>
    <w:p>
      <w:pPr>
        <w:ind w:left="360"/>
        <w:spacing w:after="0"/>
        <w:rPr>
          <w:sz w:val="20"/>
          <w:szCs w:val="20"/>
          <w:color w:val="auto"/>
        </w:rPr>
      </w:pPr>
      <w:r>
        <w:rPr>
          <w:rFonts w:ascii="Times New Roman" w:cs="Times New Roman" w:eastAsia="Times New Roman" w:hAnsi="Times New Roman"/>
          <w:sz w:val="20"/>
          <w:szCs w:val="20"/>
          <w:color w:val="auto"/>
        </w:rPr>
        <w:t>Martin Madden</w:t>
      </w:r>
    </w:p>
    <w:p>
      <w:pPr>
        <w:ind w:left="360"/>
        <w:spacing w:after="0"/>
        <w:rPr>
          <w:sz w:val="20"/>
          <w:szCs w:val="20"/>
          <w:color w:val="auto"/>
        </w:rPr>
      </w:pPr>
      <w:r>
        <w:rPr>
          <w:rFonts w:ascii="Times New Roman" w:cs="Times New Roman" w:eastAsia="Times New Roman" w:hAnsi="Times New Roman"/>
          <w:sz w:val="20"/>
          <w:szCs w:val="20"/>
          <w:color w:val="auto"/>
        </w:rPr>
        <w:t>Tal Wenderow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II Directors (term scheduled to expire in 2026):</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Scott Burell</w:t>
      </w:r>
    </w:p>
    <w:p>
      <w:pPr>
        <w:ind w:left="360"/>
        <w:spacing w:after="0"/>
        <w:rPr>
          <w:sz w:val="20"/>
          <w:szCs w:val="20"/>
          <w:color w:val="auto"/>
        </w:rPr>
      </w:pPr>
      <w:r>
        <w:rPr>
          <w:rFonts w:ascii="Times New Roman" w:cs="Times New Roman" w:eastAsia="Times New Roman" w:hAnsi="Times New Roman"/>
          <w:sz w:val="20"/>
          <w:szCs w:val="20"/>
          <w:color w:val="auto"/>
        </w:rPr>
        <w:t>Aileen Stockburger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III Directors (term scheduled to expire in 2027):</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David J. Wilson</w:t>
      </w:r>
    </w:p>
    <w:p>
      <w:pPr>
        <w:ind w:left="360"/>
        <w:spacing w:after="0"/>
        <w:rPr>
          <w:sz w:val="20"/>
          <w:szCs w:val="20"/>
          <w:color w:val="auto"/>
        </w:rPr>
      </w:pPr>
      <w:r>
        <w:rPr>
          <w:rFonts w:ascii="Times New Roman" w:cs="Times New Roman" w:eastAsia="Times New Roman" w:hAnsi="Times New Roman"/>
          <w:sz w:val="20"/>
          <w:szCs w:val="20"/>
          <w:color w:val="auto"/>
        </w:rPr>
        <w:t>Prattipati Laxminarain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Biographies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auto"/>
        </w:rPr>
        <w:t>Harel Gadot</w:t>
      </w:r>
      <w:r>
        <w:rPr>
          <w:rFonts w:ascii="Times New Roman" w:cs="Times New Roman" w:eastAsia="Times New Roman" w:hAnsi="Times New Roman"/>
          <w:sz w:val="20"/>
          <w:szCs w:val="20"/>
          <w:color w:val="auto"/>
        </w:rPr>
        <w:t>, became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President, Chief Executive Officer and Chairman of the Company’s Board following the consummation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Merger. Mr. Gadot is a 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i w:val="1"/>
          <w:iCs w:val="1"/>
          <w:color w:val="auto"/>
        </w:rPr>
        <w:t>Scott R. Burell</w:t>
      </w:r>
      <w:r>
        <w:rPr>
          <w:rFonts w:ascii="Times New Roman" w:cs="Times New Roman" w:eastAsia="Times New Roman" w:hAnsi="Times New Roman"/>
          <w:sz w:val="19"/>
          <w:szCs w:val="19"/>
          <w:color w:val="auto"/>
        </w:rPr>
        <w:t>, became a director of the Company in November 2016. Since August 2018, Mr. Burell has been the Chief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Officer and Secretary of 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w:t>
      </w:r>
    </w:p>
    <w:p>
      <w:pPr>
        <w:sectPr>
          <w:pgSz w:w="12240" w:h="15840" w:orient="portrait"/>
          <w:cols w:equalWidth="0" w:num="1">
            <w:col w:w="10800"/>
          </w:cols>
          <w:pgMar w:left="720" w:top="719" w:right="720" w:bottom="155" w:gutter="0" w:footer="0" w:header="0"/>
        </w:sectPr>
      </w:pP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719" w:right="720" w:bottom="155" w:gutter="0" w:footer="0" w:header="0"/>
          <w:type w:val="continuous"/>
        </w:sectPr>
      </w:pPr>
    </w:p>
    <w:bookmarkStart w:id="40" w:name="page41"/>
    <w:bookmarkEnd w:id="40"/>
    <w:p>
      <w:pPr>
        <w:jc w:val="both"/>
        <w:spacing w:after="0" w:line="239" w:lineRule="auto"/>
        <w:rPr>
          <w:sz w:val="20"/>
          <w:szCs w:val="20"/>
          <w:color w:val="auto"/>
        </w:rPr>
      </w:pPr>
      <w:r>
        <w:rPr>
          <w:rFonts w:ascii="Times New Roman" w:cs="Times New Roman" w:eastAsia="Times New Roman" w:hAnsi="Times New Roman"/>
          <w:sz w:val="20"/>
          <w:szCs w:val="20"/>
          <w:color w:val="auto"/>
        </w:rPr>
        <w:t>(NASDAQ: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Martin Madden</w:t>
      </w:r>
      <w:r>
        <w:rPr>
          <w:rFonts w:ascii="Times New Roman" w:cs="Times New Roman" w:eastAsia="Times New Roman" w:hAnsi="Times New Roman"/>
          <w:sz w:val="19"/>
          <w:szCs w:val="19"/>
          <w:color w:val="auto"/>
        </w:rPr>
        <w:t>, has been a director of the Company since February 6, 2017. Mr. Madden has held various positions at Johnson &amp;</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Johnson and its affiliates 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w:t>
      </w:r>
    </w:p>
    <w:p>
      <w:pPr>
        <w:spacing w:after="0" w:line="4" w:lineRule="exact"/>
        <w:rPr>
          <w:sz w:val="20"/>
          <w:szCs w:val="20"/>
          <w:color w:val="auto"/>
        </w:rPr>
      </w:pPr>
    </w:p>
    <w:p>
      <w:pPr>
        <w:jc w:val="both"/>
        <w:spacing w:after="0" w:line="238" w:lineRule="auto"/>
        <w:tabs>
          <w:tab w:leader="none" w:pos="21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2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i w:val="1"/>
          <w:iCs w:val="1"/>
          <w:color w:val="auto"/>
        </w:rPr>
        <w:t>Prattipati Laxminarain</w:t>
      </w:r>
      <w:r>
        <w:rPr>
          <w:rFonts w:ascii="Times New Roman" w:cs="Times New Roman" w:eastAsia="Times New Roman" w:hAnsi="Times New Roman"/>
          <w:sz w:val="20"/>
          <w:szCs w:val="20"/>
          <w:color w:val="auto"/>
        </w:rPr>
        <w:t>, has been a director of the Company since December 6, 2017. From April 2006 through October 2017, Mr.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Laxminarain served as 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Aileen Stockburger </w:t>
      </w:r>
      <w:r>
        <w:rPr>
          <w:rFonts w:ascii="Times New Roman" w:cs="Times New Roman" w:eastAsia="Times New Roman" w:hAnsi="Times New Roman"/>
          <w:sz w:val="20"/>
          <w:szCs w:val="20"/>
          <w:color w:val="auto"/>
        </w:rPr>
        <w:t>was appointed by the Board on March 26, 2020 to fill a vacancy on the Board and to serve as a Class II director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 with a 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Tal Wenderow </w:t>
      </w:r>
      <w:r>
        <w:rPr>
          <w:rFonts w:ascii="Times New Roman" w:cs="Times New Roman" w:eastAsia="Times New Roman" w:hAnsi="Times New Roman"/>
          <w:sz w:val="19"/>
          <w:szCs w:val="19"/>
          <w:color w:val="auto"/>
        </w:rPr>
        <w:t>was appointed by the Board on July 29, 2020 to fill a vacancy on the Board and to serve as a Class I director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with a term commencing on August 1, 2020.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w:t>
      </w:r>
    </w:p>
    <w:p>
      <w:pPr>
        <w:sectPr>
          <w:pgSz w:w="12240" w:h="15840" w:orient="portrait"/>
          <w:cols w:equalWidth="0" w:num="1">
            <w:col w:w="10800"/>
          </w:cols>
          <w:pgMar w:left="720" w:top="729" w:right="720" w:bottom="155" w:gutter="0" w:footer="0" w:header="0"/>
        </w:sectPr>
      </w:pP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729" w:right="720" w:bottom="155" w:gutter="0" w:footer="0" w:header="0"/>
          <w:type w:val="continuous"/>
        </w:sectPr>
      </w:pPr>
    </w:p>
    <w:bookmarkStart w:id="41" w:name="page42"/>
    <w:bookmarkEnd w:id="41"/>
    <w:p>
      <w:pPr>
        <w:jc w:val="both"/>
        <w:spacing w:after="0" w:line="238" w:lineRule="auto"/>
        <w:rPr>
          <w:sz w:val="20"/>
          <w:szCs w:val="20"/>
          <w:color w:val="auto"/>
        </w:rPr>
      </w:pPr>
      <w:r>
        <w:rPr>
          <w:rFonts w:ascii="Times New Roman" w:cs="Times New Roman" w:eastAsia="Times New Roman" w:hAnsi="Times New Roman"/>
          <w:sz w:val="20"/>
          <w:szCs w:val="20"/>
          <w:color w:val="auto"/>
        </w:rPr>
        <w:t>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auto"/>
        </w:rPr>
        <w:t>David J. Wilson</w:t>
      </w:r>
      <w:r>
        <w:rPr>
          <w:rFonts w:ascii="Times New Roman" w:cs="Times New Roman" w:eastAsia="Times New Roman" w:hAnsi="Times New Roman"/>
          <w:sz w:val="20"/>
          <w:szCs w:val="20"/>
          <w:color w:val="auto"/>
        </w:rPr>
        <w:t>, was elected at our December 17, 2024 Annual Meeting of Stockholders as a Class III director for a three-year term,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was subsequently appointed by the Board of Directors of the Company 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Following are the name, age and other information for our executive officers, as of March 24, 2025.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60" w:type="dxa"/>
            <w:vAlign w:val="bottom"/>
          </w:tcPr>
          <w:p>
            <w:pPr>
              <w:spacing w:after="0"/>
              <w:rPr>
                <w:sz w:val="20"/>
                <w:szCs w:val="20"/>
                <w:color w:val="auto"/>
              </w:rPr>
            </w:pPr>
          </w:p>
        </w:tc>
        <w:tc>
          <w:tcPr>
            <w:tcW w:w="818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29"/>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Harel Gadot</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c>
          <w:tcPr>
            <w:tcW w:w="6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President, Chief Executive Officer and Chairman of the Board of Directors</w:t>
            </w:r>
          </w:p>
        </w:tc>
      </w:tr>
      <w:tr>
        <w:trPr>
          <w:trHeight w:val="230"/>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Rachel Vaknin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46</w:t>
            </w:r>
          </w:p>
        </w:tc>
        <w:tc>
          <w:tcPr>
            <w:tcW w:w="6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1"/>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Simon Sharon</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64</w:t>
            </w:r>
          </w:p>
        </w:tc>
        <w:tc>
          <w:tcPr>
            <w:tcW w:w="6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Chief Technology Officer and General Manager, Microbot Israel</w:t>
            </w:r>
          </w:p>
        </w:tc>
      </w:tr>
      <w:tr>
        <w:trPr>
          <w:trHeight w:val="229"/>
        </w:trPr>
        <w:tc>
          <w:tcPr>
            <w:tcW w:w="2040" w:type="dxa"/>
            <w:vAlign w:val="bottom"/>
          </w:tcPr>
          <w:p>
            <w:pPr>
              <w:spacing w:after="0"/>
              <w:rPr>
                <w:sz w:val="20"/>
                <w:szCs w:val="20"/>
                <w:color w:val="auto"/>
              </w:rPr>
            </w:pPr>
            <w:r>
              <w:rPr>
                <w:rFonts w:ascii="Times New Roman" w:cs="Times New Roman" w:eastAsia="Times New Roman" w:hAnsi="Times New Roman"/>
                <w:sz w:val="20"/>
                <w:szCs w:val="20"/>
                <w:color w:val="auto"/>
              </w:rPr>
              <w:t>Juan Diaz-Cartelle</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c>
          <w:tcPr>
            <w:tcW w:w="6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0"/>
                <w:szCs w:val="20"/>
                <w:color w:val="auto"/>
              </w:rPr>
              <w:t>Chief Medical Officer</w:t>
            </w:r>
          </w:p>
        </w:tc>
      </w:tr>
    </w:tbl>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Rachel Vaknin, </w:t>
      </w:r>
      <w:r>
        <w:rPr>
          <w:rFonts w:ascii="Times New Roman" w:cs="Times New Roman" w:eastAsia="Times New Roman" w:hAnsi="Times New Roman"/>
          <w:sz w:val="20"/>
          <w:szCs w:val="20"/>
          <w:color w:val="auto"/>
        </w:rPr>
        <w:t>has served as the Company’s Chief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Officer since April 2022 and before that was its VP Finance since January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2022. From 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managing FP&amp;A, leading teams with respect to preparing quarterly financial statements, obtaining and managing grant monies, and Sarbanes-Oxley controls.</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i w:val="1"/>
          <w:iCs w:val="1"/>
          <w:color w:val="auto"/>
        </w:rPr>
        <w:t>Simon Sharon</w:t>
      </w:r>
      <w:r>
        <w:rPr>
          <w:rFonts w:ascii="Times New Roman" w:cs="Times New Roman" w:eastAsia="Times New Roman" w:hAnsi="Times New Roman"/>
          <w:sz w:val="20"/>
          <w:szCs w:val="20"/>
          <w:color w:val="auto"/>
        </w:rPr>
        <w:t>, has served as the Company’s Chief Technology Officer since April 2018 and as the General Manager of Microbot Israel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since April 2021. 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Dr. Juan Diaz-Cartelle</w:t>
      </w:r>
      <w:r>
        <w:rPr>
          <w:rFonts w:ascii="Times New Roman" w:cs="Times New Roman" w:eastAsia="Times New Roman" w:hAnsi="Times New Roman"/>
          <w:sz w:val="20"/>
          <w:szCs w:val="20"/>
          <w:color w:val="auto"/>
        </w:rPr>
        <w:t>, has served as the Company’s Chief Medical Officer since December 1, 2023. As CMO, Dr. Diaz-Cartelle will</w:t>
      </w:r>
    </w:p>
    <w:p>
      <w:pPr>
        <w:spacing w:after="0" w:line="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lead the development and execution of the clinical strategy of the Company, including its planned clinical trials for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w:t>
      </w:r>
    </w:p>
    <w:p>
      <w:pPr>
        <w:sectPr>
          <w:pgSz w:w="12240" w:h="15840" w:orient="portrait"/>
          <w:cols w:equalWidth="0" w:num="1">
            <w:col w:w="10800"/>
          </w:cols>
          <w:pgMar w:left="720" w:top="729" w:right="720" w:bottom="155" w:gutter="0" w:footer="0" w:header="0"/>
        </w:sectPr>
      </w:pP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729" w:right="720" w:bottom="155"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9"/>
          <w:szCs w:val="19"/>
          <w:color w:val="auto"/>
        </w:rPr>
        <w:t>the cardiovascular space, among other responsibilities. Prior to that, from June 2008 to May 2022, Dr. Diaz-Cartelle served as the Senior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Medical  Director  for  the  Peripheral  Interventional  Division  (Endovascular  and  Interventional  Oncology)  at  Boston  Scientific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Corporation (NYSE: BSX), where he played a pivotal part in the development of global clinical strategy and study oversight, supporting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commercial activities and future pipeline development. Dr. Diaz-Cartelle obtained his medical degree at the University of Navarra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(Spain) and completed his specialty as Angiologist and Vascular Surgeon at Hospital General Universitario Gregorio Maranon in Madrid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(Spain).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Committees of the Board of Directors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five meetings during the fiscal year ended December 31, 2024.</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four meetings during the fiscal year ended December 31, 2024 and acted by unanimous written consent one time.</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 Governance Committee</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held three meetings during the fiscal year ended December 31, 2024.</w:t>
      </w: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w:t>
      </w:r>
    </w:p>
    <w:p>
      <w:pPr>
        <w:sectPr>
          <w:pgSz w:w="12240" w:h="15840" w:orient="portrait"/>
          <w:cols w:equalWidth="0" w:num="1">
            <w:col w:w="10800"/>
          </w:cols>
          <w:pgMar w:left="720" w:top="729" w:right="720" w:bottom="155"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729" w:right="720" w:bottom="155" w:gutter="0" w:footer="0" w:header="0"/>
          <w:type w:val="continuous"/>
        </w:sectPr>
      </w:pPr>
    </w:p>
    <w:bookmarkStart w:id="43" w:name="page44"/>
    <w:bookmarkEnd w:id="43"/>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20"/>
          <w:szCs w:val="20"/>
          <w:u w:val="single" w:color="auto"/>
          <w:color w:val="auto"/>
        </w:rPr>
        <w:t>www.microbotmedical.com</w:t>
      </w:r>
      <w:r>
        <w:rPr>
          <w:rFonts w:ascii="Times New Roman" w:cs="Times New Roman" w:eastAsia="Times New Roman" w:hAnsi="Times New Roman"/>
          <w:sz w:val="20"/>
          <w:szCs w:val="20"/>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Oversight and Qualifications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 of Business Conduct and Ethics and Compensation Recovery</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We have adopted a Code of Ethics and Conduct that applies to all of our directors, officers, employees, and consultants. A copy of our code of ethics is posted on our website at </w:t>
      </w:r>
      <w:r>
        <w:rPr>
          <w:rFonts w:ascii="Times New Roman" w:cs="Times New Roman" w:eastAsia="Times New Roman" w:hAnsi="Times New Roman"/>
          <w:sz w:val="20"/>
          <w:szCs w:val="20"/>
          <w:u w:val="single" w:color="auto"/>
          <w:color w:val="auto"/>
        </w:rPr>
        <w:t>www.microbotmedical.com</w:t>
      </w:r>
      <w:r>
        <w:rPr>
          <w:rFonts w:ascii="Times New Roman" w:cs="Times New Roman" w:eastAsia="Times New Roman" w:hAnsi="Times New Roman"/>
          <w:sz w:val="20"/>
          <w:szCs w:val="20"/>
          <w:color w:val="auto"/>
        </w:rPr>
        <w:t xml:space="preserve"> and is filed as Exhibit 14.1 to this Form 10-K. We intend to disclose any substantive amendment or waivers to this code on our website. There were no substantive amendments or waivers to this code in 2024.</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16(a) Reports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2024, all Section 16(a) filing requirements applicable to our officers, directors and greater than 10% beneficial owners have been met, other than a Form 3 for Mr. Wilson, which was not timely filed.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Policy</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has adopted insider trading policies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the Company. Such policies and procedures are filed as Exhibit 19.2 to this Form 10-K, and are also included in the Company’s Code of Ethics and Conducts, which is filed as Exhibit 14.1 to this Form 10-K, and in its Blackout Period and Trading Window Policy, which is filed as Exhibit 19.1 to this Form 10-K.</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u w:val="single" w:color="auto"/>
          <w:color w:val="auto"/>
        </w:rPr>
        <w:t>Executive Compensation.</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following table sets forth information regarding each element of compensation that was paid or awarded to the named executive officers of the Company for the periods indicated.</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729" w:right="720" w:bottom="155"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Name and</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0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Principal</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Salary</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Bonus</w:t>
            </w: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Awards</w:t>
            </w: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Awards</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Non-Equity Incentive</w:t>
            </w:r>
          </w:p>
        </w:tc>
        <w:tc>
          <w:tcPr>
            <w:tcW w:w="100" w:type="dxa"/>
            <w:vAlign w:val="bottom"/>
          </w:tcPr>
          <w:p>
            <w:pPr>
              <w:spacing w:after="0"/>
              <w:rPr>
                <w:sz w:val="19"/>
                <w:szCs w:val="19"/>
                <w:color w:val="auto"/>
              </w:rPr>
            </w:pPr>
          </w:p>
        </w:tc>
        <w:tc>
          <w:tcPr>
            <w:tcW w:w="184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All Other</w:t>
            </w:r>
          </w:p>
        </w:tc>
        <w:tc>
          <w:tcPr>
            <w:tcW w:w="860" w:type="dxa"/>
            <w:vAlign w:val="bottom"/>
          </w:tcPr>
          <w:p>
            <w:pPr>
              <w:spacing w:after="0"/>
              <w:rPr>
                <w:sz w:val="19"/>
                <w:szCs w:val="19"/>
                <w:color w:val="auto"/>
              </w:rPr>
            </w:pPr>
          </w:p>
        </w:tc>
      </w:tr>
      <w:tr>
        <w:trPr>
          <w:trHeight w:val="231"/>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Position</w:t>
            </w:r>
          </w:p>
        </w:tc>
        <w:tc>
          <w:tcPr>
            <w:tcW w:w="40" w:type="dxa"/>
            <w:vAlign w:val="bottom"/>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w:t>
            </w:r>
          </w:p>
        </w:tc>
        <w:tc>
          <w:tcPr>
            <w:tcW w:w="100" w:type="dxa"/>
            <w:vAlign w:val="bottom"/>
          </w:tcPr>
          <w:p>
            <w:pPr>
              <w:spacing w:after="0"/>
              <w:rPr>
                <w:sz w:val="20"/>
                <w:szCs w:val="20"/>
                <w:color w:val="auto"/>
              </w:rPr>
            </w:pPr>
          </w:p>
        </w:tc>
        <w:tc>
          <w:tcPr>
            <w:tcW w:w="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w:t>
            </w:r>
          </w:p>
        </w:tc>
        <w:tc>
          <w:tcPr>
            <w:tcW w:w="280" w:type="dxa"/>
            <w:vAlign w:val="bottom"/>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 xml:space="preserve">Plan Compensation </w:t>
            </w:r>
            <w:r>
              <w:rPr>
                <w:rFonts w:ascii="Times New Roman" w:cs="Times New Roman" w:eastAsia="Times New Roman" w:hAnsi="Times New Roman"/>
                <w:sz w:val="20"/>
                <w:szCs w:val="20"/>
                <w:b w:val="1"/>
                <w:bCs w:val="1"/>
                <w:u w:val="single" w:color="auto"/>
                <w:color w:val="auto"/>
                <w:w w:val="99"/>
              </w:rPr>
              <w:t>($</w:t>
            </w:r>
            <w:r>
              <w:rPr>
                <w:rFonts w:ascii="Times New Roman" w:cs="Times New Roman" w:eastAsia="Times New Roman" w:hAnsi="Times New Roman"/>
                <w:sz w:val="20"/>
                <w:szCs w:val="20"/>
                <w:b w:val="1"/>
                <w:bCs w:val="1"/>
                <w:color w:val="auto"/>
                <w:w w:val="99"/>
              </w:rPr>
              <w:t>)</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Compensation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c>
          <w:tcPr>
            <w:tcW w:w="28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Harel Gadot</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520,249</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149,189(5)</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514,141(9)</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57,900(3)</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1,241,479</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w w:val="99"/>
              </w:rPr>
              <w:t>CEO, President</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&amp; Chairman</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372,521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386,000(2)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470,302</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55,300(3)</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1,284,123</w:t>
            </w:r>
          </w:p>
        </w:tc>
      </w:tr>
      <w:tr>
        <w:trPr>
          <w:trHeight w:val="461"/>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Simon Sharon</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241,455</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84,754(4)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123,785(9)</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89,435(6)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539,429</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CTO and GM</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195,901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87,022(2)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88,418</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98,589(6)</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469,930</w:t>
            </w:r>
          </w:p>
        </w:tc>
      </w:tr>
      <w:tr>
        <w:trPr>
          <w:trHeight w:val="46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Juan Diaz-</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Cartelle</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26,478(9)</w:t>
            </w:r>
          </w:p>
        </w:tc>
        <w:tc>
          <w:tcPr>
            <w:tcW w:w="19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376,478</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CMO (7)</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14,808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15,528</w:t>
            </w:r>
          </w:p>
        </w:tc>
      </w:tr>
      <w:tr>
        <w:trPr>
          <w:trHeight w:val="46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Rachel</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Vaknin</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162,793</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40,816(4)</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105,862(9)</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53,694(8)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363,165</w:t>
            </w:r>
          </w:p>
        </w:tc>
      </w:t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CFO</w:t>
            </w: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139,601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27,626(2)</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76,533</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45,743(8)</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289,503</w:t>
            </w:r>
          </w:p>
        </w:tc>
      </w:tr>
      <w:tr>
        <w:trPr>
          <w:trHeight w:val="230"/>
        </w:trPr>
        <w:tc>
          <w:tcPr>
            <w:tcW w:w="126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33" w:lineRule="exact"/>
        <w:rPr>
          <w:sz w:val="20"/>
          <w:szCs w:val="20"/>
          <w:color w:val="auto"/>
        </w:rPr>
      </w:pPr>
    </w:p>
    <w:p>
      <w:pPr>
        <w:jc w:val="both"/>
        <w:ind w:left="420" w:hanging="420"/>
        <w:spacing w:after="0" w:line="237" w:lineRule="auto"/>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2024 included elsewhere in this Annual Report on Form 10-K for the fiscal year ended December 31, 2024.</w:t>
      </w:r>
    </w:p>
    <w:p>
      <w:pPr>
        <w:spacing w:after="0" w:line="4" w:lineRule="exact"/>
        <w:rPr>
          <w:rFonts w:ascii="Times New Roman" w:cs="Times New Roman" w:eastAsia="Times New Roman" w:hAnsi="Times New Roman"/>
          <w:sz w:val="20"/>
          <w:szCs w:val="20"/>
          <w:color w:val="auto"/>
        </w:rPr>
      </w:pPr>
    </w:p>
    <w:p>
      <w:pPr>
        <w:ind w:left="420" w:hanging="420"/>
        <w:spacing w:after="0"/>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for the 2022 fiscal year, which amount was actually paid in 2023.</w:t>
      </w:r>
    </w:p>
    <w:p>
      <w:pPr>
        <w:ind w:left="420" w:hanging="420"/>
        <w:spacing w:after="0"/>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to the named executive officer’s 401(k) Plan, and a yearly automobile allowance.</w:t>
      </w:r>
    </w:p>
    <w:p>
      <w:pPr>
        <w:ind w:left="420" w:hanging="420"/>
        <w:spacing w:after="0"/>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for the 2023 fiscal year, which amount was actually paid in 2024.</w:t>
      </w:r>
    </w:p>
    <w:p>
      <w:pPr>
        <w:spacing w:after="0" w:line="9" w:lineRule="exact"/>
        <w:rPr>
          <w:rFonts w:ascii="Times New Roman" w:cs="Times New Roman" w:eastAsia="Times New Roman" w:hAnsi="Times New Roman"/>
          <w:sz w:val="20"/>
          <w:szCs w:val="20"/>
          <w:color w:val="auto"/>
        </w:rPr>
      </w:pPr>
    </w:p>
    <w:p>
      <w:pPr>
        <w:ind w:left="420" w:hanging="420"/>
        <w:spacing w:after="0" w:line="235" w:lineRule="auto"/>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for the 2023 fiscal year, which amount was actually paid in 2024. For the 2023 fiscal year, Mr. Gadot received in 2024 $149,188.50 of a possible maximum of $298,377, and a bonus in the form of 79,567 stock options.</w:t>
      </w:r>
    </w:p>
    <w:p>
      <w:pPr>
        <w:spacing w:after="0" w:line="9" w:lineRule="exact"/>
        <w:rPr>
          <w:rFonts w:ascii="Times New Roman" w:cs="Times New Roman" w:eastAsia="Times New Roman" w:hAnsi="Times New Roman"/>
          <w:sz w:val="20"/>
          <w:szCs w:val="20"/>
          <w:color w:val="auto"/>
        </w:rPr>
      </w:pPr>
    </w:p>
    <w:p>
      <w:pPr>
        <w:ind w:left="420" w:hanging="420"/>
        <w:spacing w:after="0" w:line="235" w:lineRule="auto"/>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or payments to the named executive officer’s convalescence pay, pension fund, work disability insurance, severance fund, education fund, and social security, and yearly automobile allowance.</w:t>
      </w:r>
    </w:p>
    <w:p>
      <w:pPr>
        <w:ind w:left="420" w:hanging="420"/>
        <w:spacing w:after="0"/>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Juan Diaz-Cartelle commenced employment on December 1, 2023.</w:t>
      </w:r>
    </w:p>
    <w:p>
      <w:pPr>
        <w:spacing w:after="0" w:line="9" w:lineRule="exact"/>
        <w:rPr>
          <w:rFonts w:ascii="Times New Roman" w:cs="Times New Roman" w:eastAsia="Times New Roman" w:hAnsi="Times New Roman"/>
          <w:sz w:val="20"/>
          <w:szCs w:val="20"/>
          <w:color w:val="auto"/>
        </w:rPr>
      </w:pPr>
    </w:p>
    <w:p>
      <w:pPr>
        <w:ind w:left="420" w:hanging="420"/>
        <w:spacing w:after="0" w:line="235" w:lineRule="auto"/>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or payments to the named executive officer’s convalescence pay, pension fund, work disability insurance, severance fund, education fund, and social security.</w:t>
      </w:r>
    </w:p>
    <w:p>
      <w:pPr>
        <w:ind w:left="420" w:hanging="420"/>
        <w:spacing w:after="0"/>
        <w:tabs>
          <w:tab w:leader="none" w:pos="4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the value of certain performance-based options granted and vested to the executive in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w:t>
      </w:r>
    </w:p>
    <w:p>
      <w:pPr>
        <w:spacing w:after="0" w:line="23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The following table presents the outstanding equity awards held by each of the named executive officers as of the end of the fiscal year ended December 31, 2024.</w:t>
      </w:r>
    </w:p>
    <w:p>
      <w:pPr>
        <w:sectPr>
          <w:pgSz w:w="12240" w:h="15840" w:orient="portrait"/>
          <w:cols w:equalWidth="0" w:num="1">
            <w:col w:w="10800"/>
          </w:cols>
          <w:pgMar w:left="720" w:top="71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719" w:right="720" w:bottom="155"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1"/>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Stock Awards</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Equity</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4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Incentive</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Incentive</w:t>
            </w:r>
          </w:p>
        </w:tc>
        <w:tc>
          <w:tcPr>
            <w:tcW w:w="460" w:type="dxa"/>
            <w:vAlign w:val="bottom"/>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Plan</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Market</w:t>
            </w:r>
          </w:p>
        </w:tc>
        <w:tc>
          <w:tcPr>
            <w:tcW w:w="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Plan</w:t>
            </w:r>
          </w:p>
        </w:tc>
        <w:tc>
          <w:tcPr>
            <w:tcW w:w="4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Awards:</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value</w:t>
            </w:r>
          </w:p>
        </w:tc>
        <w:tc>
          <w:tcPr>
            <w:tcW w:w="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Awards:</w:t>
            </w:r>
          </w:p>
        </w:tc>
        <w:tc>
          <w:tcPr>
            <w:tcW w:w="4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Market</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4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460" w:type="dxa"/>
            <w:vAlign w:val="bottom"/>
          </w:tcPr>
          <w:p>
            <w:pPr>
              <w:spacing w:after="0"/>
              <w:rPr>
                <w:sz w:val="19"/>
                <w:szCs w:val="19"/>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or Payout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4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4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Value of</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4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Unearned</w:t>
            </w:r>
          </w:p>
        </w:tc>
        <w:tc>
          <w:tcPr>
            <w:tcW w:w="4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Unearned</w:t>
            </w:r>
          </w:p>
        </w:tc>
      </w:tr>
      <w:tr>
        <w:trPr>
          <w:trHeight w:val="230"/>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4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4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w:t>
            </w:r>
          </w:p>
        </w:tc>
        <w:tc>
          <w:tcPr>
            <w:tcW w:w="460" w:type="dxa"/>
            <w:vAlign w:val="bottom"/>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Shares,</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or Units</w:t>
            </w:r>
          </w:p>
        </w:tc>
        <w:tc>
          <w:tcPr>
            <w:tcW w:w="4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Units or</w:t>
            </w:r>
          </w:p>
        </w:tc>
        <w:tc>
          <w:tcPr>
            <w:tcW w:w="4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Units or</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of Stock</w:t>
            </w:r>
          </w:p>
        </w:tc>
        <w:tc>
          <w:tcPr>
            <w:tcW w:w="4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4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Other</w:t>
            </w:r>
          </w:p>
        </w:tc>
        <w:tc>
          <w:tcPr>
            <w:tcW w:w="460" w:type="dxa"/>
            <w:vAlign w:val="bottom"/>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Other</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Underlying</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Underlying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That</w:t>
            </w:r>
          </w:p>
        </w:tc>
        <w:tc>
          <w:tcPr>
            <w:tcW w:w="4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That</w:t>
            </w:r>
          </w:p>
        </w:tc>
        <w:tc>
          <w:tcPr>
            <w:tcW w:w="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Rights</w:t>
            </w:r>
          </w:p>
        </w:tc>
        <w:tc>
          <w:tcPr>
            <w:tcW w:w="4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Rights</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Unexercised</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Unexercised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00" w:type="dxa"/>
            <w:vAlign w:val="bottom"/>
          </w:tcPr>
          <w:p>
            <w:pPr>
              <w:spacing w:after="0"/>
              <w:rPr>
                <w:sz w:val="20"/>
                <w:szCs w:val="20"/>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Have</w:t>
            </w:r>
          </w:p>
        </w:tc>
        <w:tc>
          <w:tcPr>
            <w:tcW w:w="4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Have</w:t>
            </w:r>
          </w:p>
        </w:tc>
        <w:tc>
          <w:tcPr>
            <w:tcW w:w="4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That</w:t>
            </w:r>
          </w:p>
        </w:tc>
        <w:tc>
          <w:tcPr>
            <w:tcW w:w="4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That</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100" w:type="dxa"/>
            <w:vAlign w:val="bottom"/>
          </w:tcPr>
          <w:p>
            <w:pPr>
              <w:spacing w:after="0"/>
              <w:rPr>
                <w:sz w:val="19"/>
                <w:szCs w:val="19"/>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Expiration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Not</w:t>
            </w:r>
          </w:p>
        </w:tc>
        <w:tc>
          <w:tcPr>
            <w:tcW w:w="4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Not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Have Not</w:t>
            </w:r>
          </w:p>
        </w:tc>
        <w:tc>
          <w:tcPr>
            <w:tcW w:w="460" w:type="dxa"/>
            <w:vAlign w:val="bottom"/>
          </w:tcPr>
          <w:p>
            <w:pPr>
              <w:spacing w:after="0"/>
              <w:rPr>
                <w:sz w:val="19"/>
                <w:szCs w:val="19"/>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Have Not</w:t>
            </w:r>
          </w:p>
        </w:tc>
      </w:tr>
      <w:tr>
        <w:trPr>
          <w:trHeight w:val="231"/>
        </w:trPr>
        <w:tc>
          <w:tcPr>
            <w:tcW w:w="19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Exercisable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Unexercisable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Price</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40" w:type="dxa"/>
            <w:vAlign w:val="bottom"/>
          </w:tcPr>
          <w:p>
            <w:pPr>
              <w:spacing w:after="0"/>
              <w:rPr>
                <w:sz w:val="20"/>
                <w:szCs w:val="20"/>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48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4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46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60" w:type="dxa"/>
            <w:vAlign w:val="bottom"/>
          </w:tcPr>
          <w:p>
            <w:pPr>
              <w:spacing w:after="0"/>
              <w:rPr>
                <w:sz w:val="20"/>
                <w:szCs w:val="20"/>
                <w:color w:val="auto"/>
              </w:rPr>
            </w:pPr>
          </w:p>
        </w:tc>
      </w:tr>
      <w:tr>
        <w:trPr>
          <w:trHeight w:val="459"/>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Harel Gadot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1/01/2025</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9/14/2027</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166,666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2/25/2030</w:t>
            </w: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02/01/2031</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01/26/2032</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12/21/2032</w:t>
            </w: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08/01/2033</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02/22/2034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02/22/2034</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79,567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02/26/2034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02/26/2034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0"/>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Simon Sharon</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08/13/2028</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08/12/2029</w:t>
            </w: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01/26/2032</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12/21/2032</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08/01/2033</w:t>
            </w: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02/22/2034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02/22/2034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02/26/2034</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61"/>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Rachel Vaknin</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01/26/2032</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07/18/2032</w:t>
            </w: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12/21/2032</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08/01/2033</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02/22/2034</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02/22/2034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02/26/2034</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0"/>
        </w:trPr>
        <w:tc>
          <w:tcPr>
            <w:tcW w:w="1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Juan Diaz-Cartelle</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01/12/2033</w:t>
            </w:r>
          </w:p>
        </w:tc>
        <w:tc>
          <w:tcPr>
            <w:tcW w:w="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02/22/2034</w:t>
            </w: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02/26/2034</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Executive Employment Agreements</w:t>
      </w:r>
    </w:p>
    <w:p>
      <w:pPr>
        <w:spacing w:after="0" w:line="2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Harel Gadot Employment Agreement</w:t>
      </w:r>
    </w:p>
    <w:p>
      <w:pPr>
        <w:spacing w:after="0" w:line="239" w:lineRule="exact"/>
        <w:rPr>
          <w:sz w:val="20"/>
          <w:szCs w:val="20"/>
          <w:color w:val="auto"/>
        </w:rPr>
      </w:pPr>
    </w:p>
    <w:p>
      <w:pPr>
        <w:jc w:val="both"/>
        <w:ind w:left="80" w:right="100"/>
        <w:spacing w:after="0" w:line="238" w:lineRule="auto"/>
        <w:rPr>
          <w:sz w:val="20"/>
          <w:szCs w:val="20"/>
          <w:color w:val="auto"/>
        </w:rPr>
      </w:pPr>
      <w:r>
        <w:rPr>
          <w:rFonts w:ascii="Times New Roman" w:cs="Times New Roman" w:eastAsia="Times New Roman" w:hAnsi="Times New Roman"/>
          <w:sz w:val="20"/>
          <w:szCs w:val="20"/>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is $556,972.</w:t>
      </w:r>
    </w:p>
    <w:p>
      <w:pPr>
        <w:sectPr>
          <w:pgSz w:w="12240" w:h="15840" w:orient="portrait"/>
          <w:cols w:equalWidth="0" w:num="1">
            <w:col w:w="10980"/>
          </w:cols>
          <w:pgMar w:left="640" w:top="719" w:right="620" w:bottom="155"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980"/>
          </w:cols>
          <w:pgMar w:left="640" w:top="719" w:right="620" w:bottom="155" w:gutter="0" w:footer="0" w:header="0"/>
          <w:type w:val="continuous"/>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9"/>
          <w:szCs w:val="19"/>
          <w:color w:val="auto"/>
        </w:rPr>
        <w:t>Effective as of January 26, 2022, Mr. Gadot shall also be entitled to receive a target annual cash bonus of up to a maximum amount of 75% of base salary, which maximum amount of $397,837 was paid in 2025 for the 2024 fiscal year. For the 2023 fiscal year, Mr. Gadot received in 2024 $149,188.50 of a possible maximum of $298,377, and a bonus in the form of 79,567 stock options. In January 2025, the Compensation Committee authorized the payment to Mr. Gadot of a special bonus in the amount of approximately $150,000.</w:t>
      </w:r>
    </w:p>
    <w:p>
      <w:pPr>
        <w:spacing w:after="0" w:line="2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vested in accordance with their terms as of February 5, 2025.</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the event Mr. Gadot’s employment is terminated by the Company for cause, Mr. Gadot would be entitled to receive any compensation then due and payable incurred up to the date of termination.</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Rachel Vaknin Employment Agreement</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entered into an employment agreement, dated November 22, 2021, amended as of May 15, 2023 and February 5, 2025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is 720,000 NIS.</w:t>
      </w:r>
    </w:p>
    <w:p>
      <w:pPr>
        <w:spacing w:after="0" w:line="2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vested in accordance with their terms as of February 5, 2025.</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Either the Company or Ms. Vaknin may terminate the Vaknin Agreement at its discretion at any time by providing the other party with two months prior written notice of termination (the “Advance Notice Period”).</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may terminate the Vaknin Agreement “For Cause” (as defined in the Vaknin Agreement) at any time by written notice without the Advance Notice Period.</w:t>
      </w:r>
    </w:p>
    <w:p>
      <w:pPr>
        <w:sectPr>
          <w:pgSz w:w="12240" w:h="15840" w:orient="portrait"/>
          <w:cols w:equalWidth="0" w:num="1">
            <w:col w:w="10800"/>
          </w:cols>
          <w:pgMar w:left="720" w:top="729" w:right="720" w:bottom="155"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729" w:right="720" w:bottom="155" w:gutter="0" w:footer="0" w:header="0"/>
          <w:type w:val="continuous"/>
        </w:sectPr>
      </w:pPr>
    </w:p>
    <w:bookmarkStart w:id="47" w:name="page48"/>
    <w:bookmarkEnd w:id="47"/>
    <w:p>
      <w:pPr>
        <w:jc w:val="both"/>
        <w:spacing w:after="0" w:line="236" w:lineRule="auto"/>
        <w:rPr>
          <w:sz w:val="20"/>
          <w:szCs w:val="20"/>
          <w:color w:val="auto"/>
        </w:rPr>
      </w:pPr>
      <w:r>
        <w:rPr>
          <w:rFonts w:ascii="Times New Roman" w:cs="Times New Roman" w:eastAsia="Times New Roman" w:hAnsi="Times New Roman"/>
          <w:sz w:val="20"/>
          <w:szCs w:val="20"/>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Simon Sharon Employment Agreement</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entered into an employment agreement, dated as of March 31, 2018 and amended pursuant to a First Amendment to Employment Agreement dated as of April 19, 2021, as further amended as of May 15, 2023 and on February 5, 2025 (as so amended, the “Sharon Agreement”), with Mr. Sharon, to serve as the Company’s Chief Technology Officer and the General Manager of Microbot Israel, on an indefinite basis subject to the termination provisions described in the Sharon Agreement.</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salary is reviewed on an annual basis by the Compensation Committee of the Company to determine potential increases taking into account such performance metrics and criteria as established by the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terms of the Sharon Agreement, for the fiscal year ending December 31, 2025, Mr. Sharon’s annual salary is 960,000.</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vested in accordance with their terms as of February 5, 2025.</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Either the Company or Mr. Sharon may terminate the Sharon Agreement without cause (as defined in the Sharon Agreement) by providing the other party with ninety days prior written notice.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may terminate the Sharon Agreement for cause at any time by written notice without any advance notice.</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Juan Diaz-Cartelle Employment Agreement</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entered into an employment agreement, effective as of December 1, 2023 and as amended on February 5, 2025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is $367,500.</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Dr. Diaz-Cartelle shall also be entitled to receive a target annual cash bonus, based on corporate performance factors established and assessed by the Compensation Committee, of up to a maximum amount of 35% (up from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w:t>
      </w:r>
    </w:p>
    <w:p>
      <w:pPr>
        <w:sectPr>
          <w:pgSz w:w="12240" w:h="15840" w:orient="portrait"/>
          <w:cols w:equalWidth="0" w:num="1">
            <w:col w:w="10800"/>
          </w:cols>
          <w:pgMar w:left="720" w:top="729" w:right="720" w:bottom="155"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729" w:right="720" w:bottom="155" w:gutter="0" w:footer="0" w:header="0"/>
          <w:type w:val="continuous"/>
        </w:sectPr>
      </w:pPr>
    </w:p>
    <w:bookmarkStart w:id="48" w:name="page49"/>
    <w:bookmarkEnd w:id="48"/>
    <w:p>
      <w:pPr>
        <w:jc w:val="both"/>
        <w:spacing w:after="0" w:line="234" w:lineRule="auto"/>
        <w:rPr>
          <w:sz w:val="20"/>
          <w:szCs w:val="20"/>
          <w:color w:val="auto"/>
        </w:rPr>
      </w:pPr>
      <w:r>
        <w:rPr>
          <w:rFonts w:ascii="Times New Roman" w:cs="Times New Roman" w:eastAsia="Times New Roman" w:hAnsi="Times New Roman"/>
          <w:sz w:val="20"/>
          <w:szCs w:val="20"/>
          <w:color w:val="auto"/>
        </w:rPr>
        <w:t>Diaz-Cartelle an aggregate of 35,000 options, of which 17,500 were performance-based options and of which 10,500 vested in accordance with their terms as of February 5, 2025.</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Limits on Liability and Indemnification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provide directors and officers insurance for our current directors and officers.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ectPr>
          <w:pgSz w:w="12240" w:h="15840" w:orient="portrait"/>
          <w:cols w:equalWidth="0" w:num="1">
            <w:col w:w="10800"/>
          </w:cols>
          <w:pgMar w:left="720" w:top="72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729" w:right="720" w:bottom="155" w:gutter="0" w:footer="0" w:header="0"/>
          <w:type w:val="continuous"/>
        </w:sectPr>
      </w:pPr>
    </w:p>
    <w:bookmarkStart w:id="49" w:name="page50"/>
    <w:bookmarkEnd w:id="49"/>
    <w:p>
      <w:pPr>
        <w:jc w:val="both"/>
        <w:ind w:left="360" w:right="380"/>
        <w:spacing w:after="0" w:line="234" w:lineRule="auto"/>
        <w:rPr>
          <w:sz w:val="20"/>
          <w:szCs w:val="20"/>
          <w:color w:val="auto"/>
        </w:rPr>
      </w:pPr>
      <w:r>
        <w:rPr>
          <w:rFonts w:ascii="Times New Roman" w:cs="Times New Roman" w:eastAsia="Times New Roman" w:hAnsi="Times New Roman"/>
          <w:sz w:val="20"/>
          <w:szCs w:val="20"/>
          <w:b w:val="1"/>
          <w:bCs w:val="1"/>
          <w:color w:val="auto"/>
        </w:rPr>
        <w:t>Disclosure of Policies and Practices Related to the Grant of Equity Awards Close in Time to the Release of Material Nonpublic Information.</w:t>
      </w:r>
    </w:p>
    <w:p>
      <w:pPr>
        <w:spacing w:after="0" w:line="242" w:lineRule="exact"/>
        <w:rPr>
          <w:sz w:val="20"/>
          <w:szCs w:val="20"/>
          <w:color w:val="auto"/>
        </w:rPr>
      </w:pPr>
    </w:p>
    <w:p>
      <w:pPr>
        <w:jc w:val="both"/>
        <w:ind w:left="360" w:right="380"/>
        <w:spacing w:after="0" w:line="252" w:lineRule="auto"/>
        <w:rPr>
          <w:sz w:val="20"/>
          <w:szCs w:val="20"/>
          <w:color w:val="auto"/>
        </w:rPr>
      </w:pPr>
      <w:r>
        <w:rPr>
          <w:rFonts w:ascii="Times New Roman" w:cs="Times New Roman" w:eastAsia="Times New Roman" w:hAnsi="Times New Roman"/>
          <w:sz w:val="19"/>
          <w:szCs w:val="19"/>
          <w:color w:val="auto"/>
        </w:rPr>
        <w:t>The Company does not have any adopted policies and practices on the timing of awards of options in relation to the disclosure of material nonpublic information by the Company. The Company’s Compensation Committee and Board of Directors, as applicable, typically grants options in the first quarter of each fiscal year to the Company’s executive officers and employees, and would typically grants options to independent members of the Board of Directors after each annual meeting of stockholders (which was not followed in 2024, with such options being granted in January 2025), although such awards are not granted on a predetermined schedule. The board and compensation committee takes material nonpublic information into account when determining the timing and terms of such an award and whether any disclosure of material nonpublic information is timed for the purpose of affecting the value of executive compensation, and will, for instance, delay the grant of awards if material news is expected to be made public based on discussions with management.</w:t>
      </w:r>
    </w:p>
    <w:p>
      <w:pPr>
        <w:spacing w:after="0" w:line="234" w:lineRule="exact"/>
        <w:rPr>
          <w:sz w:val="20"/>
          <w:szCs w:val="20"/>
          <w:color w:val="auto"/>
        </w:rPr>
      </w:pPr>
    </w:p>
    <w:p>
      <w:pPr>
        <w:jc w:val="both"/>
        <w:ind w:left="360" w:right="380"/>
        <w:spacing w:after="0" w:line="236" w:lineRule="auto"/>
        <w:rPr>
          <w:sz w:val="20"/>
          <w:szCs w:val="20"/>
          <w:color w:val="auto"/>
        </w:rPr>
      </w:pPr>
      <w:r>
        <w:rPr>
          <w:rFonts w:ascii="Times New Roman" w:cs="Times New Roman" w:eastAsia="Times New Roman" w:hAnsi="Times New Roman"/>
          <w:sz w:val="20"/>
          <w:szCs w:val="20"/>
          <w:color w:val="auto"/>
        </w:rPr>
        <w:t>The Company, during the last completed fiscal year, did not award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report.</w:t>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39" w:lineRule="exact"/>
        <w:rPr>
          <w:sz w:val="20"/>
          <w:szCs w:val="20"/>
          <w:color w:val="auto"/>
        </w:rPr>
      </w:pPr>
    </w:p>
    <w:p>
      <w:pPr>
        <w:jc w:val="both"/>
        <w:ind w:left="360" w:right="380"/>
        <w:spacing w:after="0" w:line="252" w:lineRule="auto"/>
        <w:rPr>
          <w:sz w:val="20"/>
          <w:szCs w:val="20"/>
          <w:color w:val="auto"/>
        </w:rPr>
      </w:pPr>
      <w:r>
        <w:rPr>
          <w:rFonts w:ascii="Times New Roman" w:cs="Times New Roman" w:eastAsia="Times New Roman" w:hAnsi="Times New Roman"/>
          <w:sz w:val="19"/>
          <w:szCs w:val="19"/>
          <w:color w:val="auto"/>
        </w:rPr>
        <w:t>The Company has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Company had recently amended the director’s compensation package to remove the requirement that the option grants be based on a specific dollar value of $95,000 (or $190,000 for new directors) as a result of the decrease in value of the Company’s stock price and the corresponding increase in the number of options the directors would have each received. Instead, the number of options shall be determined by the Compensation Committee or the Board based on, among other factors, a market competitive percentage of the Corporation’s issued and outstanding shares of common stock from time to time. For the 2024 fiscal year, in January 2025 the independent members of the Board were each granted 10,000 options with Mr. Wilson, as a newly elected director, being granted an additional 10,000 options. Additionally, as a result of the Company’s May 2023 cost reduction plan, the independent members of the Board agreed to a suspension of their quarterly director fees, with reinstatement of such fees effective as of January 1, 2024.</w:t>
      </w:r>
    </w:p>
    <w:p>
      <w:pPr>
        <w:spacing w:after="0" w:line="239" w:lineRule="exact"/>
        <w:rPr>
          <w:sz w:val="20"/>
          <w:szCs w:val="20"/>
          <w:color w:val="auto"/>
        </w:rPr>
      </w:pPr>
    </w:p>
    <w:p>
      <w:pPr>
        <w:jc w:val="both"/>
        <w:ind w:left="360" w:right="380"/>
        <w:spacing w:after="0" w:line="235" w:lineRule="auto"/>
        <w:rPr>
          <w:sz w:val="20"/>
          <w:szCs w:val="20"/>
          <w:color w:val="auto"/>
        </w:rPr>
      </w:pPr>
      <w:r>
        <w:rPr>
          <w:rFonts w:ascii="Times New Roman" w:cs="Times New Roman" w:eastAsia="Times New Roman" w:hAnsi="Times New Roman"/>
          <w:sz w:val="20"/>
          <w:szCs w:val="20"/>
          <w:color w:val="auto"/>
        </w:rPr>
        <w:t>The following table summarizes cash and equity-based compensation information for our outside directors, for the year ended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Fees earned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00" w:type="dxa"/>
            <w:vAlign w:val="bottom"/>
          </w:tcPr>
          <w:p>
            <w:pPr>
              <w:spacing w:after="0"/>
              <w:rPr>
                <w:sz w:val="19"/>
                <w:szCs w:val="19"/>
                <w:color w:val="auto"/>
              </w:rPr>
            </w:pPr>
          </w:p>
        </w:tc>
        <w:tc>
          <w:tcPr>
            <w:tcW w:w="184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Non-Equity</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Deferred</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or paid in</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Awards</w:t>
            </w:r>
          </w:p>
        </w:tc>
        <w:tc>
          <w:tcPr>
            <w:tcW w:w="100" w:type="dxa"/>
            <w:vAlign w:val="bottom"/>
          </w:tcPr>
          <w:p>
            <w:pPr>
              <w:spacing w:after="0"/>
              <w:rPr>
                <w:sz w:val="20"/>
                <w:szCs w:val="20"/>
                <w:color w:val="auto"/>
              </w:rPr>
            </w:pPr>
          </w:p>
        </w:tc>
        <w:tc>
          <w:tcPr>
            <w:tcW w:w="184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Incentive Plan</w:t>
            </w:r>
          </w:p>
        </w:tc>
        <w:tc>
          <w:tcPr>
            <w:tcW w:w="1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Compensation</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All Other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30"/>
        </w:trPr>
        <w:tc>
          <w:tcPr>
            <w:tcW w:w="20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20"/>
                <w:szCs w:val="20"/>
                <w:b w:val="1"/>
                <w:bCs w:val="1"/>
                <w:color w:val="auto"/>
              </w:rPr>
              <w:t>Name</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cash</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Awards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(1)</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Earnings</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459"/>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Yoseph Bornstein (2)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39,375</w:t>
            </w:r>
          </w:p>
        </w:tc>
        <w:tc>
          <w:tcPr>
            <w:tcW w:w="9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66,891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$106,266</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Scott Burell</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9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66,891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$111,891</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Martin Madden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w:t>
            </w:r>
          </w:p>
        </w:tc>
        <w:tc>
          <w:tcPr>
            <w:tcW w:w="1100" w:type="dxa"/>
            <w:vAlign w:val="bottom"/>
            <w:gridSpan w:val="4"/>
          </w:tcPr>
          <w:p>
            <w:pPr>
              <w:ind w:left="840"/>
              <w:spacing w:after="0"/>
              <w:rPr>
                <w:sz w:val="20"/>
                <w:szCs w:val="20"/>
                <w:color w:val="auto"/>
              </w:rPr>
            </w:pPr>
            <w:r>
              <w:rPr>
                <w:rFonts w:ascii="Times New Roman" w:cs="Times New Roman" w:eastAsia="Times New Roman" w:hAnsi="Times New Roman"/>
                <w:sz w:val="20"/>
                <w:szCs w:val="20"/>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66,891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 $111,891</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Prattipati Laxminarain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33,750</w:t>
            </w:r>
          </w:p>
        </w:tc>
        <w:tc>
          <w:tcPr>
            <w:tcW w:w="9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66,891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$100,641</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Aileen Stockburger</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31,875</w:t>
            </w:r>
          </w:p>
        </w:tc>
        <w:tc>
          <w:tcPr>
            <w:tcW w:w="9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66,891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gridSpan w:val="2"/>
          </w:tcPr>
          <w:p>
            <w:pPr>
              <w:ind w:left="14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98,766</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Tal Wenderow</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1100" w:type="dxa"/>
            <w:vAlign w:val="bottom"/>
            <w:gridSpan w:val="4"/>
          </w:tcPr>
          <w:p>
            <w:pPr>
              <w:ind w:left="840"/>
              <w:spacing w:after="0"/>
              <w:rPr>
                <w:sz w:val="20"/>
                <w:szCs w:val="20"/>
                <w:color w:val="auto"/>
              </w:rPr>
            </w:pPr>
            <w:r>
              <w:rPr>
                <w:rFonts w:ascii="Times New Roman" w:cs="Times New Roman" w:eastAsia="Times New Roman" w:hAnsi="Times New Roman"/>
                <w:sz w:val="20"/>
                <w:szCs w:val="20"/>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66,891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gridSpan w:val="4"/>
          </w:tcPr>
          <w:p>
            <w:pPr>
              <w:ind w:left="1480"/>
              <w:spacing w:after="0"/>
              <w:rPr>
                <w:sz w:val="20"/>
                <w:szCs w:val="20"/>
                <w:color w:val="auto"/>
              </w:rPr>
            </w:pPr>
            <w:r>
              <w:rPr>
                <w:rFonts w:ascii="Times New Roman" w:cs="Times New Roman" w:eastAsia="Times New Roman" w:hAnsi="Times New Roman"/>
                <w:sz w:val="20"/>
                <w:szCs w:val="20"/>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96,891</w:t>
            </w: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20"/>
                <w:szCs w:val="20"/>
                <w:color w:val="auto"/>
              </w:rPr>
              <w:t>David J. Wilson (3)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20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__________</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33" w:lineRule="exact"/>
        <w:rPr>
          <w:sz w:val="20"/>
          <w:szCs w:val="20"/>
          <w:color w:val="auto"/>
        </w:rPr>
      </w:pPr>
    </w:p>
    <w:p>
      <w:pPr>
        <w:jc w:val="both"/>
        <w:ind w:left="980" w:right="380" w:hanging="620"/>
        <w:spacing w:after="0" w:line="236" w:lineRule="auto"/>
        <w:tabs>
          <w:tab w:leader="none" w:pos="9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w:t>
      </w:r>
    </w:p>
    <w:p>
      <w:pPr>
        <w:spacing w:after="0" w:line="11" w:lineRule="exact"/>
        <w:rPr>
          <w:rFonts w:ascii="Times New Roman" w:cs="Times New Roman" w:eastAsia="Times New Roman" w:hAnsi="Times New Roman"/>
          <w:sz w:val="20"/>
          <w:szCs w:val="20"/>
          <w:color w:val="auto"/>
        </w:rPr>
      </w:pPr>
    </w:p>
    <w:p>
      <w:pPr>
        <w:ind w:left="980" w:right="380"/>
        <w:spacing w:after="0" w:line="23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of the Company included in the Company’s Annual Report on Form 10-K for the fiscal year ended December 31, 2023.</w:t>
      </w:r>
    </w:p>
    <w:p>
      <w:pPr>
        <w:spacing w:after="0" w:line="1" w:lineRule="exact"/>
        <w:rPr>
          <w:rFonts w:ascii="Times New Roman" w:cs="Times New Roman" w:eastAsia="Times New Roman" w:hAnsi="Times New Roman"/>
          <w:sz w:val="20"/>
          <w:szCs w:val="20"/>
          <w:color w:val="auto"/>
        </w:rPr>
      </w:pPr>
    </w:p>
    <w:p>
      <w:pPr>
        <w:ind w:left="980" w:hanging="620"/>
        <w:spacing w:after="0"/>
        <w:tabs>
          <w:tab w:leader="none" w:pos="9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Bornstein’s term as a director expired in December 2024.</w:t>
      </w:r>
    </w:p>
    <w:p>
      <w:pPr>
        <w:ind w:left="980" w:hanging="620"/>
        <w:spacing w:after="0"/>
        <w:tabs>
          <w:tab w:leader="none" w:pos="9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Wilson’s term as a director commenced in December 2024.</w: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Mr. Gadot received compensation for his services to the Company as set forth under the summary compensation table above.</w:t>
      </w:r>
    </w:p>
    <w:p>
      <w:pPr>
        <w:sectPr>
          <w:pgSz w:w="12240" w:h="15840" w:orient="portrait"/>
          <w:cols w:equalWidth="0" w:num="1">
            <w:col w:w="11540"/>
          </w:cols>
          <w:pgMar w:left="360" w:top="729" w:right="3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1540"/>
          </w:cols>
          <w:pgMar w:left="360" w:top="729" w:right="340" w:bottom="15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 xml:space="preserve">Item 12. </w:t>
      </w:r>
      <w:r>
        <w:rPr>
          <w:rFonts w:ascii="Times New Roman" w:cs="Times New Roman" w:eastAsia="Times New Roman" w:hAnsi="Times New Roman"/>
          <w:sz w:val="20"/>
          <w:szCs w:val="20"/>
          <w:b w:val="1"/>
          <w:bCs w:val="1"/>
          <w:u w:val="single" w:color="auto"/>
          <w:color w:val="auto"/>
        </w:rPr>
        <w:t>Security Ownership of Certain Beneficial Owners and Management and Related Stockholder Matters.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following table shows the number of shares of our common stock beneficially owned, as of March 24, 2025,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24, 2025. We calculated percentage ownership in accordance with the rules of the SEC. The percentage of common stock beneficially owned is based on 34,744,476 shares outstanding as of March 24, 2025. In addition, shares issuable pursuant to options or other convertible securities that may be acquired within 60 days of March 24, 2025 are deemed to be issued and outstanding and have been treated as outstanding in calculating and determining the beneficial ownership and percentage ownership of those persons possessing those securities, but not for any other persons.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ectPr>
          <w:pgSz w:w="12240" w:h="15840" w:orient="portrait"/>
          <w:cols w:equalWidth="0" w:num="1">
            <w:col w:w="10800"/>
          </w:cols>
          <w:pgMar w:left="720" w:top="719" w:right="720" w:bottom="155"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Beneficial Owner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280289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289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pt" to="220.7pt,0.5pt" o:allowincell="f" strokecolor="#000000" strokeweight="0.96pt"/>
            </w:pict>
          </mc:Fallback>
        </mc:AlternateContent>
      </w:r>
    </w:p>
    <w:p>
      <w:pPr>
        <w:spacing w:after="0"/>
        <w:rPr>
          <w:sz w:val="20"/>
          <w:szCs w:val="20"/>
          <w:color w:val="auto"/>
        </w:rPr>
      </w:pPr>
      <w:r>
        <w:rPr>
          <w:rFonts w:ascii="Times New Roman" w:cs="Times New Roman" w:eastAsia="Times New Roman" w:hAnsi="Times New Roman"/>
          <w:sz w:val="20"/>
          <w:szCs w:val="20"/>
          <w:color w:val="auto"/>
        </w:rPr>
        <w:t>Harel Gadot</w:t>
      </w:r>
      <w:r>
        <w:rPr>
          <w:rFonts w:ascii="Times New Roman" w:cs="Times New Roman" w:eastAsia="Times New Roman" w:hAnsi="Times New Roman"/>
          <w:sz w:val="31"/>
          <w:szCs w:val="31"/>
          <w:color w:val="auto"/>
          <w:vertAlign w:val="superscript"/>
        </w:rPr>
        <w:t>(1)(2)</w:t>
      </w:r>
    </w:p>
    <w:p>
      <w:pPr>
        <w:spacing w:after="0" w:line="181" w:lineRule="auto"/>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7"/>
          <w:szCs w:val="27"/>
          <w:color w:val="auto"/>
          <w:vertAlign w:val="superscript"/>
        </w:rPr>
        <w:t>(3)</w:t>
      </w:r>
    </w:p>
    <w:p>
      <w:pPr>
        <w:spacing w:after="0" w:line="193" w:lineRule="auto"/>
        <w:rPr>
          <w:sz w:val="20"/>
          <w:szCs w:val="20"/>
          <w:color w:val="auto"/>
        </w:rPr>
      </w:pPr>
      <w:r>
        <w:rPr>
          <w:rFonts w:ascii="Times New Roman" w:cs="Times New Roman" w:eastAsia="Times New Roman" w:hAnsi="Times New Roman"/>
          <w:sz w:val="20"/>
          <w:szCs w:val="20"/>
          <w:color w:val="auto"/>
        </w:rPr>
        <w:t>Martin Madden</w:t>
      </w:r>
      <w:r>
        <w:rPr>
          <w:rFonts w:ascii="Times New Roman" w:cs="Times New Roman" w:eastAsia="Times New Roman" w:hAnsi="Times New Roman"/>
          <w:sz w:val="31"/>
          <w:szCs w:val="31"/>
          <w:color w:val="auto"/>
          <w:vertAlign w:val="superscript"/>
        </w:rPr>
        <w:t>(3)</w:t>
      </w:r>
    </w:p>
    <w:p>
      <w:pPr>
        <w:spacing w:after="0" w:line="192" w:lineRule="auto"/>
        <w:rPr>
          <w:sz w:val="20"/>
          <w:szCs w:val="20"/>
          <w:color w:val="auto"/>
        </w:rPr>
      </w:pPr>
      <w:r>
        <w:rPr>
          <w:rFonts w:ascii="Times New Roman" w:cs="Times New Roman" w:eastAsia="Times New Roman" w:hAnsi="Times New Roman"/>
          <w:sz w:val="20"/>
          <w:szCs w:val="20"/>
          <w:color w:val="auto"/>
        </w:rPr>
        <w:t>Prattipati Laxminarain</w:t>
      </w:r>
      <w:r>
        <w:rPr>
          <w:rFonts w:ascii="Times New Roman" w:cs="Times New Roman" w:eastAsia="Times New Roman" w:hAnsi="Times New Roman"/>
          <w:sz w:val="31"/>
          <w:szCs w:val="31"/>
          <w:color w:val="auto"/>
          <w:vertAlign w:val="superscript"/>
        </w:rPr>
        <w:t>(3)</w:t>
      </w:r>
    </w:p>
    <w:p>
      <w:pPr>
        <w:spacing w:after="0" w:line="194" w:lineRule="auto"/>
        <w:rPr>
          <w:sz w:val="20"/>
          <w:szCs w:val="20"/>
          <w:color w:val="auto"/>
        </w:rPr>
      </w:pPr>
      <w:r>
        <w:rPr>
          <w:rFonts w:ascii="Times New Roman" w:cs="Times New Roman" w:eastAsia="Times New Roman" w:hAnsi="Times New Roman"/>
          <w:sz w:val="20"/>
          <w:szCs w:val="20"/>
          <w:color w:val="auto"/>
        </w:rPr>
        <w:t>Aileen Stockburger</w:t>
      </w:r>
      <w:r>
        <w:rPr>
          <w:rFonts w:ascii="Times New Roman" w:cs="Times New Roman" w:eastAsia="Times New Roman" w:hAnsi="Times New Roman"/>
          <w:sz w:val="31"/>
          <w:szCs w:val="31"/>
          <w:color w:val="auto"/>
          <w:vertAlign w:val="superscript"/>
        </w:rPr>
        <w:t>(3)</w:t>
      </w:r>
    </w:p>
    <w:p>
      <w:pPr>
        <w:spacing w:after="0" w:line="193" w:lineRule="auto"/>
        <w:rPr>
          <w:sz w:val="20"/>
          <w:szCs w:val="20"/>
          <w:color w:val="auto"/>
        </w:rPr>
      </w:pPr>
      <w:r>
        <w:rPr>
          <w:rFonts w:ascii="Times New Roman" w:cs="Times New Roman" w:eastAsia="Times New Roman" w:hAnsi="Times New Roman"/>
          <w:sz w:val="20"/>
          <w:szCs w:val="20"/>
          <w:color w:val="auto"/>
        </w:rPr>
        <w:t>Simon Sharon</w:t>
      </w:r>
      <w:r>
        <w:rPr>
          <w:rFonts w:ascii="Times New Roman" w:cs="Times New Roman" w:eastAsia="Times New Roman" w:hAnsi="Times New Roman"/>
          <w:sz w:val="31"/>
          <w:szCs w:val="31"/>
          <w:color w:val="auto"/>
          <w:vertAlign w:val="superscript"/>
        </w:rPr>
        <w:t>(2)(3)</w:t>
      </w:r>
    </w:p>
    <w:p>
      <w:pPr>
        <w:spacing w:after="0" w:line="194" w:lineRule="auto"/>
        <w:rPr>
          <w:sz w:val="20"/>
          <w:szCs w:val="20"/>
          <w:color w:val="auto"/>
        </w:rPr>
      </w:pPr>
      <w:r>
        <w:rPr>
          <w:rFonts w:ascii="Times New Roman" w:cs="Times New Roman" w:eastAsia="Times New Roman" w:hAnsi="Times New Roman"/>
          <w:sz w:val="20"/>
          <w:szCs w:val="20"/>
          <w:color w:val="auto"/>
        </w:rPr>
        <w:t>Tal Wenderow</w:t>
      </w:r>
      <w:r>
        <w:rPr>
          <w:rFonts w:ascii="Times New Roman" w:cs="Times New Roman" w:eastAsia="Times New Roman" w:hAnsi="Times New Roman"/>
          <w:sz w:val="31"/>
          <w:szCs w:val="31"/>
          <w:color w:val="auto"/>
          <w:vertAlign w:val="superscript"/>
        </w:rPr>
        <w:t>(3)</w:t>
      </w:r>
    </w:p>
    <w:p>
      <w:pPr>
        <w:spacing w:after="0" w:line="193" w:lineRule="auto"/>
        <w:rPr>
          <w:sz w:val="20"/>
          <w:szCs w:val="20"/>
          <w:color w:val="auto"/>
        </w:rPr>
      </w:pPr>
      <w:r>
        <w:rPr>
          <w:rFonts w:ascii="Times New Roman" w:cs="Times New Roman" w:eastAsia="Times New Roman" w:hAnsi="Times New Roman"/>
          <w:sz w:val="20"/>
          <w:szCs w:val="20"/>
          <w:color w:val="auto"/>
        </w:rPr>
        <w:t>Rachel Vaknin</w:t>
      </w:r>
      <w:r>
        <w:rPr>
          <w:rFonts w:ascii="Times New Roman" w:cs="Times New Roman" w:eastAsia="Times New Roman" w:hAnsi="Times New Roman"/>
          <w:sz w:val="31"/>
          <w:szCs w:val="31"/>
          <w:color w:val="auto"/>
          <w:vertAlign w:val="superscript"/>
        </w:rPr>
        <w:t>(2)(3)</w:t>
      </w:r>
    </w:p>
    <w:p>
      <w:pPr>
        <w:spacing w:after="0" w:line="199" w:lineRule="auto"/>
        <w:rPr>
          <w:sz w:val="20"/>
          <w:szCs w:val="20"/>
          <w:color w:val="auto"/>
        </w:rPr>
      </w:pPr>
      <w:r>
        <w:rPr>
          <w:rFonts w:ascii="Times New Roman" w:cs="Times New Roman" w:eastAsia="Times New Roman" w:hAnsi="Times New Roman"/>
          <w:sz w:val="20"/>
          <w:szCs w:val="20"/>
          <w:color w:val="auto"/>
        </w:rPr>
        <w:t>Juan Diaz-Cartelle</w:t>
      </w:r>
      <w:r>
        <w:rPr>
          <w:rFonts w:ascii="Times New Roman" w:cs="Times New Roman" w:eastAsia="Times New Roman" w:hAnsi="Times New Roman"/>
          <w:sz w:val="31"/>
          <w:szCs w:val="31"/>
          <w:color w:val="auto"/>
          <w:vertAlign w:val="superscript"/>
        </w:rPr>
        <w:t>(2)(3)</w:t>
      </w:r>
    </w:p>
    <w:p>
      <w:pPr>
        <w:spacing w:after="0" w:line="222" w:lineRule="auto"/>
        <w:rPr>
          <w:sz w:val="20"/>
          <w:szCs w:val="20"/>
          <w:color w:val="auto"/>
        </w:rPr>
      </w:pPr>
      <w:r>
        <w:rPr>
          <w:rFonts w:ascii="Times New Roman" w:cs="Times New Roman" w:eastAsia="Times New Roman" w:hAnsi="Times New Roman"/>
          <w:sz w:val="20"/>
          <w:szCs w:val="20"/>
          <w:color w:val="auto"/>
        </w:rPr>
        <w:t>David J. Wilson</w:t>
      </w:r>
    </w:p>
    <w:p>
      <w:pPr>
        <w:spacing w:after="0" w:line="1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All current directors and executive officers as a group (10 persons)</w:t>
      </w:r>
      <w:r>
        <w:rPr>
          <w:rFonts w:ascii="Times New Roman" w:cs="Times New Roman" w:eastAsia="Times New Roman" w:hAnsi="Times New Roman"/>
          <w:sz w:val="31"/>
          <w:szCs w:val="31"/>
          <w:color w:val="auto"/>
          <w:vertAlign w:val="superscript"/>
        </w:rPr>
        <w:t>(2)</w:t>
      </w:r>
    </w:p>
    <w:p>
      <w:pPr>
        <w:spacing w:after="0" w:line="221" w:lineRule="auto"/>
        <w:rPr>
          <w:sz w:val="20"/>
          <w:szCs w:val="20"/>
          <w:color w:val="auto"/>
        </w:rPr>
      </w:pPr>
      <w:r>
        <w:rPr>
          <w:rFonts w:ascii="Times New Roman" w:cs="Times New Roman" w:eastAsia="Times New Roman" w:hAnsi="Times New Roman"/>
          <w:sz w:val="20"/>
          <w:szCs w:val="20"/>
          <w:color w:val="auto"/>
        </w:rPr>
        <w:t>__________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Less than 1%.</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Shares Beneficially</w:t>
            </w:r>
          </w:p>
        </w:tc>
        <w:tc>
          <w:tcPr>
            <w:tcW w:w="366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Percentage of Common Stock</w:t>
            </w:r>
          </w:p>
        </w:tc>
      </w:tr>
      <w:tr>
        <w:trPr>
          <w:trHeight w:val="231"/>
        </w:trPr>
        <w:tc>
          <w:tcPr>
            <w:tcW w:w="2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Owned</w:t>
            </w:r>
          </w:p>
        </w:tc>
        <w:tc>
          <w:tcPr>
            <w:tcW w:w="3660" w:type="dxa"/>
            <w:vAlign w:val="bottom"/>
            <w:gridSpan w:val="3"/>
          </w:tcPr>
          <w:p>
            <w:pPr>
              <w:ind w:left="100"/>
              <w:spacing w:after="0"/>
              <w:rPr>
                <w:sz w:val="20"/>
                <w:szCs w:val="20"/>
                <w:color w:val="auto"/>
              </w:rPr>
            </w:pPr>
            <w:r>
              <w:rPr>
                <w:rFonts w:ascii="Times New Roman" w:cs="Times New Roman" w:eastAsia="Times New Roman" w:hAnsi="Times New Roman"/>
                <w:sz w:val="20"/>
                <w:szCs w:val="20"/>
                <w:b w:val="1"/>
                <w:bCs w:val="1"/>
                <w:color w:val="auto"/>
              </w:rPr>
              <w:t>Beneficially Owned</w:t>
            </w:r>
          </w:p>
        </w:tc>
      </w:tr>
      <w:tr>
        <w:trPr>
          <w:trHeight w:val="20"/>
        </w:trPr>
        <w:tc>
          <w:tcPr>
            <w:tcW w:w="2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87"/>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1,097,927</w:t>
            </w:r>
          </w:p>
        </w:tc>
        <w:tc>
          <w:tcPr>
            <w:tcW w:w="100" w:type="dxa"/>
            <w:vAlign w:val="bottom"/>
          </w:tcPr>
          <w:p>
            <w:pPr>
              <w:spacing w:after="0"/>
              <w:rPr>
                <w:sz w:val="24"/>
                <w:szCs w:val="24"/>
                <w:color w:val="auto"/>
              </w:rPr>
            </w:pP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3.07%</w:t>
            </w:r>
          </w:p>
        </w:tc>
      </w:tr>
      <w:tr>
        <w:trPr>
          <w:trHeight w:val="288"/>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80,120</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80,120</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8"/>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80,120</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75,024</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8"/>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126,491</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8"/>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73,433</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7"/>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85,146</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88"/>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30,687</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r>
      <w:tr>
        <w:trPr>
          <w:trHeight w:val="229"/>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r>
      <w:tr>
        <w:trPr>
          <w:trHeight w:val="519"/>
        </w:trPr>
        <w:tc>
          <w:tcPr>
            <w:tcW w:w="2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1,729,068</w:t>
            </w:r>
          </w:p>
        </w:tc>
        <w:tc>
          <w:tcPr>
            <w:tcW w:w="3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4.76%</w:t>
            </w:r>
          </w:p>
        </w:tc>
      </w:tr>
    </w:tbl>
    <w:p>
      <w:pPr>
        <w:spacing w:after="0" w:line="492" w:lineRule="exact"/>
        <w:rPr>
          <w:sz w:val="20"/>
          <w:szCs w:val="20"/>
          <w:color w:val="auto"/>
        </w:rPr>
      </w:pPr>
    </w:p>
    <w:p>
      <w:pPr>
        <w:sectPr>
          <w:pgSz w:w="12240" w:h="15840" w:orient="portrait"/>
          <w:cols w:equalWidth="0" w:num="2">
            <w:col w:w="4420" w:space="40"/>
            <w:col w:w="6340"/>
          </w:cols>
          <w:pgMar w:left="720" w:top="719" w:right="720" w:bottom="155" w:gutter="0" w:footer="0" w:header="0"/>
          <w:type w:val="continuous"/>
        </w:sectPr>
      </w:pPr>
    </w:p>
    <w:p>
      <w:pPr>
        <w:jc w:val="both"/>
        <w:ind w:left="520" w:hanging="520"/>
        <w:spacing w:after="0" w:line="237" w:lineRule="auto"/>
        <w:tabs>
          <w:tab w:leader="none" w:pos="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136,847 shares of our common stock owned by MEDX Ventures Group LLC, and (ii) 961,080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20"/>
          <w:szCs w:val="20"/>
          <w:color w:val="auto"/>
        </w:rPr>
      </w:pPr>
    </w:p>
    <w:p>
      <w:pPr>
        <w:ind w:left="520" w:hanging="520"/>
        <w:spacing w:after="0"/>
        <w:tabs>
          <w:tab w:leader="none" w:pos="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options to acquire shares of our common stock.</w:t>
      </w:r>
    </w:p>
    <w:p>
      <w:pPr>
        <w:ind w:left="520" w:hanging="520"/>
        <w:spacing w:after="0"/>
        <w:tabs>
          <w:tab w:leader="none" w:pos="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shares of our common stock issuable upon the exercise of options as set forth in footnotes (1) and (2).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u w:val="single" w:color="auto"/>
          <w:color w:val="auto"/>
        </w:rPr>
        <w:t>Certain Relationships and Related Transactions, and Director Independence.</w:t>
      </w: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2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There have been no related party transactions or any other transactions or relationships required to be disclosed pursuant to Item 404 of Regulation S-K.</w:t>
      </w:r>
    </w:p>
    <w:p>
      <w:pPr>
        <w:sectPr>
          <w:pgSz w:w="12240" w:h="15840" w:orient="portrait"/>
          <w:cols w:equalWidth="0" w:num="1">
            <w:col w:w="10800"/>
          </w:cols>
          <w:pgMar w:left="720" w:top="719" w:right="720" w:bottom="15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719" w:right="720" w:bottom="155"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Independence</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independent members of our Board are Messrs. Burell, Madden, Laxminarain, Wenderow and Wilson, and Ms. Stockburger.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u w:val="single" w:color="auto"/>
          <w:color w:val="auto"/>
        </w:rPr>
        <w:t>Principal Accountant Fees and Services.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and Tax Fees</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Board, upon the recommendation of the Audit Committee, has selected the independent accounting firm of Brightman Almagor Zohar &amp; Co., a Firm in the Deloitte Global Network, to audit the accounts of the Company for the year ending December 31, 2024.</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2024.</w:t>
      </w:r>
    </w:p>
    <w:p>
      <w:pPr>
        <w:spacing w:after="0" w:line="2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Audit Committee received the following information concerning the fees of the independent accountants for the years ended December 31, 2024 and 2023, has considered whether the provision of these services is compatible with independence of the independent accountants, and concluded that it 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1760" w:type="dxa"/>
            <w:vAlign w:val="bottom"/>
          </w:tcPr>
          <w:p>
            <w:pPr>
              <w:spacing w:after="0"/>
              <w:rPr>
                <w:sz w:val="19"/>
                <w:szCs w:val="19"/>
                <w:color w:val="auto"/>
              </w:rPr>
            </w:pPr>
          </w:p>
        </w:tc>
      </w:tr>
      <w:tr>
        <w:trPr>
          <w:trHeight w:val="231"/>
        </w:trPr>
        <w:tc>
          <w:tcPr>
            <w:tcW w:w="488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760" w:type="dxa"/>
            <w:vAlign w:val="bottom"/>
            <w:tcBorders>
              <w:bottom w:val="single" w:sz="8" w:color="auto"/>
            </w:tcBorders>
          </w:tcPr>
          <w:p>
            <w:pPr>
              <w:spacing w:after="0"/>
              <w:rPr>
                <w:sz w:val="20"/>
                <w:szCs w:val="20"/>
                <w:color w:val="auto"/>
              </w:rPr>
            </w:pPr>
          </w:p>
        </w:tc>
      </w:tr>
      <w:tr>
        <w:trPr>
          <w:trHeight w:val="230"/>
        </w:trPr>
        <w:tc>
          <w:tcPr>
            <w:tcW w:w="4880" w:type="dxa"/>
            <w:vAlign w:val="bottom"/>
          </w:tcPr>
          <w:p>
            <w:pPr>
              <w:spacing w:after="0"/>
              <w:rPr>
                <w:sz w:val="19"/>
                <w:szCs w:val="19"/>
                <w:color w:val="auto"/>
              </w:rPr>
            </w:pPr>
          </w:p>
        </w:tc>
        <w:tc>
          <w:tcPr>
            <w:tcW w:w="1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9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04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Audit Fees (1)</w:t>
            </w:r>
          </w:p>
        </w:tc>
        <w:tc>
          <w:tcPr>
            <w:tcW w:w="1760" w:type="dxa"/>
            <w:vAlign w:val="bottom"/>
          </w:tcPr>
          <w:p>
            <w:pPr>
              <w:jc w:val="right"/>
              <w:ind w:right="15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130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140,000</w:t>
            </w: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Tax Fees</w:t>
            </w:r>
          </w:p>
        </w:tc>
        <w:tc>
          <w:tcPr>
            <w:tcW w:w="17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11,250</w:t>
            </w:r>
          </w:p>
        </w:tc>
      </w:tr>
      <w:tr>
        <w:trPr>
          <w:trHeight w:val="23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All Other Fees (2)</w:t>
            </w:r>
          </w:p>
        </w:tc>
        <w:tc>
          <w:tcPr>
            <w:tcW w:w="17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65,000</w:t>
            </w:r>
          </w:p>
        </w:tc>
      </w:tr>
    </w:tbl>
    <w:p>
      <w:pPr>
        <w:spacing w:after="0" w:line="262" w:lineRule="exact"/>
        <w:rPr>
          <w:sz w:val="20"/>
          <w:szCs w:val="20"/>
          <w:color w:val="auto"/>
        </w:rPr>
      </w:pPr>
    </w:p>
    <w:p>
      <w:pPr>
        <w:jc w:val="both"/>
        <w:ind w:left="240" w:hanging="233"/>
        <w:spacing w:after="0" w:line="235" w:lineRule="auto"/>
        <w:rPr>
          <w:sz w:val="20"/>
          <w:szCs w:val="20"/>
          <w:color w:val="auto"/>
        </w:rPr>
      </w:pPr>
      <w:r>
        <w:rPr>
          <w:rFonts w:ascii="Times New Roman" w:cs="Times New Roman" w:eastAsia="Times New Roman" w:hAnsi="Times New Roman"/>
          <w:sz w:val="20"/>
          <w:szCs w:val="20"/>
          <w:color w:val="auto"/>
        </w:rPr>
        <w:t>(1)Audit fees represents fees for the audit of our annual consolidated financial statements and reviews of the interim consolidated financial statements, and review of audit-related SEC filings.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(2)Includes fees related to issuing an Auditor consents and comfort letters, for Registration Statements on Forms S-1 and ATM filling.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 and tax fees include administrative overhead charges and reimbursement for out-of-pocket expenses.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Pre-Approval Policies and Procedures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u w:val="single" w:color="auto"/>
          <w:color w:val="auto"/>
        </w:rPr>
        <w:t>Exhibits and Financial Statement Schedules</w:t>
      </w:r>
    </w:p>
    <w:p>
      <w:pPr>
        <w:spacing w:after="0" w:line="230" w:lineRule="exact"/>
        <w:rPr>
          <w:sz w:val="20"/>
          <w:szCs w:val="20"/>
          <w:color w:val="auto"/>
        </w:rPr>
      </w:pPr>
    </w:p>
    <w:p>
      <w:pPr>
        <w:ind w:left="280" w:hanging="280"/>
        <w:spacing w:after="0"/>
        <w:tabs>
          <w:tab w:leader="none" w:pos="2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22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Financial Statements:</w:t>
      </w:r>
    </w:p>
    <w:p>
      <w:pPr>
        <w:spacing w:after="0" w:line="24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The financial statements are filed as part of this Annual Report on Form 10-K commencing on page F-1 and are hereby incorporated by reference.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4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The financial statement schedules are omitted as they are either not applicable or the information required is presented in the financial statements and notes thereto.</w:t>
      </w:r>
    </w:p>
    <w:p>
      <w:pPr>
        <w:sectPr>
          <w:pgSz w:w="12240" w:h="15840" w:orient="portrait"/>
          <w:cols w:equalWidth="0" w:num="1">
            <w:col w:w="10800"/>
          </w:cols>
          <w:pgMar w:left="720" w:top="719" w:right="720" w:bottom="155"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719" w:right="720" w:bottom="155"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(3) Exhibits: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documents set forth below are filed herewith or incorporated by reference to the location indicated.</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Exhibit</w:t>
      </w:r>
    </w:p>
    <w:p>
      <w:pPr>
        <w:ind w:left="140"/>
        <w:spacing w:after="0"/>
        <w:tabs>
          <w:tab w:leader="none" w:pos="4820" w:val="left"/>
        </w:tabs>
        <w:rPr>
          <w:sz w:val="20"/>
          <w:szCs w:val="20"/>
          <w:color w:val="auto"/>
        </w:rPr>
      </w:pPr>
      <w:r>
        <w:rPr>
          <w:rFonts w:ascii="Times New Roman" w:cs="Times New Roman" w:eastAsia="Times New Roman" w:hAnsi="Times New Roman"/>
          <w:sz w:val="20"/>
          <w:szCs w:val="20"/>
          <w:b w:val="1"/>
          <w:bCs w:val="1"/>
          <w:color w:val="auto"/>
        </w:rPr>
        <w:t>Number</w:t>
      </w:r>
      <w:r>
        <w:rPr>
          <w:sz w:val="20"/>
          <w:szCs w:val="20"/>
          <w:color w:val="auto"/>
        </w:rPr>
        <w:tab/>
      </w:r>
      <w:r>
        <w:rPr>
          <w:rFonts w:ascii="Times New Roman" w:cs="Times New Roman" w:eastAsia="Times New Roman" w:hAnsi="Times New Roman"/>
          <w:sz w:val="20"/>
          <w:szCs w:val="20"/>
          <w:b w:val="1"/>
          <w:bCs w:val="1"/>
          <w:color w:val="auto"/>
        </w:rPr>
        <w:t>Description of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2103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03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pt" to="48.9pt,0.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652780</wp:posOffset>
                </wp:positionH>
                <wp:positionV relativeFrom="paragraph">
                  <wp:posOffset>6350</wp:posOffset>
                </wp:positionV>
                <wp:extent cx="620585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585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pt,0.5pt" to="540.05pt,0.5pt" o:allowincell="f" strokecolor="#000000" strokeweight="0.96pt"/>
            </w:pict>
          </mc:Fallback>
        </mc:AlternateContent>
      </w:r>
    </w:p>
    <w:p>
      <w:pPr>
        <w:spacing w:after="0" w:line="9" w:lineRule="exact"/>
        <w:rPr>
          <w:sz w:val="20"/>
          <w:szCs w:val="20"/>
          <w:color w:val="auto"/>
        </w:rPr>
      </w:pPr>
    </w:p>
    <w:p>
      <w:pPr>
        <w:jc w:val="both"/>
        <w:ind w:left="1020" w:hanging="664"/>
        <w:spacing w:after="0" w:line="236" w:lineRule="auto"/>
        <w:tabs>
          <w:tab w:leader="none" w:pos="10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Agreement and Plan of Merger and Reorganization, dated as of August 15, 2016, by and among StemCells, Inc., C&amp;RD Israel Ltd. and Microbot Medical Ltd. (incorporated by reference to the Company’s Current Report on Form 8-K filed on August 15, 2016).</w:t>
      </w:r>
    </w:p>
    <w:p>
      <w:pPr>
        <w:spacing w:after="0" w:line="2"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Restated Certificate of Incorporation of the Company (incorporated by reference to the Company’s Annual Report on Form</w:t>
      </w:r>
    </w:p>
    <w:p>
      <w:pPr>
        <w:ind w:left="1020"/>
        <w:spacing w:after="0"/>
        <w:rPr>
          <w:sz w:val="20"/>
          <w:szCs w:val="20"/>
          <w:color w:val="auto"/>
        </w:rPr>
      </w:pPr>
      <w:r>
        <w:rPr>
          <w:rFonts w:ascii="Times New Roman" w:cs="Times New Roman" w:eastAsia="Times New Roman" w:hAnsi="Times New Roman"/>
          <w:sz w:val="20"/>
          <w:szCs w:val="20"/>
          <w:color w:val="auto"/>
        </w:rPr>
        <w:t>10-K for the fiscal year ended December 31, 2006 and filed on March 15, 2007).</w:t>
      </w:r>
    </w:p>
    <w:p>
      <w:pPr>
        <w:spacing w:after="0" w:line="9" w:lineRule="exact"/>
        <w:rPr>
          <w:sz w:val="20"/>
          <w:szCs w:val="20"/>
          <w:color w:val="auto"/>
        </w:rPr>
      </w:pPr>
    </w:p>
    <w:p>
      <w:pPr>
        <w:jc w:val="both"/>
        <w:ind w:left="1020" w:hanging="66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Certificate of Amendment to the Restated Certificate of Incorporation of the Company (incorporated by reference to the Company’s Current Report on Form 8-K filed on November 29, 2016).</w:t>
      </w:r>
    </w:p>
    <w:p>
      <w:pPr>
        <w:spacing w:after="0" w:line="10" w:lineRule="exact"/>
        <w:rPr>
          <w:sz w:val="20"/>
          <w:szCs w:val="20"/>
          <w:color w:val="auto"/>
        </w:rPr>
      </w:pPr>
    </w:p>
    <w:p>
      <w:pPr>
        <w:jc w:val="both"/>
        <w:ind w:left="1020" w:hanging="664"/>
        <w:spacing w:after="0" w:line="234" w:lineRule="auto"/>
        <w:tabs>
          <w:tab w:leader="none" w:pos="10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Certificate of Amendment to the Restated Certificate of Incorporation (incorporated by reference to the Company’s Current Report on Form 8-K filed on September 4, 2018).</w:t>
      </w:r>
    </w:p>
    <w:p>
      <w:pPr>
        <w:spacing w:after="0" w:line="11" w:lineRule="exact"/>
        <w:rPr>
          <w:sz w:val="20"/>
          <w:szCs w:val="20"/>
          <w:color w:val="auto"/>
        </w:rPr>
      </w:pPr>
    </w:p>
    <w:p>
      <w:pPr>
        <w:jc w:val="both"/>
        <w:ind w:left="1020" w:hanging="66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Amended and Restated By-Laws of the Company (incorporated by reference to the Company’s Current Report on Form 8-K filed on May 3, 2016).</w:t>
      </w: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color w:val="auto"/>
        </w:rPr>
        <w:t>Certificate of Elimination (incorporated by reference to the Company’s Current Report on Form 8-K filed on December</w:t>
      </w:r>
    </w:p>
    <w:p>
      <w:pPr>
        <w:ind w:left="1020"/>
        <w:spacing w:after="0"/>
        <w:rPr>
          <w:sz w:val="20"/>
          <w:szCs w:val="20"/>
          <w:color w:val="auto"/>
        </w:rPr>
      </w:pPr>
      <w:r>
        <w:rPr>
          <w:rFonts w:ascii="Times New Roman" w:cs="Times New Roman" w:eastAsia="Times New Roman" w:hAnsi="Times New Roman"/>
          <w:sz w:val="20"/>
          <w:szCs w:val="20"/>
          <w:color w:val="auto"/>
        </w:rPr>
        <w:t>12, 2018).</w:t>
      </w:r>
    </w:p>
    <w:p>
      <w:pPr>
        <w:spacing w:after="0" w:line="10" w:lineRule="exact"/>
        <w:rPr>
          <w:sz w:val="20"/>
          <w:szCs w:val="20"/>
          <w:color w:val="auto"/>
        </w:rPr>
      </w:pPr>
    </w:p>
    <w:p>
      <w:pPr>
        <w:jc w:val="both"/>
        <w:ind w:left="1020" w:hanging="664"/>
        <w:spacing w:after="0" w:line="234" w:lineRule="auto"/>
        <w:tabs>
          <w:tab w:leader="none" w:pos="100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color w:val="auto"/>
        </w:rPr>
        <w:t>Certificate of Amendment to the Restated Certificate of Incorporation (incorporated by reference to the Company’s Current Report on Form 8-K filed on September 11, 2019).</w:t>
      </w:r>
    </w:p>
    <w:p>
      <w:pPr>
        <w:spacing w:after="0" w:line="11" w:lineRule="exact"/>
        <w:rPr>
          <w:sz w:val="20"/>
          <w:szCs w:val="20"/>
          <w:color w:val="auto"/>
        </w:rPr>
      </w:pPr>
    </w:p>
    <w:p>
      <w:pPr>
        <w:jc w:val="both"/>
        <w:ind w:left="1020" w:hanging="66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color w:val="auto"/>
        </w:rPr>
        <w:t>Amendment to Section 5 of the Amended and Restated By-Laws of the Company (incorporated by reference to the Company’s Current Report on Form 8-K filed on May 3, 2021).</w:t>
      </w:r>
    </w:p>
    <w:p>
      <w:pPr>
        <w:spacing w:after="0" w:line="9" w:lineRule="exact"/>
        <w:rPr>
          <w:sz w:val="20"/>
          <w:szCs w:val="20"/>
          <w:color w:val="auto"/>
        </w:rPr>
      </w:pPr>
    </w:p>
    <w:p>
      <w:pPr>
        <w:jc w:val="both"/>
        <w:ind w:left="1020" w:hanging="66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Description of the Company’s Securities (incorporated by reference to the Registrant’s Annual Report on Form 10-K for the fiscal year ended December 31, 2019).</w:t>
      </w:r>
    </w:p>
    <w:p>
      <w:pPr>
        <w:spacing w:after="0" w:line="1"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Form of Series A Warrant (incorporated by reference to the Registrant’s Current Report on Form 8-K filed on October 25,</w:t>
      </w:r>
    </w:p>
    <w:p>
      <w:pPr>
        <w:ind w:left="1020"/>
        <w:spacing w:after="0"/>
        <w:rPr>
          <w:sz w:val="20"/>
          <w:szCs w:val="20"/>
          <w:color w:val="auto"/>
        </w:rPr>
      </w:pPr>
      <w:r>
        <w:rPr>
          <w:rFonts w:ascii="Times New Roman" w:cs="Times New Roman" w:eastAsia="Times New Roman" w:hAnsi="Times New Roman"/>
          <w:sz w:val="20"/>
          <w:szCs w:val="20"/>
          <w:color w:val="auto"/>
        </w:rPr>
        <w:t>2022)</w:t>
      </w: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Form of Wainwright Warrant (incorporated by reference to the Registrant’s Current Report on Form 8-K filed on October</w:t>
      </w:r>
    </w:p>
    <w:p>
      <w:pPr>
        <w:ind w:left="1020"/>
        <w:spacing w:after="0"/>
        <w:rPr>
          <w:sz w:val="20"/>
          <w:szCs w:val="20"/>
          <w:color w:val="auto"/>
        </w:rPr>
      </w:pPr>
      <w:r>
        <w:rPr>
          <w:rFonts w:ascii="Times New Roman" w:cs="Times New Roman" w:eastAsia="Times New Roman" w:hAnsi="Times New Roman"/>
          <w:sz w:val="20"/>
          <w:szCs w:val="20"/>
          <w:color w:val="auto"/>
        </w:rPr>
        <w:t>25, 2022)</w:t>
      </w: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Form of Wainwright Warrant (incorporated by reference to the Registrant’s Current Report on Form 8-K filed on May 23,</w:t>
      </w:r>
    </w:p>
    <w:p>
      <w:pPr>
        <w:ind w:left="1020"/>
        <w:spacing w:after="0"/>
        <w:rPr>
          <w:sz w:val="20"/>
          <w:szCs w:val="20"/>
          <w:color w:val="auto"/>
        </w:rPr>
      </w:pPr>
      <w:r>
        <w:rPr>
          <w:rFonts w:ascii="Times New Roman" w:cs="Times New Roman" w:eastAsia="Times New Roman" w:hAnsi="Times New Roman"/>
          <w:sz w:val="20"/>
          <w:szCs w:val="20"/>
          <w:color w:val="auto"/>
        </w:rPr>
        <w:t>2023)</w:t>
      </w: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Form of Wainwright Warrant (incorporated by reference to the Registrant’s Current Report on Form 8-K filed on May 24,</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2023)</w:t>
      </w:r>
    </w:p>
    <w:p>
      <w:pPr>
        <w:spacing w:after="0" w:line="11" w:lineRule="exact"/>
        <w:rPr>
          <w:sz w:val="20"/>
          <w:szCs w:val="20"/>
          <w:color w:val="auto"/>
        </w:rPr>
      </w:pPr>
    </w:p>
    <w:p>
      <w:pPr>
        <w:jc w:val="both"/>
        <w:ind w:left="1020" w:hanging="664"/>
        <w:spacing w:after="0" w:line="234" w:lineRule="auto"/>
        <w:tabs>
          <w:tab w:leader="none" w:pos="100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Form of Warrant Amendment Agreement (incorporated by reference to the Registrant’s Current Report on Form 8-K filed on May 24, 2023)</w:t>
      </w:r>
    </w:p>
    <w:p>
      <w:pPr>
        <w:spacing w:after="0" w:line="1"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color w:val="auto"/>
        </w:rPr>
        <w:t>Form of Series C Warrant (incorporated by reference to the Registrant’s Current Report on Form 8-K filed on June 6, 2023)</w:t>
      </w: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color w:val="auto"/>
        </w:rPr>
        <w:t>Form of Wainwright Warrant (incorporated by reference to the Registrant’s Current Report on Form 8-K filed on June 6,</w:t>
      </w:r>
    </w:p>
    <w:p>
      <w:pPr>
        <w:ind w:left="1020"/>
        <w:spacing w:after="0"/>
        <w:rPr>
          <w:sz w:val="20"/>
          <w:szCs w:val="20"/>
          <w:color w:val="auto"/>
        </w:rPr>
      </w:pPr>
      <w:r>
        <w:rPr>
          <w:rFonts w:ascii="Times New Roman" w:cs="Times New Roman" w:eastAsia="Times New Roman" w:hAnsi="Times New Roman"/>
          <w:sz w:val="20"/>
          <w:szCs w:val="20"/>
          <w:color w:val="auto"/>
        </w:rPr>
        <w:t>2023)</w:t>
      </w:r>
    </w:p>
    <w:p>
      <w:pPr>
        <w:ind w:left="360"/>
        <w:spacing w:after="0"/>
        <w:tabs>
          <w:tab w:leader="none" w:pos="100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color w:val="auto"/>
        </w:rPr>
        <w:t>Form of Series D Warrant (incorporated by reference to the Registrant’s Current Report on Form 8-K filed on June 28,</w:t>
      </w:r>
    </w:p>
    <w:p>
      <w:pPr>
        <w:ind w:left="1020"/>
        <w:spacing w:after="0"/>
        <w:rPr>
          <w:sz w:val="20"/>
          <w:szCs w:val="20"/>
          <w:color w:val="auto"/>
        </w:rPr>
      </w:pPr>
      <w:r>
        <w:rPr>
          <w:rFonts w:ascii="Times New Roman" w:cs="Times New Roman" w:eastAsia="Times New Roman" w:hAnsi="Times New Roman"/>
          <w:sz w:val="20"/>
          <w:szCs w:val="20"/>
          <w:color w:val="auto"/>
        </w:rPr>
        <w:t>2023)</w:t>
      </w:r>
    </w:p>
    <w:p>
      <w:pPr>
        <w:ind w:left="320"/>
        <w:spacing w:after="0"/>
        <w:tabs>
          <w:tab w:leader="none" w:pos="100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color w:val="auto"/>
        </w:rPr>
        <w:t>Form of Wainwright Warrant (incorporated by reference to the Registrant’s Current Report on Form 8-K filed on June 28,</w:t>
      </w:r>
    </w:p>
    <w:p>
      <w:pPr>
        <w:ind w:left="1020"/>
        <w:spacing w:after="0"/>
        <w:rPr>
          <w:sz w:val="20"/>
          <w:szCs w:val="20"/>
          <w:color w:val="auto"/>
        </w:rPr>
      </w:pPr>
      <w:r>
        <w:rPr>
          <w:rFonts w:ascii="Times New Roman" w:cs="Times New Roman" w:eastAsia="Times New Roman" w:hAnsi="Times New Roman"/>
          <w:sz w:val="20"/>
          <w:szCs w:val="20"/>
          <w:color w:val="auto"/>
        </w:rPr>
        <w:t>2023)</w:t>
      </w:r>
    </w:p>
    <w:p>
      <w:pPr>
        <w:spacing w:after="0" w:line="10" w:lineRule="exact"/>
        <w:rPr>
          <w:sz w:val="20"/>
          <w:szCs w:val="20"/>
          <w:color w:val="auto"/>
        </w:rPr>
      </w:pPr>
    </w:p>
    <w:p>
      <w:pPr>
        <w:ind w:left="1020" w:hanging="714"/>
        <w:spacing w:after="0" w:line="234" w:lineRule="auto"/>
        <w:tabs>
          <w:tab w:leader="none" w:pos="100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20"/>
          <w:szCs w:val="20"/>
          <w:color w:val="auto"/>
        </w:rPr>
        <w:t>Form of Inducement Investment Option (incorporated by reference to the Registrant’s Current Report on Form 8-K filed on January 2, 2024)</w:t>
      </w:r>
    </w:p>
    <w:p>
      <w:pPr>
        <w:spacing w:after="0" w:line="11" w:lineRule="exact"/>
        <w:rPr>
          <w:sz w:val="20"/>
          <w:szCs w:val="20"/>
          <w:color w:val="auto"/>
        </w:rPr>
      </w:pPr>
    </w:p>
    <w:p>
      <w:pPr>
        <w:ind w:left="1020" w:hanging="71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January 2, 2024)</w:t>
      </w:r>
    </w:p>
    <w:p>
      <w:pPr>
        <w:spacing w:after="0" w:line="9" w:lineRule="exact"/>
        <w:rPr>
          <w:sz w:val="20"/>
          <w:szCs w:val="20"/>
          <w:color w:val="auto"/>
        </w:rPr>
      </w:pPr>
    </w:p>
    <w:p>
      <w:pPr>
        <w:ind w:left="1020" w:hanging="71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20"/>
          <w:szCs w:val="20"/>
          <w:color w:val="auto"/>
        </w:rPr>
        <w:t>Form of Series F Preferred Investment Option (incorporated by reference to the Registrant’s Current Report on Form 8-K filed on June 4, 2024)</w:t>
      </w:r>
    </w:p>
    <w:p>
      <w:pPr>
        <w:spacing w:after="0" w:line="10" w:lineRule="exact"/>
        <w:rPr>
          <w:sz w:val="20"/>
          <w:szCs w:val="20"/>
          <w:color w:val="auto"/>
        </w:rPr>
      </w:pPr>
    </w:p>
    <w:p>
      <w:pPr>
        <w:ind w:left="1020" w:hanging="714"/>
        <w:spacing w:after="0" w:line="234" w:lineRule="auto"/>
        <w:tabs>
          <w:tab w:leader="none" w:pos="100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June 4, 2024)</w:t>
      </w:r>
    </w:p>
    <w:p>
      <w:pPr>
        <w:spacing w:after="0" w:line="11" w:lineRule="exact"/>
        <w:rPr>
          <w:sz w:val="20"/>
          <w:szCs w:val="20"/>
          <w:color w:val="auto"/>
        </w:rPr>
      </w:pPr>
    </w:p>
    <w:p>
      <w:pPr>
        <w:ind w:left="1020" w:hanging="714"/>
        <w:spacing w:after="0" w:line="234" w:lineRule="auto"/>
        <w:tabs>
          <w:tab w:leader="none" w:pos="100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color w:val="auto"/>
        </w:rPr>
        <w:t>Form of Series G Preferred Investment Option (incorporated by reference to the Registrant’s Current Report on Form 8-K filed on January 7, 2025)</w:t>
      </w:r>
    </w:p>
    <w:p>
      <w:pPr>
        <w:spacing w:after="0" w:line="11" w:lineRule="exact"/>
        <w:rPr>
          <w:sz w:val="20"/>
          <w:szCs w:val="20"/>
          <w:color w:val="auto"/>
        </w:rPr>
      </w:pPr>
    </w:p>
    <w:p>
      <w:pPr>
        <w:ind w:left="1020" w:hanging="71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January 7, 2025)</w:t>
      </w:r>
    </w:p>
    <w:p>
      <w:pPr>
        <w:spacing w:after="0" w:line="9" w:lineRule="exact"/>
        <w:rPr>
          <w:sz w:val="20"/>
          <w:szCs w:val="20"/>
          <w:color w:val="auto"/>
        </w:rPr>
      </w:pPr>
    </w:p>
    <w:p>
      <w:pPr>
        <w:ind w:left="1020" w:hanging="71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20"/>
          <w:szCs w:val="20"/>
          <w:color w:val="auto"/>
        </w:rPr>
        <w:t>Form of Series H Preferred Investment Option (incorporated by reference to the Registrant’s Current Report on Form 8-K filed on January 10, 2025)</w:t>
      </w:r>
    </w:p>
    <w:p>
      <w:pPr>
        <w:spacing w:after="0" w:line="10" w:lineRule="exact"/>
        <w:rPr>
          <w:sz w:val="20"/>
          <w:szCs w:val="20"/>
          <w:color w:val="auto"/>
        </w:rPr>
      </w:pPr>
    </w:p>
    <w:p>
      <w:pPr>
        <w:ind w:left="1020" w:hanging="714"/>
        <w:spacing w:after="0" w:line="234" w:lineRule="auto"/>
        <w:tabs>
          <w:tab w:leader="none" w:pos="100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January 10, 2025)</w:t>
      </w:r>
    </w:p>
    <w:p>
      <w:pPr>
        <w:spacing w:after="0" w:line="12" w:lineRule="exact"/>
        <w:rPr>
          <w:sz w:val="20"/>
          <w:szCs w:val="20"/>
          <w:color w:val="auto"/>
        </w:rPr>
      </w:pPr>
    </w:p>
    <w:p>
      <w:pPr>
        <w:ind w:left="1020" w:hanging="714"/>
        <w:spacing w:after="0" w:line="235" w:lineRule="auto"/>
        <w:tabs>
          <w:tab w:leader="none" w:pos="100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20"/>
          <w:szCs w:val="20"/>
          <w:color w:val="auto"/>
        </w:rPr>
        <w:t>Form of Series I Preferred Investment Option (incorporated by reference to the Registrant’s Current Report on Form 8-K filed on February 11, 2025)</w:t>
      </w:r>
    </w:p>
    <w:p>
      <w:pPr>
        <w:sectPr>
          <w:pgSz w:w="12240" w:h="15840" w:orient="portrait"/>
          <w:cols w:equalWidth="0" w:num="1">
            <w:col w:w="10800"/>
          </w:cols>
          <w:pgMar w:left="720" w:top="719" w:right="720" w:bottom="155"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719" w:right="720" w:bottom="155" w:gutter="0" w:footer="0" w:header="0"/>
          <w:type w:val="continuous"/>
        </w:sectPr>
      </w:pPr>
    </w:p>
    <w:bookmarkStart w:id="53" w:name="page54"/>
    <w:bookmarkEnd w:id="53"/>
    <w:p>
      <w:pPr>
        <w:jc w:val="both"/>
        <w:ind w:left="740" w:hanging="714"/>
        <w:spacing w:after="0" w:line="234" w:lineRule="auto"/>
        <w:tabs>
          <w:tab w:leader="none" w:pos="720" w:val="left"/>
        </w:tabs>
        <w:rPr>
          <w:sz w:val="20"/>
          <w:szCs w:val="20"/>
          <w:color w:val="auto"/>
        </w:rPr>
      </w:pPr>
      <w:r>
        <w:rPr>
          <w:rFonts w:ascii="Times New Roman" w:cs="Times New Roman" w:eastAsia="Times New Roman" w:hAnsi="Times New Roman"/>
          <w:sz w:val="20"/>
          <w:szCs w:val="20"/>
          <w:color w:val="auto"/>
        </w:rPr>
        <w:t>4.20</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February 11, 2025)</w:t>
      </w:r>
    </w:p>
    <w:p>
      <w:pPr>
        <w:spacing w:after="0" w:line="11" w:lineRule="exact"/>
        <w:rPr>
          <w:sz w:val="20"/>
          <w:szCs w:val="20"/>
          <w:color w:val="auto"/>
        </w:rPr>
      </w:pPr>
    </w:p>
    <w:p>
      <w:pPr>
        <w:jc w:val="both"/>
        <w:ind w:left="740" w:hanging="714"/>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Form of Indemnification Agreement, between the Company and each of its Directors and Officers (incorporated by reference to the Company’s Current Report on Form 8-K filed on November 29, 2016).</w:t>
      </w:r>
    </w:p>
    <w:p>
      <w:pPr>
        <w:spacing w:after="0" w:line="9" w:lineRule="exact"/>
        <w:rPr>
          <w:sz w:val="20"/>
          <w:szCs w:val="20"/>
          <w:color w:val="auto"/>
        </w:rPr>
      </w:pPr>
    </w:p>
    <w:p>
      <w:pPr>
        <w:ind w:left="740" w:hanging="763"/>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Employment Agreement with Harel Gadot (incorporated by reference to the Company’s Current Report on Form 8-K filed on November 29, 2016).</w:t>
      </w:r>
    </w:p>
    <w:p>
      <w:pPr>
        <w:spacing w:after="0" w:line="10" w:lineRule="exact"/>
        <w:rPr>
          <w:sz w:val="20"/>
          <w:szCs w:val="20"/>
          <w:color w:val="auto"/>
        </w:rPr>
      </w:pPr>
    </w:p>
    <w:p>
      <w:pPr>
        <w:jc w:val="both"/>
        <w:ind w:left="740" w:hanging="714"/>
        <w:spacing w:after="0" w:line="236" w:lineRule="auto"/>
        <w:tabs>
          <w:tab w:leader="none" w:pos="72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License Agreement, dated June 20, 2012, by and between Technion Research and Development Foundation, and Microbot Medical Ltd. (incorporated by reference to the Company’s Annual Report on Form 10-K for the fiscal year ended December 31, 2016 and filed on March 21, 2017).</w:t>
      </w:r>
    </w:p>
    <w:p>
      <w:pPr>
        <w:spacing w:after="0" w:line="12" w:lineRule="exact"/>
        <w:rPr>
          <w:sz w:val="20"/>
          <w:szCs w:val="20"/>
          <w:color w:val="auto"/>
        </w:rPr>
      </w:pPr>
    </w:p>
    <w:p>
      <w:pPr>
        <w:jc w:val="both"/>
        <w:ind w:left="740" w:hanging="763"/>
        <w:spacing w:after="0" w:line="252" w:lineRule="auto"/>
        <w:tabs>
          <w:tab w:leader="none" w:pos="72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Form of Stock Option Agreement under the Microbot Medical Inc. 2017 Equity Incentive Plan (incorporated by reference to the Company’s Quarterly Report on Form 10-Q for the Quarter ended September 30, 2017, filed on November 14, 2017).</w:t>
      </w:r>
    </w:p>
    <w:p>
      <w:pPr>
        <w:spacing w:after="0" w:line="1" w:lineRule="exact"/>
        <w:rPr>
          <w:sz w:val="20"/>
          <w:szCs w:val="20"/>
          <w:color w:val="auto"/>
        </w:rPr>
      </w:pPr>
    </w:p>
    <w:p>
      <w:pPr>
        <w:jc w:val="both"/>
        <w:ind w:left="740" w:hanging="763"/>
        <w:spacing w:after="0" w:line="234" w:lineRule="auto"/>
        <w:tabs>
          <w:tab w:leader="none" w:pos="72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Microbot Medical Inc. 2017 Equity Incentive Plan (incorporated by reference to Exhibit A of the Company’s Definitive Proxy Statement on Schedule 14A filed on August 11, 2017).</w:t>
      </w:r>
    </w:p>
    <w:p>
      <w:pPr>
        <w:spacing w:after="0" w:line="11" w:lineRule="exact"/>
        <w:rPr>
          <w:sz w:val="20"/>
          <w:szCs w:val="20"/>
          <w:color w:val="auto"/>
        </w:rPr>
      </w:pPr>
    </w:p>
    <w:p>
      <w:pPr>
        <w:jc w:val="both"/>
        <w:ind w:left="740" w:hanging="763"/>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Microbot Medical Inc. 2020 Omnibus Performance Award Plan (incorporated by reference to Exhibit A of the Company’s definitive Proxy Statement on Schedule 14A filed on July 31, 2020)</w:t>
      </w:r>
    </w:p>
    <w:p>
      <w:pPr>
        <w:spacing w:after="0" w:line="9" w:lineRule="exact"/>
        <w:rPr>
          <w:sz w:val="20"/>
          <w:szCs w:val="20"/>
          <w:color w:val="auto"/>
        </w:rPr>
      </w:pPr>
    </w:p>
    <w:p>
      <w:pPr>
        <w:jc w:val="both"/>
        <w:ind w:left="740" w:hanging="763"/>
        <w:spacing w:after="0" w:line="236" w:lineRule="auto"/>
        <w:tabs>
          <w:tab w:leader="none" w:pos="7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Form of Restricted Stock Unit Award Agreement under the Microbot Medical Inc. 2020 Omnibus Performance Award Plan (incorporated by reference to Exhibit 4.2 of the registration Statement on Form S-8 of the Company filed on November 25, 2020)</w:t>
      </w:r>
    </w:p>
    <w:p>
      <w:pPr>
        <w:spacing w:after="0" w:line="12" w:lineRule="exact"/>
        <w:rPr>
          <w:sz w:val="20"/>
          <w:szCs w:val="20"/>
          <w:color w:val="auto"/>
        </w:rPr>
      </w:pPr>
    </w:p>
    <w:p>
      <w:pPr>
        <w:jc w:val="both"/>
        <w:ind w:left="740" w:hanging="763"/>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Form of NQO Award Agreement under the Microbot Medical Ltd. 2020 Omnibus Performance Award Plan (incorporated by reference to Exhibit 4.3 of the registration Statement on Form S-8 of the Company filed on November 25, 2020)</w:t>
      </w:r>
    </w:p>
    <w:p>
      <w:pPr>
        <w:spacing w:after="0" w:line="10" w:lineRule="exact"/>
        <w:rPr>
          <w:sz w:val="20"/>
          <w:szCs w:val="20"/>
          <w:color w:val="auto"/>
        </w:rPr>
      </w:pPr>
    </w:p>
    <w:p>
      <w:pPr>
        <w:jc w:val="both"/>
        <w:ind w:left="740" w:hanging="763"/>
        <w:spacing w:after="0" w:line="236" w:lineRule="auto"/>
        <w:tabs>
          <w:tab w:leader="none" w:pos="72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Form of Restricted Stock Award Agreement under the Microbot Medical Ltd. 2020 Omnibus Performance Award Plan (incorporated by reference to Exhibit 4.4 of the registration Statement on Form S-8 of the Company filed on November 25, 2020)</w:t>
      </w:r>
    </w:p>
    <w:p>
      <w:pPr>
        <w:spacing w:after="0" w:line="12" w:lineRule="exact"/>
        <w:rPr>
          <w:sz w:val="20"/>
          <w:szCs w:val="20"/>
          <w:color w:val="auto"/>
        </w:rPr>
      </w:pPr>
    </w:p>
    <w:p>
      <w:pPr>
        <w:ind w:left="740" w:hanging="814"/>
        <w:spacing w:after="0" w:line="234" w:lineRule="auto"/>
        <w:tabs>
          <w:tab w:leader="none" w:pos="7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Form of SAR Award Agreement under the Microbot Medical Ltd. 2020 Omnibus Performance Award Plan (incorporated by reference to Exhibit 4.5 of the registration Statement on Form S-8 of the Company filed on November 25, 2020)</w:t>
      </w:r>
    </w:p>
    <w:p>
      <w:pPr>
        <w:spacing w:after="0" w:line="11" w:lineRule="exact"/>
        <w:rPr>
          <w:sz w:val="20"/>
          <w:szCs w:val="20"/>
          <w:color w:val="auto"/>
        </w:rPr>
      </w:pPr>
    </w:p>
    <w:p>
      <w:pPr>
        <w:ind w:left="740" w:hanging="814"/>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Form of ISO Award Agreement under the Microbot Medical Ltd. 2020 Omnibus Performance Award Plan (incorporated by reference to Exhibit 4.6 of the registration Statement on Form S-8 of the Company filed on November 25, 2020)</w:t>
      </w:r>
    </w:p>
    <w:p>
      <w:pPr>
        <w:spacing w:after="0" w:line="9" w:lineRule="exact"/>
        <w:rPr>
          <w:sz w:val="20"/>
          <w:szCs w:val="20"/>
          <w:color w:val="auto"/>
        </w:rPr>
      </w:pPr>
    </w:p>
    <w:p>
      <w:pPr>
        <w:ind w:left="740" w:hanging="814"/>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Employment Agreement, as of March 31, 2018, with Simon Sharon (incorporated by reference to Exhibit 10.1 of the Company’s Form 8-K filed on April 7, 2021)</w:t>
      </w:r>
    </w:p>
    <w:p>
      <w:pPr>
        <w:spacing w:after="0" w:line="10" w:lineRule="exact"/>
        <w:rPr>
          <w:sz w:val="20"/>
          <w:szCs w:val="20"/>
          <w:color w:val="auto"/>
        </w:rPr>
      </w:pPr>
    </w:p>
    <w:p>
      <w:pPr>
        <w:ind w:left="740" w:hanging="814"/>
        <w:spacing w:after="0" w:line="234" w:lineRule="auto"/>
        <w:tabs>
          <w:tab w:leader="none" w:pos="72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First Amendment to Employment Agreement, dated as of April 19, 2021, with Simon Sharon (incorporated by reference to Exhibit 10.1 of the Company’s Form 8-K filed on April 22, 2021)</w:t>
      </w:r>
    </w:p>
    <w:p>
      <w:pPr>
        <w:spacing w:after="0" w:line="11" w:lineRule="exact"/>
        <w:rPr>
          <w:sz w:val="20"/>
          <w:szCs w:val="20"/>
          <w:color w:val="auto"/>
        </w:rPr>
      </w:pPr>
    </w:p>
    <w:p>
      <w:pPr>
        <w:jc w:val="both"/>
        <w:ind w:left="740" w:hanging="763"/>
        <w:spacing w:after="0" w:line="234" w:lineRule="auto"/>
        <w:tabs>
          <w:tab w:leader="none" w:pos="72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Asset Purchase Agreement with Nitiloop, Ltd. dated October 6, 2022 (incorporated by reference to the Registrant’s Current Report on Form 8-K filed on October 7, 2022)</w:t>
      </w:r>
    </w:p>
    <w:p>
      <w:pPr>
        <w:spacing w:after="0" w:line="12" w:lineRule="exact"/>
        <w:rPr>
          <w:sz w:val="20"/>
          <w:szCs w:val="20"/>
          <w:color w:val="auto"/>
        </w:rPr>
      </w:pPr>
    </w:p>
    <w:p>
      <w:pPr>
        <w:ind w:left="740" w:hanging="814"/>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Employment Agreement with Rachel Vaknin (incorporated by reference to the Company’s Current Report on Form 8-K filed on April 5, 2022)</w:t>
      </w:r>
    </w:p>
    <w:p>
      <w:pPr>
        <w:spacing w:after="0" w:line="9" w:lineRule="exact"/>
        <w:rPr>
          <w:sz w:val="20"/>
          <w:szCs w:val="20"/>
          <w:color w:val="auto"/>
        </w:rPr>
      </w:pPr>
    </w:p>
    <w:p>
      <w:pPr>
        <w:ind w:left="740" w:hanging="814"/>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Second Amendment to Employment Agreement with Harel Gadot (incorporated by reference to the Company’s Current Report on Form 8-K filed on February 1, 2022)</w:t>
      </w:r>
    </w:p>
    <w:p>
      <w:pPr>
        <w:spacing w:after="0" w:line="10" w:lineRule="exact"/>
        <w:rPr>
          <w:sz w:val="20"/>
          <w:szCs w:val="20"/>
          <w:color w:val="auto"/>
        </w:rPr>
      </w:pPr>
    </w:p>
    <w:p>
      <w:pPr>
        <w:jc w:val="both"/>
        <w:ind w:left="740" w:hanging="763"/>
        <w:spacing w:after="0" w:line="236" w:lineRule="auto"/>
        <w:tabs>
          <w:tab w:leader="none" w:pos="72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Letter Agreements dated March 18, 2021 between Microbot Medical Ltd. and Technion Research and Development Foundation Ltd. (incorporated by reference to the Company’s Annual Report on Form 10-K for the Fiscal Year ended December 31, 2022, filed on March 31, 2023)</w:t>
      </w:r>
    </w:p>
    <w:p>
      <w:pPr>
        <w:spacing w:after="0" w:line="12" w:lineRule="exact"/>
        <w:rPr>
          <w:sz w:val="20"/>
          <w:szCs w:val="20"/>
          <w:color w:val="auto"/>
        </w:rPr>
      </w:pPr>
    </w:p>
    <w:p>
      <w:pPr>
        <w:ind w:left="740" w:hanging="814"/>
        <w:spacing w:after="0" w:line="234" w:lineRule="auto"/>
        <w:tabs>
          <w:tab w:leader="none" w:pos="72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Addendum to Employment Agreement with Rachel Vaknin (incorporated by reference to the Company’s Current Report on Form 8-K filed on May 22, 2023)</w:t>
      </w:r>
    </w:p>
    <w:p>
      <w:pPr>
        <w:spacing w:after="0" w:line="11" w:lineRule="exact"/>
        <w:rPr>
          <w:sz w:val="20"/>
          <w:szCs w:val="20"/>
          <w:color w:val="auto"/>
        </w:rPr>
      </w:pPr>
    </w:p>
    <w:p>
      <w:pPr>
        <w:ind w:left="740" w:hanging="814"/>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Addendum to Employment Agreement with Simon Sharon (incorporated by reference to the Company’s Current Report on Form 8-K filed on May 22, 2023)</w:t>
      </w:r>
    </w:p>
    <w:p>
      <w:pPr>
        <w:spacing w:after="0" w:line="9" w:lineRule="exact"/>
        <w:rPr>
          <w:sz w:val="20"/>
          <w:szCs w:val="20"/>
          <w:color w:val="auto"/>
        </w:rPr>
      </w:pPr>
    </w:p>
    <w:p>
      <w:pPr>
        <w:ind w:left="740" w:hanging="814"/>
        <w:spacing w:after="0" w:line="235" w:lineRule="auto"/>
        <w:tabs>
          <w:tab w:leader="none" w:pos="72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Addendum to Employment Agreement with Eyal Morag (incorporated by reference to the Company’s Current Report on Form 8-K filed on May 22, 2023)</w:t>
      </w:r>
    </w:p>
    <w:p>
      <w:pPr>
        <w:spacing w:after="0" w:line="10" w:lineRule="exact"/>
        <w:rPr>
          <w:sz w:val="20"/>
          <w:szCs w:val="20"/>
          <w:color w:val="auto"/>
        </w:rPr>
      </w:pPr>
    </w:p>
    <w:p>
      <w:pPr>
        <w:ind w:left="800" w:hanging="843"/>
        <w:spacing w:after="0" w:line="234" w:lineRule="auto"/>
        <w:tabs>
          <w:tab w:leader="none" w:pos="7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Employment Agreement with Juan Diaz-Cartelle, MD (incorporated by reference to the Registrant’s Current Report on Form 8-K filed on November 21, 2023)</w:t>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19"/>
          <w:szCs w:val="19"/>
          <w:color w:val="auto"/>
        </w:rPr>
        <w:t>Form of Inducement Letter (incorporated by reference to the Registrant’s Current Report on Form 8-K filed on January 2,</w:t>
      </w:r>
    </w:p>
    <w:p>
      <w:pPr>
        <w:ind w:left="800"/>
        <w:spacing w:after="0"/>
        <w:rPr>
          <w:sz w:val="20"/>
          <w:szCs w:val="20"/>
          <w:color w:val="auto"/>
        </w:rPr>
      </w:pPr>
      <w:r>
        <w:rPr>
          <w:rFonts w:ascii="Times New Roman" w:cs="Times New Roman" w:eastAsia="Times New Roman" w:hAnsi="Times New Roman"/>
          <w:sz w:val="20"/>
          <w:szCs w:val="20"/>
          <w:color w:val="auto"/>
        </w:rPr>
        <w:t>2024)</w:t>
      </w:r>
    </w:p>
    <w:p>
      <w:pPr>
        <w:spacing w:after="0" w:line="9" w:lineRule="exact"/>
        <w:rPr>
          <w:sz w:val="20"/>
          <w:szCs w:val="20"/>
          <w:color w:val="auto"/>
        </w:rPr>
      </w:pPr>
    </w:p>
    <w:p>
      <w:pPr>
        <w:jc w:val="both"/>
        <w:ind w:left="800" w:hanging="792"/>
        <w:spacing w:after="0" w:line="235" w:lineRule="auto"/>
        <w:tabs>
          <w:tab w:leader="none" w:pos="78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Registration Rights Agreement dated as of January 26, 2024 (incorporated by reference to the Registrant’s Current Report on Form 8-K filed on January 30, 2024)</w:t>
      </w:r>
    </w:p>
    <w:p>
      <w:pPr>
        <w:spacing w:after="0" w:line="9" w:lineRule="exact"/>
        <w:rPr>
          <w:sz w:val="20"/>
          <w:szCs w:val="20"/>
          <w:color w:val="auto"/>
        </w:rPr>
      </w:pPr>
    </w:p>
    <w:p>
      <w:pPr>
        <w:jc w:val="both"/>
        <w:ind w:left="800" w:hanging="792"/>
        <w:spacing w:after="0" w:line="236" w:lineRule="auto"/>
        <w:tabs>
          <w:tab w:leader="none" w:pos="78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Form of Securities Purchase Agreement, dated as of January 6, 2025, by and among Microbot Medical Inc. and the purchasers party thereto (incorporated by reference to the Registrant’s Current Report on Form 8-K filed on January 7, 2025)</w:t>
      </w:r>
    </w:p>
    <w:p>
      <w:pPr>
        <w:spacing w:after="0" w:line="12" w:lineRule="exact"/>
        <w:rPr>
          <w:sz w:val="20"/>
          <w:szCs w:val="20"/>
          <w:color w:val="auto"/>
        </w:rPr>
      </w:pPr>
    </w:p>
    <w:p>
      <w:pPr>
        <w:jc w:val="both"/>
        <w:ind w:left="800" w:hanging="792"/>
        <w:spacing w:after="0" w:line="237" w:lineRule="auto"/>
        <w:tabs>
          <w:tab w:leader="none" w:pos="780" w:val="left"/>
        </w:tabs>
        <w:rPr>
          <w:sz w:val="20"/>
          <w:szCs w:val="20"/>
          <w:color w:val="auto"/>
        </w:rPr>
      </w:pPr>
      <w:r>
        <w:rPr>
          <w:rFonts w:ascii="Times New Roman" w:cs="Times New Roman" w:eastAsia="Times New Roman" w:hAnsi="Times New Roman"/>
          <w:sz w:val="20"/>
          <w:szCs w:val="20"/>
          <w:color w:val="auto"/>
        </w:rPr>
        <w:t>10.25</w:t>
      </w:r>
      <w:r>
        <w:rPr>
          <w:sz w:val="20"/>
          <w:szCs w:val="20"/>
          <w:color w:val="auto"/>
        </w:rPr>
        <w:tab/>
      </w:r>
      <w:r>
        <w:rPr>
          <w:rFonts w:ascii="Times New Roman" w:cs="Times New Roman" w:eastAsia="Times New Roman" w:hAnsi="Times New Roman"/>
          <w:sz w:val="20"/>
          <w:szCs w:val="20"/>
          <w:color w:val="auto"/>
        </w:rPr>
        <w:t>Form of Securities Purchase Agreement, dated as of January 7, 2025, by and among Microbot Medical Inc. and the purchasers party thereto (incorporated by reference to the Registrant’s Current Report on Form 8-K filed on January 10, 2025)</w:t>
      </w:r>
    </w:p>
    <w:p>
      <w:pPr>
        <w:spacing w:after="0" w:line="9" w:lineRule="exact"/>
        <w:rPr>
          <w:sz w:val="20"/>
          <w:szCs w:val="20"/>
          <w:color w:val="auto"/>
        </w:rPr>
      </w:pPr>
    </w:p>
    <w:p>
      <w:pPr>
        <w:ind w:left="800" w:hanging="843"/>
        <w:spacing w:after="0" w:line="235" w:lineRule="auto"/>
        <w:tabs>
          <w:tab w:leader="none" w:pos="780" w:val="left"/>
        </w:tabs>
        <w:rPr>
          <w:sz w:val="20"/>
          <w:szCs w:val="20"/>
          <w:color w:val="auto"/>
        </w:rPr>
      </w:pPr>
      <w:r>
        <w:rPr>
          <w:rFonts w:ascii="Times New Roman" w:cs="Times New Roman" w:eastAsia="Times New Roman" w:hAnsi="Times New Roman"/>
          <w:sz w:val="20"/>
          <w:szCs w:val="20"/>
          <w:color w:val="auto"/>
        </w:rPr>
        <w:t>10.26*</w:t>
      </w:r>
      <w:r>
        <w:rPr>
          <w:sz w:val="20"/>
          <w:szCs w:val="20"/>
          <w:color w:val="auto"/>
        </w:rPr>
        <w:tab/>
      </w:r>
      <w:r>
        <w:rPr>
          <w:rFonts w:ascii="Times New Roman" w:cs="Times New Roman" w:eastAsia="Times New Roman" w:hAnsi="Times New Roman"/>
          <w:sz w:val="20"/>
          <w:szCs w:val="20"/>
          <w:color w:val="auto"/>
        </w:rPr>
        <w:t>Addendum #2 to Employment Agreement, dated as of February 5, 2025, with Simon Sharon (incorporated by reference to the Registrant’s Current Report on Form 8-K filed on February 7, 2025)</w:t>
      </w:r>
    </w:p>
    <w:p>
      <w:pPr>
        <w:sectPr>
          <w:pgSz w:w="12240" w:h="15840" w:orient="portrait"/>
          <w:cols w:equalWidth="0" w:num="1">
            <w:col w:w="10520"/>
          </w:cols>
          <w:pgMar w:left="1000" w:top="729" w:right="720" w:bottom="155" w:gutter="0" w:footer="0" w:header="0"/>
        </w:sectPr>
      </w:pPr>
    </w:p>
    <w:p>
      <w:pPr>
        <w:spacing w:after="0" w:line="37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520"/>
          </w:cols>
          <w:pgMar w:left="1000" w:top="729" w:right="720" w:bottom="155" w:gutter="0" w:footer="0" w:header="0"/>
          <w:type w:val="continuous"/>
        </w:sectPr>
      </w:pPr>
    </w:p>
    <w:bookmarkStart w:id="54" w:name="page55"/>
    <w:bookmarkEnd w:id="54"/>
    <w:tbl>
      <w:tblPr>
        <w:tblLayout w:type="fixed"/>
        <w:tblInd w:w="140" w:type="dxa"/>
        <w:tblCellMar>
          <w:top w:w="0" w:type="dxa"/>
          <w:left w:w="0" w:type="dxa"/>
          <w:bottom w:w="0" w:type="dxa"/>
          <w:right w:w="0" w:type="dxa"/>
        </w:tblCellMar>
      </w:tblP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10.27*</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Addendum #2 to Employment Agreement, dated as of February 5, 2025, with Rachel Vaknin (incorporated by reference</w:t>
            </w:r>
          </w:p>
        </w:tc>
      </w:tr>
      <w:tr>
        <w:trPr>
          <w:trHeight w:val="229"/>
        </w:trPr>
        <w:tc>
          <w:tcPr>
            <w:tcW w:w="840" w:type="dxa"/>
            <w:vAlign w:val="bottom"/>
          </w:tcPr>
          <w:p>
            <w:pPr>
              <w:spacing w:after="0"/>
              <w:rPr>
                <w:sz w:val="19"/>
                <w:szCs w:val="19"/>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 the Registrant’s Current Report on Form 8-K filed on February 7, 2025)</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10.28*</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Amendment to Employment Agreement, dated as of February 5, 2025, with Juan Diaz-Cartelle (incorporated by reference</w:t>
            </w:r>
          </w:p>
        </w:tc>
      </w:tr>
      <w:tr>
        <w:trPr>
          <w:trHeight w:val="230"/>
        </w:trPr>
        <w:tc>
          <w:tcPr>
            <w:tcW w:w="8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 the Registrant’s Current Report on Form 8-K filed on February 7, 2025)</w:t>
            </w:r>
          </w:p>
        </w:tc>
      </w:tr>
      <w:tr>
        <w:trPr>
          <w:trHeight w:val="22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10.29</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Securities Purchase Agreement, dated as of February 9, 2025, by and among the Company and the purchasers</w:t>
            </w:r>
          </w:p>
        </w:tc>
      </w:tr>
      <w:tr>
        <w:trPr>
          <w:trHeight w:val="230"/>
        </w:trPr>
        <w:tc>
          <w:tcPr>
            <w:tcW w:w="8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party thereto (incorporated by reference to the Registrant’s Current Report on Form 8-K filed on February 11, 2025)</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14.1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Code of Ethics and Conduct</w:t>
            </w:r>
          </w:p>
        </w:tc>
      </w:tr>
      <w:tr>
        <w:trPr>
          <w:trHeight w:val="22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19.1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Blackout Period and Trading Window Policy</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19.2</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Insider Trading Policy</w:t>
            </w:r>
          </w:p>
        </w:tc>
      </w:tr>
      <w:tr>
        <w:trPr>
          <w:trHeight w:val="231"/>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21.1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8"/>
              </w:rPr>
              <w:t>Subsidiaries of the Company (incorporated by reference to the Company’s Annual Report on Form 10-K for the fiscal year</w:t>
            </w:r>
          </w:p>
        </w:tc>
      </w:tr>
      <w:tr>
        <w:trPr>
          <w:trHeight w:val="229"/>
        </w:trPr>
        <w:tc>
          <w:tcPr>
            <w:tcW w:w="840" w:type="dxa"/>
            <w:vAlign w:val="bottom"/>
          </w:tcPr>
          <w:p>
            <w:pPr>
              <w:spacing w:after="0"/>
              <w:rPr>
                <w:sz w:val="19"/>
                <w:szCs w:val="19"/>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ended December 31, 2016 and filed on March 21, 2017).</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23.1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2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Pursuant to Securities Exchange Act Rule 13(a)-14(a), as Adopted Pursuant to Section 302 of the Sarbanes-</w:t>
            </w:r>
          </w:p>
        </w:tc>
      </w:tr>
      <w:tr>
        <w:trPr>
          <w:trHeight w:val="230"/>
        </w:trPr>
        <w:tc>
          <w:tcPr>
            <w:tcW w:w="8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Oxley Act of 2002 (Harel Gadot, Chief Executive Officer)</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31.2</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Pursuant to Securities Exchange Act Rule 13(a)-14(a), as Adopted Pursuant to Section 302 of the Sarbanes-</w:t>
            </w:r>
          </w:p>
        </w:tc>
      </w:tr>
      <w:tr>
        <w:trPr>
          <w:trHeight w:val="229"/>
        </w:trPr>
        <w:tc>
          <w:tcPr>
            <w:tcW w:w="840" w:type="dxa"/>
            <w:vAlign w:val="bottom"/>
          </w:tcPr>
          <w:p>
            <w:pPr>
              <w:spacing w:after="0"/>
              <w:rPr>
                <w:sz w:val="19"/>
                <w:szCs w:val="19"/>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Oxley Act of 2002 (Rachel Vaknin, Chief Financial Officer)</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Certification Pursuant to 18 U.S.C. Section 1350, As Adopted Pursuant to Section 906 of the Sarbanes-Oxley Act of 2002</w:t>
            </w:r>
          </w:p>
        </w:tc>
      </w:tr>
      <w:tr>
        <w:trPr>
          <w:trHeight w:val="230"/>
        </w:trPr>
        <w:tc>
          <w:tcPr>
            <w:tcW w:w="8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(Harel Gadot, Chief Executive Officer)</w:t>
            </w:r>
          </w:p>
        </w:tc>
      </w:tr>
      <w:tr>
        <w:trPr>
          <w:trHeight w:val="22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32.2</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Certification Pursuant to 18 U.S.C. Section 1350, As Adopted Pursuant to Section 906 of the Sarbanes-Oxley Act of 2002</w:t>
            </w:r>
          </w:p>
        </w:tc>
      </w:tr>
      <w:tr>
        <w:trPr>
          <w:trHeight w:val="230"/>
        </w:trPr>
        <w:tc>
          <w:tcPr>
            <w:tcW w:w="8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(Rachel Vaknin, Chief Financial Officer)</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97.1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Clawback Policy (incorporated by reference to the Company’s Annual Report on Form 10-K for the fiscal year ended</w:t>
            </w:r>
          </w:p>
        </w:tc>
      </w:tr>
      <w:tr>
        <w:trPr>
          <w:trHeight w:val="229"/>
        </w:trPr>
        <w:tc>
          <w:tcPr>
            <w:tcW w:w="840" w:type="dxa"/>
            <w:vAlign w:val="bottom"/>
          </w:tcPr>
          <w:p>
            <w:pPr>
              <w:spacing w:after="0"/>
              <w:rPr>
                <w:sz w:val="19"/>
                <w:szCs w:val="19"/>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December 31, 2023 and filed on March 27, 2024)</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101.INS</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Instance - The instance document does not appear in the Interactive Data File because its XBRL tags are</w:t>
            </w:r>
          </w:p>
        </w:tc>
      </w:tr>
      <w:tr>
        <w:trPr>
          <w:trHeight w:val="230"/>
        </w:trPr>
        <w:tc>
          <w:tcPr>
            <w:tcW w:w="840" w:type="dxa"/>
            <w:vAlign w:val="bottom"/>
          </w:tcPr>
          <w:p>
            <w:pPr>
              <w:spacing w:after="0"/>
              <w:rPr>
                <w:sz w:val="20"/>
                <w:szCs w:val="20"/>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embedded within the Inline XBRL document.</w:t>
            </w:r>
          </w:p>
        </w:tc>
      </w:tr>
      <w:tr>
        <w:trPr>
          <w:trHeight w:val="22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101.SCH</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Schema.</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101.CAL</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Calculation.</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101.DEF</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Definition.</w:t>
            </w:r>
          </w:p>
        </w:tc>
      </w:tr>
      <w:tr>
        <w:trPr>
          <w:trHeight w:val="229"/>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101.LAB</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Labels.</w:t>
            </w:r>
          </w:p>
        </w:tc>
      </w:tr>
      <w:tr>
        <w:trPr>
          <w:trHeight w:val="230"/>
        </w:trPr>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101.PRE</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Presentation.</w:t>
            </w:r>
          </w:p>
        </w:tc>
      </w:tr>
    </w:tbl>
    <w:p>
      <w:pPr>
        <w:ind w:left="1080" w:hanging="716"/>
        <w:spacing w:after="0"/>
        <w:tabs>
          <w:tab w:leader="none" w:pos="10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52" w:lineRule="exact"/>
        <w:rPr>
          <w:rFonts w:ascii="Times New Roman" w:cs="Times New Roman" w:eastAsia="Times New Roman" w:hAnsi="Times New Roman"/>
          <w:sz w:val="20"/>
          <w:szCs w:val="20"/>
          <w:color w:val="auto"/>
        </w:rPr>
      </w:pPr>
    </w:p>
    <w:p>
      <w:pPr>
        <w:ind w:left="200" w:hanging="200"/>
        <w:spacing w:after="0"/>
        <w:tabs>
          <w:tab w:leader="none" w:pos="2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10" w:lineRule="exact"/>
        <w:rPr>
          <w:sz w:val="20"/>
          <w:szCs w:val="20"/>
          <w:color w:val="auto"/>
        </w:rPr>
      </w:pPr>
    </w:p>
    <w:p>
      <w:pPr>
        <w:ind w:left="200" w:hanging="199"/>
        <w:spacing w:after="0" w:line="234" w:lineRule="auto"/>
        <w:rPr>
          <w:sz w:val="20"/>
          <w:szCs w:val="20"/>
          <w:color w:val="auto"/>
        </w:rPr>
      </w:pPr>
      <w:r>
        <w:rPr>
          <w:rFonts w:ascii="Times New Roman" w:cs="Times New Roman" w:eastAsia="Times New Roman" w:hAnsi="Times New Roman"/>
          <w:sz w:val="20"/>
          <w:szCs w:val="20"/>
          <w:color w:val="auto"/>
        </w:rPr>
        <w:t>**Certain identified information has been excluded from this exhibit because it is both (i) not material and (ii) would be competitively harmful if publicly disclosed.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u w:val="single" w:color="auto"/>
          <w:color w:val="auto"/>
        </w:rPr>
        <w:t>Form 10-K Summary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elected not to provide summary information.</w:t>
      </w:r>
    </w:p>
    <w:p>
      <w:pPr>
        <w:sectPr>
          <w:pgSz w:w="12240" w:h="15840" w:orient="portrait"/>
          <w:cols w:equalWidth="0" w:num="1">
            <w:col w:w="10800"/>
          </w:cols>
          <w:pgMar w:left="720" w:top="71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719" w:right="720" w:bottom="155"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MICROBOT MEDICAL INC.</w:t>
      </w:r>
    </w:p>
    <w:p>
      <w:pPr>
        <w:spacing w:after="0" w:line="23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i w:val="1"/>
          <w:iCs w:val="1"/>
          <w:color w:val="auto"/>
        </w:rPr>
        <w:t>/s/ Harel Gadot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2190115</wp:posOffset>
                </wp:positionH>
                <wp:positionV relativeFrom="paragraph">
                  <wp:posOffset>6350</wp:posOffset>
                </wp:positionV>
                <wp:extent cx="466852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852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5pt,0.5pt" to="540.05pt,0.5pt" o:allowincell="f" strokecolor="#000000" strokeweight="0.96pt"/>
            </w:pict>
          </mc:Fallback>
        </mc:AlternateContent>
      </w:r>
    </w:p>
    <w:p>
      <w:pPr>
        <w:spacing w:after="0" w:line="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color w:val="auto"/>
        </w:rPr>
        <w:t>Harel Gadot</w:t>
      </w: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President, Chief Executive Officer and Chairman</w:t>
      </w:r>
    </w:p>
    <w:p>
      <w:pPr>
        <w:spacing w:after="0"/>
        <w:rPr>
          <w:sz w:val="20"/>
          <w:szCs w:val="20"/>
          <w:color w:val="auto"/>
        </w:rPr>
      </w:pPr>
      <w:r>
        <w:rPr>
          <w:rFonts w:ascii="Times New Roman" w:cs="Times New Roman" w:eastAsia="Times New Roman" w:hAnsi="Times New Roman"/>
          <w:sz w:val="20"/>
          <w:szCs w:val="20"/>
          <w:color w:val="auto"/>
        </w:rPr>
        <w:t>Dated: March 25, 2025</w:t>
      </w:r>
    </w:p>
    <w:p>
      <w:pPr>
        <w:spacing w:after="0" w:line="23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80" w:type="dxa"/>
            <w:vAlign w:val="bottom"/>
          </w:tcPr>
          <w:p>
            <w:pPr>
              <w:spacing w:after="0"/>
              <w:rPr>
                <w:sz w:val="20"/>
                <w:szCs w:val="20"/>
                <w:color w:val="auto"/>
              </w:rPr>
            </w:pPr>
          </w:p>
        </w:tc>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Title</w:t>
            </w:r>
          </w:p>
        </w:tc>
        <w:tc>
          <w:tcPr>
            <w:tcW w:w="6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6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Harel Gadot</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2025</w:t>
            </w: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Harel Gadot</w:t>
            </w:r>
          </w:p>
        </w:tc>
        <w:tc>
          <w:tcPr>
            <w:tcW w:w="8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6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Rachel Vaknin</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2025</w:t>
            </w: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Rachel Vaknin</w:t>
            </w:r>
          </w:p>
        </w:tc>
        <w:tc>
          <w:tcPr>
            <w:tcW w:w="8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6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David J. Wilson</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2025</w:t>
            </w: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David J. Wilson</w:t>
            </w:r>
          </w:p>
        </w:tc>
        <w:tc>
          <w:tcPr>
            <w:tcW w:w="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6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Prattipati Laxminarain</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2025</w:t>
            </w: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Prattipati Laxminarain</w:t>
            </w:r>
          </w:p>
        </w:tc>
        <w:tc>
          <w:tcPr>
            <w:tcW w:w="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6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Scott Burell</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2025</w:t>
            </w: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Scott Burell</w:t>
            </w:r>
          </w:p>
        </w:tc>
        <w:tc>
          <w:tcPr>
            <w:tcW w:w="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6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Martin Madden</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2025</w:t>
            </w: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Martin Madden</w:t>
            </w:r>
          </w:p>
        </w:tc>
        <w:tc>
          <w:tcPr>
            <w:tcW w:w="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61"/>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Aileen Stockburger</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2025</w:t>
            </w:r>
          </w:p>
        </w:tc>
      </w:t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Aileen Stockburger</w:t>
            </w:r>
          </w:p>
        </w:tc>
        <w:tc>
          <w:tcPr>
            <w:tcW w:w="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460"/>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Tal Wenderow</w:t>
            </w:r>
          </w:p>
        </w:tc>
        <w:tc>
          <w:tcPr>
            <w:tcW w:w="8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25, 2025</w:t>
            </w: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Tal Wenderow</w:t>
            </w:r>
          </w:p>
        </w:tc>
        <w:tc>
          <w:tcPr>
            <w:tcW w:w="8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10800"/>
          </w:cols>
          <w:pgMar w:left="720" w:top="719" w:right="72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719" w:right="720" w:bottom="155"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MICROBOT MEDICAL INC.</w:t>
      </w: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59"/>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No. 1197)</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F-2 - F-3</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 for the years ended December 31, 2024 and 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Shareholders’ Equity for the years ended December 31, 2024 and 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461"/>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2024 and 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r>
      <w:tr>
        <w:trPr>
          <w:trHeight w:val="460"/>
        </w:trPr>
        <w:tc>
          <w:tcPr>
            <w:tcW w:w="9780" w:type="dxa"/>
            <w:vAlign w:val="bottom"/>
          </w:tcPr>
          <w:p>
            <w:pPr>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F-8 - F-26</w:t>
            </w:r>
          </w:p>
        </w:tc>
      </w:tr>
    </w:tbl>
    <w:p>
      <w:pPr>
        <w:spacing w:after="0" w:line="200" w:lineRule="exact"/>
        <w:rPr>
          <w:sz w:val="20"/>
          <w:szCs w:val="20"/>
          <w:color w:val="auto"/>
        </w:rPr>
      </w:pPr>
    </w:p>
    <w:p>
      <w:pPr>
        <w:sectPr>
          <w:pgSz w:w="12240" w:h="15840" w:orient="portrait"/>
          <w:cols w:equalWidth="0" w:num="1">
            <w:col w:w="10800"/>
          </w:cols>
          <w:pgMar w:left="720" w:top="719" w:right="72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800"/>
          </w:cols>
          <w:pgMar w:left="720" w:top="719" w:right="720" w:bottom="11"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Microbot Medical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Microbot Medical Inc. and its subsidiary (the “Company”) as of December 31, 2024 and 2023, and the related consolidated statements of comprehensive loss, shareholders’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color w:val="auto"/>
        </w:rPr>
        <w:t>Evaluation of the Company’s Ability to Continue as a Going Concern - Refer to Notes 1 and 17 to the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Critical Audit Matter Description</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the Company has incurred operating losses and negative cash flows from operations since inception. The Company’s operations are dependent on its ability to raise additional funds. This dependency will continue until the Company can completely finance its operations by generating revenue from its products.</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of December 31, 2024, the Company’s cash, cash equivalents and marketable securities were insufficient to fund its planned operations for at least a year after the issuance date of these consolidated financial statements.</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discussed in Note 17, in January and February 2025, the Company raised approximately $30 million through various offerings. Accordingly, management has concluded that, based on capital raised after the balance sheet date, the Company will be able to satisfy its liquidity requirements for more than one year from the date these financial statements were issued.</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Since the Company raised significant funds after the balance sheet date, which changed management’s assessment regarding its ability to continue as a going concern, and also impacted our audit procedures, we identified this issue as a critical audit matter.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How the Critical Audit Matter Was Addressed in the Audit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800"/>
          </w:cols>
          <w:pgMar w:left="720" w:top="948" w:right="720" w:bottom="11" w:gutter="0" w:footer="0" w:header="0"/>
        </w:sectPr>
      </w:pPr>
    </w:p>
    <w:bookmarkStart w:id="58" w:name="page59"/>
    <w:bookmarkEnd w:id="58"/>
    <w:p>
      <w:pPr>
        <w:jc w:val="both"/>
        <w:ind w:left="180" w:hanging="120"/>
        <w:spacing w:after="0" w:line="235" w:lineRule="auto"/>
        <w:rPr>
          <w:sz w:val="20"/>
          <w:szCs w:val="20"/>
          <w:color w:val="auto"/>
        </w:rPr>
      </w:pPr>
      <w:r>
        <w:rPr>
          <w:rFonts w:ascii="Times New Roman" w:cs="Times New Roman" w:eastAsia="Times New Roman" w:hAnsi="Times New Roman"/>
          <w:sz w:val="20"/>
          <w:szCs w:val="20"/>
          <w:color w:val="auto"/>
        </w:rPr>
        <w:t>●We extended our subsequent events audit procedures to cover share purchase agreements signed after the balance sheet date with investors and test collection of funds received by the Company.</w:t>
      </w:r>
    </w:p>
    <w:p>
      <w:pPr>
        <w:spacing w:after="0" w:line="240" w:lineRule="exact"/>
        <w:rPr>
          <w:sz w:val="20"/>
          <w:szCs w:val="20"/>
          <w:color w:val="auto"/>
        </w:rPr>
      </w:pPr>
    </w:p>
    <w:p>
      <w:pPr>
        <w:jc w:val="both"/>
        <w:ind w:left="180" w:hanging="120"/>
        <w:spacing w:after="0" w:line="235" w:lineRule="auto"/>
        <w:rPr>
          <w:sz w:val="20"/>
          <w:szCs w:val="20"/>
          <w:color w:val="auto"/>
        </w:rPr>
      </w:pPr>
      <w:r>
        <w:rPr>
          <w:rFonts w:ascii="Times New Roman" w:cs="Times New Roman" w:eastAsia="Times New Roman" w:hAnsi="Times New Roman"/>
          <w:sz w:val="20"/>
          <w:szCs w:val="20"/>
          <w:color w:val="auto"/>
        </w:rPr>
        <w:t>●We evaluated whether the capital funds raised after the balance sheet date are sufficient to meet the company’s liabilities and maintain adequate liquidity for ongoing operations for more than one year from the date these financial statements were issued by:</w:t>
      </w:r>
    </w:p>
    <w:p>
      <w:pPr>
        <w:spacing w:after="0" w:line="232" w:lineRule="exact"/>
        <w:rPr>
          <w:sz w:val="20"/>
          <w:szCs w:val="20"/>
          <w:color w:val="auto"/>
        </w:rPr>
      </w:pPr>
    </w:p>
    <w:p>
      <w:pPr>
        <w:jc w:val="both"/>
        <w:ind w:left="180" w:hanging="120"/>
        <w:spacing w:after="0" w:line="222" w:lineRule="auto"/>
        <w:rPr>
          <w:sz w:val="20"/>
          <w:szCs w:val="20"/>
          <w:color w:val="auto"/>
        </w:rPr>
      </w:pPr>
      <w:r>
        <w:rPr>
          <w:rFonts w:ascii="Courier New" w:cs="Courier New" w:eastAsia="Courier New" w:hAnsi="Courier New"/>
          <w:sz w:val="20"/>
          <w:szCs w:val="20"/>
          <w:color w:val="auto"/>
        </w:rPr>
        <w:t>○</w:t>
      </w:r>
      <w:r>
        <w:rPr>
          <w:rFonts w:ascii="Times New Roman" w:cs="Times New Roman" w:eastAsia="Times New Roman" w:hAnsi="Times New Roman"/>
          <w:sz w:val="20"/>
          <w:szCs w:val="20"/>
          <w:color w:val="auto"/>
        </w:rPr>
        <w:t>Inquiring with management to identify any events occurring after the balance sheet date that may impact our conclusion, as well as</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about upcoming activities and projections for one year following the issuance of these financial statements.</w:t>
      </w:r>
    </w:p>
    <w:p>
      <w:pPr>
        <w:spacing w:after="0" w:line="234" w:lineRule="exact"/>
        <w:rPr>
          <w:sz w:val="20"/>
          <w:szCs w:val="20"/>
          <w:color w:val="auto"/>
        </w:rPr>
      </w:pPr>
    </w:p>
    <w:p>
      <w:pPr>
        <w:jc w:val="both"/>
        <w:ind w:left="180" w:hanging="120"/>
        <w:spacing w:after="0" w:line="228" w:lineRule="auto"/>
        <w:rPr>
          <w:sz w:val="20"/>
          <w:szCs w:val="20"/>
          <w:color w:val="auto"/>
        </w:rPr>
      </w:pPr>
      <w:r>
        <w:rPr>
          <w:rFonts w:ascii="Courier New" w:cs="Courier New" w:eastAsia="Courier New" w:hAnsi="Courier New"/>
          <w:sz w:val="20"/>
          <w:szCs w:val="20"/>
          <w:color w:val="auto"/>
        </w:rPr>
        <w:t>○</w:t>
      </w:r>
      <w:r>
        <w:rPr>
          <w:rFonts w:ascii="Times New Roman" w:cs="Times New Roman" w:eastAsia="Times New Roman" w:hAnsi="Times New Roman"/>
          <w:sz w:val="20"/>
          <w:szCs w:val="20"/>
          <w:color w:val="auto"/>
        </w:rPr>
        <w:t>Assessing whether the capital funds raised exceed the projected cash flows. This involved assessing the Company’s underlying</w:t>
      </w:r>
      <w:r>
        <w:rPr>
          <w:rFonts w:ascii="Courier New" w:cs="Courier New" w:eastAsia="Courier New" w:hAnsi="Courier New"/>
          <w:sz w:val="20"/>
          <w:szCs w:val="20"/>
          <w:color w:val="auto"/>
        </w:rPr>
        <w:t xml:space="preserve"> </w:t>
      </w:r>
      <w:r>
        <w:rPr>
          <w:rFonts w:ascii="Times New Roman" w:cs="Times New Roman" w:eastAsia="Times New Roman" w:hAnsi="Times New Roman"/>
          <w:sz w:val="20"/>
          <w:szCs w:val="20"/>
          <w:color w:val="auto"/>
        </w:rPr>
        <w:t>assumptions used in the forecasted cash flows by comparing it to prior year actual financial results and assess whether the Company’s projections are consistent with our understanding of the Company’s expected activities.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Brightman Almagor Zohar &amp; Co.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Brightman Almagor Zohar &amp; Co</w:t>
      </w: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Certified Public Accountants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firm in the Deloitte Global Network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Aviv, Israel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25, 2025</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800"/>
          </w:cols>
          <w:pgMar w:left="720" w:top="958" w:right="720" w:bottom="11"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6"/>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As of December</w:t>
            </w:r>
          </w:p>
        </w:tc>
        <w:tc>
          <w:tcPr>
            <w:tcW w:w="0" w:type="dxa"/>
            <w:vAlign w:val="bottom"/>
          </w:tcPr>
          <w:p>
            <w:pPr>
              <w:spacing w:after="0"/>
              <w:rPr>
                <w:sz w:val="1"/>
                <w:szCs w:val="1"/>
                <w:color w:val="auto"/>
              </w:rPr>
            </w:pPr>
          </w:p>
        </w:tc>
      </w:tr>
      <w:tr>
        <w:trPr>
          <w:trHeight w:val="231"/>
        </w:trPr>
        <w:tc>
          <w:tcPr>
            <w:tcW w:w="8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Notes</w:t>
            </w:r>
          </w:p>
        </w:tc>
        <w:tc>
          <w:tcPr>
            <w:tcW w:w="100" w:type="dxa"/>
            <w:vAlign w:val="bottom"/>
          </w:tcPr>
          <w:p>
            <w:pPr>
              <w:spacing w:after="0"/>
              <w:rPr>
                <w:sz w:val="19"/>
                <w:szCs w:val="19"/>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ASSETS</w:t>
            </w:r>
          </w:p>
        </w:tc>
        <w:tc>
          <w:tcPr>
            <w:tcW w:w="4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Insurance recovery receivable related to legal settlement and legal expenses</w:t>
            </w: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7"/>
              </w:rPr>
              <w:t>9G</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1"/>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Operating right-of-use assets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 AND SHAREHOLDERS’ EQUITY</w:t>
            </w: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86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Trade accounts payables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Legal settlement accrual</w:t>
            </w: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color w:val="auto"/>
                <w:w w:val="97"/>
              </w:rPr>
              <w:t>9G</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liabilities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Shareholders’ equity:</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60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$0.01 par value; 60,000,000 shares authorized as of December 31, 2024 and 2023;</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19,399,513  and  11,707,317  shares  issued  and  outstanding  as  of  December  31,  2024  and  2023,</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respectively.</w:t>
            </w:r>
          </w:p>
        </w:tc>
        <w:tc>
          <w:tcPr>
            <w:tcW w:w="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(90,944)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(79,501)</w:t>
            </w:r>
          </w:p>
        </w:tc>
        <w:tc>
          <w:tcPr>
            <w:tcW w:w="0" w:type="dxa"/>
            <w:vAlign w:val="bottom"/>
          </w:tcPr>
          <w:p>
            <w:pPr>
              <w:spacing w:after="0"/>
              <w:rPr>
                <w:sz w:val="1"/>
                <w:szCs w:val="1"/>
                <w:color w:val="auto"/>
              </w:rPr>
            </w:pPr>
          </w:p>
        </w:tc>
      </w:tr>
      <w:tr>
        <w:trPr>
          <w:trHeight w:val="231"/>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shareholders’ equity</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 and shareholders’ equity</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6,031</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10800"/>
          </w:cols>
          <w:pgMar w:left="720" w:top="719" w:right="72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800"/>
          </w:cols>
          <w:pgMar w:left="720" w:top="719" w:right="720" w:bottom="11"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Comprehensive Loss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For the Years Ended</w:t>
            </w:r>
          </w:p>
        </w:tc>
      </w:tr>
      <w:tr>
        <w:trPr>
          <w:trHeight w:val="231"/>
        </w:trPr>
        <w:tc>
          <w:tcPr>
            <w:tcW w:w="714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rPr>
              <w:t>Notes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6"/>
          </w:tcPr>
          <w:p>
            <w:pPr>
              <w:jc w:val="right"/>
              <w:ind w:right="92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30"/>
        </w:trPr>
        <w:tc>
          <w:tcPr>
            <w:tcW w:w="71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r>
      <w:tr>
        <w:trPr>
          <w:trHeight w:val="229"/>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 net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(6,630)</w:t>
            </w:r>
          </w:p>
        </w:tc>
        <w:tc>
          <w:tcPr>
            <w:tcW w:w="2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(5,724)</w:t>
            </w:r>
          </w:p>
        </w:tc>
      </w:tr>
      <w:tr>
        <w:trPr>
          <w:trHeight w:val="231"/>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 net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(4,995)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(4,131)</w:t>
            </w:r>
          </w:p>
        </w:tc>
      </w:tr>
      <w:tr>
        <w:trPr>
          <w:trHeight w:val="20"/>
        </w:trPr>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7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Operating loss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(11,625)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(9,855)</w:t>
            </w:r>
          </w:p>
        </w:tc>
      </w:tr>
      <w:tr>
        <w:trPr>
          <w:trHeight w:val="460"/>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income, net</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60" w:type="dxa"/>
            <w:vAlign w:val="bottom"/>
          </w:tcPr>
          <w:p>
            <w:pPr>
              <w:spacing w:after="0"/>
              <w:rPr>
                <w:sz w:val="24"/>
                <w:szCs w:val="24"/>
                <w:color w:val="auto"/>
              </w:rPr>
            </w:pP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disposal of property and equipment</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31"/>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on legal settlement, net</w:t>
            </w:r>
          </w:p>
        </w:tc>
        <w:tc>
          <w:tcPr>
            <w:tcW w:w="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9G</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(1,111)</w:t>
            </w:r>
          </w:p>
        </w:tc>
      </w:tr>
      <w:tr>
        <w:trPr>
          <w:trHeight w:val="20"/>
        </w:trPr>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(11,443)</w:t>
            </w:r>
          </w:p>
        </w:tc>
        <w:tc>
          <w:tcPr>
            <w:tcW w:w="2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(10,740)</w:t>
            </w:r>
          </w:p>
        </w:tc>
      </w:tr>
      <w:tr>
        <w:trPr>
          <w:trHeight w:val="20"/>
        </w:trPr>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net loss per share</w:t>
            </w:r>
          </w:p>
        </w:tc>
        <w:tc>
          <w:tcPr>
            <w:tcW w:w="640" w:type="dxa"/>
            <w:vAlign w:val="bottom"/>
          </w:tcPr>
          <w:p>
            <w:pPr>
              <w:spacing w:after="0"/>
              <w:rPr>
                <w:sz w:val="24"/>
                <w:szCs w:val="24"/>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(0.73)</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0"/>
        </w:trPr>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weighted average common shares outstanding</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15,644,511</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10,199,984</w:t>
            </w:r>
          </w:p>
        </w:tc>
        <w:tc>
          <w:tcPr>
            <w:tcW w:w="60" w:type="dxa"/>
            <w:vAlign w:val="bottom"/>
          </w:tcPr>
          <w:p>
            <w:pPr>
              <w:spacing w:after="0"/>
              <w:rPr>
                <w:sz w:val="24"/>
                <w:szCs w:val="24"/>
                <w:color w:val="auto"/>
              </w:rPr>
            </w:pPr>
          </w:p>
        </w:tc>
      </w:tr>
      <w:tr>
        <w:trPr>
          <w:trHeight w:val="20"/>
        </w:trPr>
        <w:tc>
          <w:tcPr>
            <w:tcW w:w="7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10780"/>
          </w:cols>
          <w:pgMar w:left="720" w:top="719" w:right="7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780"/>
          </w:cols>
          <w:pgMar w:left="720" w:top="719" w:right="740" w:bottom="11"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Additional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1"/>
        </w:trPr>
        <w:tc>
          <w:tcPr>
            <w:tcW w:w="10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2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Paid-In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2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Shareholders’</w:t>
            </w:r>
          </w:p>
        </w:tc>
      </w:tr>
      <w:tr>
        <w:trPr>
          <w:trHeight w:val="230"/>
        </w:trPr>
        <w:tc>
          <w:tcPr>
            <w:tcW w:w="10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12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60" w:type="dxa"/>
            <w:vAlign w:val="bottom"/>
          </w:tcPr>
          <w:p>
            <w:pPr>
              <w:spacing w:after="0"/>
              <w:rPr>
                <w:sz w:val="19"/>
                <w:szCs w:val="19"/>
                <w:color w:val="auto"/>
              </w:rPr>
            </w:pPr>
          </w:p>
        </w:tc>
      </w:tr>
      <w:tr>
        <w:trPr>
          <w:trHeight w:val="460"/>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December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7,890,628</w:t>
            </w:r>
          </w:p>
        </w:tc>
        <w:tc>
          <w:tcPr>
            <w:tcW w:w="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75,970</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(68,761)</w:t>
            </w:r>
          </w:p>
        </w:tc>
        <w:tc>
          <w:tcPr>
            <w:tcW w:w="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7,289</w:t>
            </w:r>
          </w:p>
        </w:tc>
        <w:tc>
          <w:tcPr>
            <w:tcW w:w="60" w:type="dxa"/>
            <w:vAlign w:val="bottom"/>
          </w:tcPr>
          <w:p>
            <w:pPr>
              <w:spacing w:after="0"/>
              <w:rPr>
                <w:sz w:val="24"/>
                <w:szCs w:val="24"/>
                <w:color w:val="auto"/>
              </w:rPr>
            </w:pPr>
          </w:p>
        </w:tc>
      </w:tr>
      <w:tr>
        <w:trPr>
          <w:trHeight w:val="460"/>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and warrants net of issuance costs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40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3,816,689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6,558</w:t>
            </w:r>
          </w:p>
        </w:tc>
        <w:tc>
          <w:tcPr>
            <w:tcW w:w="60" w:type="dxa"/>
            <w:vAlign w:val="bottom"/>
          </w:tcPr>
          <w:p>
            <w:pPr>
              <w:spacing w:after="0"/>
              <w:rPr>
                <w:sz w:val="20"/>
                <w:szCs w:val="20"/>
                <w:color w:val="auto"/>
              </w:rPr>
            </w:pPr>
          </w:p>
        </w:tc>
      </w:tr>
      <w:tr>
        <w:trPr>
          <w:trHeight w:val="229"/>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60" w:type="dxa"/>
            <w:vAlign w:val="bottom"/>
          </w:tcPr>
          <w:p>
            <w:pPr>
              <w:spacing w:after="0"/>
              <w:rPr>
                <w:sz w:val="19"/>
                <w:szCs w:val="19"/>
                <w:color w:val="auto"/>
              </w:rPr>
            </w:pPr>
          </w:p>
        </w:tc>
      </w:tr>
      <w:tr>
        <w:trPr>
          <w:trHeight w:val="231"/>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40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(10,740)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(10,740)</w:t>
            </w:r>
          </w:p>
        </w:tc>
      </w:tr>
      <w:tr>
        <w:trPr>
          <w:trHeight w:val="20"/>
        </w:trPr>
        <w:tc>
          <w:tcPr>
            <w:tcW w:w="1000" w:type="dxa"/>
            <w:vAlign w:val="bottom"/>
          </w:tcPr>
          <w:p>
            <w:pPr>
              <w:spacing w:after="0" w:line="20" w:lineRule="exact"/>
              <w:rPr>
                <w:sz w:val="1"/>
                <w:szCs w:val="1"/>
                <w:color w:val="auto"/>
              </w:rPr>
            </w:pPr>
          </w:p>
        </w:tc>
        <w:tc>
          <w:tcPr>
            <w:tcW w:w="406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December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11,707,317</w:t>
            </w:r>
          </w:p>
        </w:tc>
        <w:tc>
          <w:tcPr>
            <w:tcW w:w="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83,884</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(79,501)</w:t>
            </w:r>
          </w:p>
        </w:tc>
        <w:tc>
          <w:tcPr>
            <w:tcW w:w="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4,501</w:t>
            </w:r>
          </w:p>
        </w:tc>
        <w:tc>
          <w:tcPr>
            <w:tcW w:w="60" w:type="dxa"/>
            <w:vAlign w:val="bottom"/>
          </w:tcPr>
          <w:p>
            <w:pPr>
              <w:spacing w:after="0"/>
              <w:rPr>
                <w:sz w:val="19"/>
                <w:szCs w:val="19"/>
                <w:color w:val="auto"/>
              </w:rPr>
            </w:pPr>
          </w:p>
        </w:tc>
      </w:tr>
      <w:tr>
        <w:trPr>
          <w:trHeight w:val="20"/>
        </w:trPr>
        <w:tc>
          <w:tcPr>
            <w:tcW w:w="506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5060" w:type="dxa"/>
            <w:vAlign w:val="bottom"/>
            <w:gridSpan w:val="2"/>
          </w:tcPr>
          <w:p>
            <w:pPr>
              <w:spacing w:after="0" w:line="222" w:lineRule="exact"/>
              <w:rPr>
                <w:sz w:val="20"/>
                <w:szCs w:val="20"/>
                <w:color w:val="auto"/>
              </w:rPr>
            </w:pPr>
            <w:r>
              <w:rPr>
                <w:rFonts w:ascii="Times New Roman" w:cs="Times New Roman" w:eastAsia="Times New Roman" w:hAnsi="Times New Roman"/>
                <w:sz w:val="20"/>
                <w:szCs w:val="20"/>
                <w:color w:val="auto"/>
              </w:rPr>
              <w:t>Issuance of common stock and warrants net of issuance costs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1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40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3,252,351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4,419</w:t>
            </w:r>
          </w:p>
        </w:tc>
        <w:tc>
          <w:tcPr>
            <w:tcW w:w="60" w:type="dxa"/>
            <w:vAlign w:val="bottom"/>
          </w:tcPr>
          <w:p>
            <w:pPr>
              <w:spacing w:after="0"/>
              <w:rPr>
                <w:sz w:val="19"/>
                <w:szCs w:val="19"/>
                <w:color w:val="auto"/>
              </w:rPr>
            </w:pPr>
          </w:p>
        </w:tc>
      </w:tr>
      <w:tr>
        <w:trPr>
          <w:trHeight w:val="230"/>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relating to settlement agreement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10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40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1,005,965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w:t>
            </w:r>
          </w:p>
        </w:tc>
        <w:tc>
          <w:tcPr>
            <w:tcW w:w="60" w:type="dxa"/>
            <w:vAlign w:val="bottom"/>
          </w:tcPr>
          <w:p>
            <w:pPr>
              <w:spacing w:after="0"/>
              <w:rPr>
                <w:sz w:val="20"/>
                <w:szCs w:val="20"/>
                <w:color w:val="auto"/>
              </w:rPr>
            </w:pPr>
          </w:p>
        </w:tc>
      </w:tr>
      <w:tr>
        <w:trPr>
          <w:trHeight w:val="229"/>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under the at-the-market offering</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program, net of issuance costs (****)</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3,433,880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3,517</w:t>
            </w:r>
          </w:p>
        </w:tc>
        <w:tc>
          <w:tcPr>
            <w:tcW w:w="60" w:type="dxa"/>
            <w:vAlign w:val="bottom"/>
          </w:tcPr>
          <w:p>
            <w:pPr>
              <w:spacing w:after="0"/>
              <w:rPr>
                <w:sz w:val="20"/>
                <w:szCs w:val="20"/>
                <w:color w:val="auto"/>
              </w:rPr>
            </w:pPr>
          </w:p>
        </w:tc>
      </w:tr>
      <w:tr>
        <w:trPr>
          <w:trHeight w:val="229"/>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w:t>
            </w:r>
          </w:p>
        </w:tc>
        <w:tc>
          <w:tcPr>
            <w:tcW w:w="60" w:type="dxa"/>
            <w:vAlign w:val="bottom"/>
          </w:tcPr>
          <w:p>
            <w:pPr>
              <w:spacing w:after="0"/>
              <w:rPr>
                <w:sz w:val="19"/>
                <w:szCs w:val="19"/>
                <w:color w:val="auto"/>
              </w:rPr>
            </w:pPr>
          </w:p>
        </w:tc>
      </w:tr>
      <w:tr>
        <w:trPr>
          <w:trHeight w:val="231"/>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40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(11,443)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(11,443)</w:t>
            </w:r>
          </w:p>
        </w:tc>
      </w:tr>
      <w:tr>
        <w:trPr>
          <w:trHeight w:val="20"/>
        </w:trPr>
        <w:tc>
          <w:tcPr>
            <w:tcW w:w="5060" w:type="dxa"/>
            <w:vAlign w:val="bottom"/>
            <w:tcBorders>
              <w:right w:val="single" w:sz="8" w:color="auto"/>
            </w:tcBorders>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December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19,399,513</w:t>
            </w:r>
          </w:p>
        </w:tc>
        <w:tc>
          <w:tcPr>
            <w:tcW w:w="3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94,279</w:t>
            </w:r>
          </w:p>
        </w:tc>
        <w:tc>
          <w:tcPr>
            <w:tcW w:w="3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(90,944)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3,530</w:t>
            </w:r>
          </w:p>
        </w:tc>
        <w:tc>
          <w:tcPr>
            <w:tcW w:w="60" w:type="dxa"/>
            <w:vAlign w:val="bottom"/>
          </w:tcPr>
          <w:p>
            <w:pPr>
              <w:spacing w:after="0"/>
              <w:rPr>
                <w:sz w:val="20"/>
                <w:szCs w:val="20"/>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Net of issuance costs in the amount of $1,075.</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40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of issuance costs in the amount of $661.</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1360" w:hanging="1360"/>
        <w:spacing w:after="0"/>
        <w:tabs>
          <w:tab w:leader="none" w:pos="1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9G.</w:t>
      </w:r>
    </w:p>
    <w:p>
      <w:pPr>
        <w:spacing w:after="0"/>
        <w:tabs>
          <w:tab w:leader="none" w:pos="134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Net of issuance costs in the amount of $239.</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10800"/>
          </w:cols>
          <w:pgMar w:left="720" w:top="719" w:right="72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800"/>
          </w:cols>
          <w:pgMar w:left="720" w:top="719" w:right="720" w:bottom="11"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6"/>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0" w:type="dxa"/>
            <w:vAlign w:val="bottom"/>
          </w:tcPr>
          <w:p>
            <w:pPr>
              <w:spacing w:after="0"/>
              <w:rPr>
                <w:sz w:val="1"/>
                <w:szCs w:val="1"/>
                <w:color w:val="auto"/>
              </w:rPr>
            </w:pPr>
          </w:p>
        </w:tc>
      </w:tr>
      <w:tr>
        <w:trPr>
          <w:trHeight w:val="231"/>
        </w:trPr>
        <w:tc>
          <w:tcPr>
            <w:tcW w:w="8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6"/>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29"/>
        </w:trPr>
        <w:tc>
          <w:tcPr>
            <w:tcW w:w="8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(11,443)</w:t>
            </w: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(10,740)</w:t>
            </w:r>
          </w:p>
        </w:tc>
        <w:tc>
          <w:tcPr>
            <w:tcW w:w="0" w:type="dxa"/>
            <w:vAlign w:val="bottom"/>
          </w:tcPr>
          <w:p>
            <w:pPr>
              <w:spacing w:after="0"/>
              <w:rPr>
                <w:sz w:val="1"/>
                <w:szCs w:val="1"/>
                <w:color w:val="auto"/>
              </w:rPr>
            </w:pPr>
          </w:p>
        </w:tc>
      </w:tr>
      <w:tr>
        <w:trPr>
          <w:trHeight w:val="231"/>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flows used in operating activities: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Depreciation of property and equipment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Loss on legal settlement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Interest income and unrealized gains from marketable securities, net</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0" w:type="dxa"/>
            <w:vAlign w:val="bottom"/>
          </w:tcPr>
          <w:p>
            <w:pPr>
              <w:spacing w:after="0"/>
              <w:rPr>
                <w:sz w:val="1"/>
                <w:szCs w:val="1"/>
                <w:color w:val="auto"/>
              </w:rPr>
            </w:pPr>
          </w:p>
        </w:tc>
      </w:tr>
      <w:tr>
        <w:trPr>
          <w:trHeight w:val="229"/>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Loss on disposal of property and equipment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Share-based compensation</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payables and accrued liabilities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(683)</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Insurance recovery related to legal settlement and legal expenses received in cash</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Legal settlement paid in cash</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(1,100)</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5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Net cash flows used in operating activities</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(8,827)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(8,533)</w:t>
            </w: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Short-term deposit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Proceeds from maturities of marketable securities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Purchase of marketable securities</w:t>
            </w:r>
          </w:p>
        </w:tc>
        <w:tc>
          <w:tcPr>
            <w:tcW w:w="1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(5,120)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(10,060)</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Proceeds from sales of marketable securities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5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Net cash flows provided by investing activities</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Issuance of common stock and warrants, net of issuance costs</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Net cash flows provided by financing activities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Increase (decrease) in cash, cash equivalents and restricted cash</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year</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Cash, cash equivalents and restricted cash at ending of year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5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Cash received from interest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2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Legal settlement settled through issuance of common stock</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20" w:type="dxa"/>
            <w:vAlign w:val="bottom"/>
            <w:gridSpan w:val="2"/>
          </w:tcPr>
          <w:p>
            <w:pPr>
              <w:ind w:left="200"/>
              <w:spacing w:after="0" w:line="222" w:lineRule="exact"/>
              <w:rPr>
                <w:sz w:val="20"/>
                <w:szCs w:val="20"/>
                <w:color w:val="auto"/>
              </w:rPr>
            </w:pPr>
            <w:r>
              <w:rPr>
                <w:rFonts w:ascii="Times New Roman" w:cs="Times New Roman" w:eastAsia="Times New Roman" w:hAnsi="Times New Roman"/>
                <w:sz w:val="20"/>
                <w:szCs w:val="20"/>
                <w:color w:val="auto"/>
              </w:rPr>
              <w:t>Right-of-use assets obtained in exchange for lease liabilities</w:t>
            </w:r>
          </w:p>
        </w:tc>
        <w:tc>
          <w:tcPr>
            <w:tcW w:w="1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98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20" w:type="dxa"/>
            <w:vAlign w:val="bottom"/>
            <w:gridSpan w:val="2"/>
          </w:tcPr>
          <w:p>
            <w:pPr>
              <w:ind w:left="200"/>
              <w:spacing w:after="0" w:line="220" w:lineRule="exact"/>
              <w:rPr>
                <w:sz w:val="20"/>
                <w:szCs w:val="20"/>
                <w:color w:val="auto"/>
              </w:rPr>
            </w:pPr>
            <w:r>
              <w:rPr>
                <w:rFonts w:ascii="Times New Roman" w:cs="Times New Roman" w:eastAsia="Times New Roman" w:hAnsi="Times New Roman"/>
                <w:sz w:val="20"/>
                <w:szCs w:val="20"/>
                <w:color w:val="auto"/>
              </w:rPr>
              <w:t>Accrued bonus settled through grant of stock-option awards</w:t>
            </w:r>
          </w:p>
        </w:tc>
        <w:tc>
          <w:tcPr>
            <w:tcW w:w="140" w:type="dxa"/>
            <w:vAlign w:val="bottom"/>
          </w:tcPr>
          <w:p>
            <w:pPr>
              <w:spacing w:after="0"/>
              <w:rPr>
                <w:sz w:val="19"/>
                <w:szCs w:val="19"/>
                <w:color w:val="auto"/>
              </w:rPr>
            </w:pP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10780"/>
          </w:cols>
          <w:pgMar w:left="720" w:top="719" w:right="740"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780"/>
          </w:cols>
          <w:pgMar w:left="720" w:top="719" w:right="740" w:bottom="11"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GENERAL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Description of business: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Medical Inc. (the “Company”) is a clinical-stage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and its subsidiary are sometimes collectively referred to as the “Company” as the context may require.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Risk Factors: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To date, the Company has not generated revenues from its operations. As of December 31, 2024, the Company had cash equivalents and marketable securities balance of approximately $5,470, excluding restricted cash. Due to continuing research and development activities, the Company expects to continue to incur additional losses for the foreseeable future. Notwithstanding these conditions, the Company’s management has concluded that the available funds as of the balance sheet date, combined with the capital raises completed subsequent to the balance sheet date, as described in Notes 17A and 17B, are sufficient to fund the Company’s operations for more than twelve months from issuance date of these financial statements.</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Risk Factors: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Israel-Hamas War</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issuance date of these financial statements, although there have been temporary cease fires from time to time.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GENERAL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considered various ongoing risks relating to the military operations and related matters, including:</w:t>
      </w:r>
    </w:p>
    <w:p>
      <w:pPr>
        <w:spacing w:after="0" w:line="241" w:lineRule="exact"/>
        <w:rPr>
          <w:sz w:val="20"/>
          <w:szCs w:val="20"/>
          <w:color w:val="auto"/>
        </w:rPr>
      </w:pPr>
    </w:p>
    <w:p>
      <w:pPr>
        <w:ind w:left="620" w:hanging="614"/>
        <w:spacing w:after="0" w:line="234" w:lineRule="auto"/>
        <w:tabs>
          <w:tab w:leader="none" w:pos="6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some of our Israeli subcontractors, vendors, suppliers and other companies in which the Company relies, are currently only partially active, as instructed by the relevant authorities; and</w:t>
      </w:r>
    </w:p>
    <w:p>
      <w:pPr>
        <w:spacing w:after="0" w:line="1" w:lineRule="exact"/>
        <w:rPr>
          <w:rFonts w:ascii="Times New Roman" w:cs="Times New Roman" w:eastAsia="Times New Roman" w:hAnsi="Times New Roman"/>
          <w:sz w:val="20"/>
          <w:szCs w:val="20"/>
          <w:color w:val="auto"/>
        </w:rPr>
      </w:pPr>
    </w:p>
    <w:p>
      <w:pPr>
        <w:ind w:left="620" w:hanging="614"/>
        <w:spacing w:after="0"/>
        <w:tabs>
          <w:tab w:leader="none" w:pos="6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slowdown in the number of international flights in and out of Israel.</w:t>
      </w:r>
    </w:p>
    <w:p>
      <w:pPr>
        <w:spacing w:after="0" w:line="2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Company is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issuance date of these financial statements, the Company has determined that there have not been any materially adverse effects on our business or operations, but the Company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800"/>
          </w:cols>
          <w:pgMar w:left="720" w:top="719" w:right="720" w:bottom="11" w:gutter="0" w:footer="0" w:header="0"/>
        </w:sectPr>
      </w:pPr>
    </w:p>
    <w:bookmarkStart w:id="64" w:name="page65"/>
    <w:bookmarkEnd w:id="64"/>
    <w:p>
      <w:pPr>
        <w:jc w:val="both"/>
        <w:spacing w:after="0" w:line="236" w:lineRule="auto"/>
        <w:rPr>
          <w:sz w:val="20"/>
          <w:szCs w:val="20"/>
          <w:color w:val="auto"/>
        </w:rPr>
      </w:pPr>
      <w:r>
        <w:rPr>
          <w:rFonts w:ascii="Times New Roman" w:cs="Times New Roman" w:eastAsia="Times New Roman" w:hAnsi="Times New Roman"/>
          <w:sz w:val="20"/>
          <w:szCs w:val="20"/>
          <w:color w:val="auto"/>
        </w:rPr>
        <w:t>continues to monitor the situation, as any collapse of the cease-fire with Hamas or Hezbollah or any future escalation or change could result in a material adverse effect on the ability of our Israeli office to support the Company’s clinical and regulatory activities. The Company do not have any specific contingency plans in the event of any such escalation or change.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accounting policies applied in the preparation of the financial statements are as follows: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Basis of presentation:</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financial statements have been prepared in conformity with accounting principles generally accepted in the United States of America (“US GAAP”).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Financial statement in U.S. dollars: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2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Use of estimates: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Principles of consolidation:</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 owned subsidiary. Inter-company balances and transactions have been eliminated in consolidation.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Reclassification of prior year disclosures: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Cash and cash equivalents: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Restricted cash:</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cash of $49 as of December 31, 2024, and 2023 serves as collateral for the Company’s lease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Fair value of financial instruments:</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carrying values of cash and cash equivalents, other receivable and other accounts payable and accrued liabilities approximate their fair value due to the short-term maturity of these instruments.</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800"/>
          </w:cols>
          <w:pgMar w:left="720" w:top="729" w:right="720" w:bottom="11"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 Quoted prices (unadjusted) in active markets for identical assets and liabilities.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 Inputs other than Level 1 that are observable, either directly or indirectly, such as unadjusted quoted prices for similar assets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liabilities, unadjusted quoted prices in the markets that are not active, or other inputs that are observable or can be corroborated by observable market data for substantially the full term of the assets or liabilities.</w:t>
      </w:r>
    </w:p>
    <w:p>
      <w:pPr>
        <w:spacing w:after="0" w:line="2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 Unobservable inputs that are supported by little or no market activity and that are significant to the fair value of the assets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Concentrations of credit risk:</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 Property and equipment:</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Property and equipment are presented at cost less accumulated depreciation. Depreciation is calculated based on the straight-line method over the estimated useful lives of the assets, at the following annual rates: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520" w:type="dxa"/>
            <w:vAlign w:val="bottom"/>
          </w:tcPr>
          <w:p>
            <w:pPr>
              <w:spacing w:after="0"/>
              <w:rPr>
                <w:sz w:val="20"/>
                <w:szCs w:val="20"/>
                <w:color w:val="auto"/>
              </w:rPr>
            </w:pPr>
          </w:p>
        </w:tc>
        <w:tc>
          <w:tcPr>
            <w:tcW w:w="4160" w:type="dxa"/>
            <w:vAlign w:val="bottom"/>
            <w:tcBorders>
              <w:bottom w:val="single" w:sz="8" w:color="auto"/>
            </w:tcBorders>
          </w:tcPr>
          <w:p>
            <w:pPr>
              <w:jc w:val="right"/>
              <w:ind w:right="188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459"/>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4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w:t>
            </w: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4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652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4160" w:type="dxa"/>
            <w:vAlign w:val="bottom"/>
          </w:tcPr>
          <w:p>
            <w:pPr>
              <w:jc w:val="right"/>
              <w:ind w:right="1060"/>
              <w:spacing w:after="0"/>
              <w:rPr>
                <w:sz w:val="20"/>
                <w:szCs w:val="20"/>
                <w:color w:val="auto"/>
              </w:rPr>
            </w:pPr>
            <w:r>
              <w:rPr>
                <w:rFonts w:ascii="Times New Roman" w:cs="Times New Roman" w:eastAsia="Times New Roman" w:hAnsi="Times New Roman"/>
                <w:sz w:val="20"/>
                <w:szCs w:val="20"/>
                <w:color w:val="auto"/>
              </w:rPr>
              <w:t>Over the lease period</w:t>
            </w:r>
          </w:p>
        </w:tc>
      </w:tr>
    </w:tbl>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2024, and 2023, no impairment charge has been recorded.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 Liabilities due to termination of employment agreements: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 Common stock warrants: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 Basic and diluted net loss per share:</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10800"/>
          </w:cols>
          <w:pgMar w:left="720" w:top="948" w:right="720" w:bottom="11" w:gutter="0" w:footer="0" w:header="0"/>
        </w:sectPr>
      </w:pPr>
    </w:p>
    <w:bookmarkStart w:id="66" w:name="page67"/>
    <w:bookmarkEnd w:id="66"/>
    <w:p>
      <w:pPr>
        <w:jc w:val="both"/>
        <w:spacing w:after="0" w:line="237" w:lineRule="auto"/>
        <w:rPr>
          <w:sz w:val="20"/>
          <w:szCs w:val="20"/>
          <w:color w:val="auto"/>
        </w:rPr>
      </w:pPr>
      <w:r>
        <w:rPr>
          <w:rFonts w:ascii="Times New Roman" w:cs="Times New Roman" w:eastAsia="Times New Roman" w:hAnsi="Times New Roman"/>
          <w:sz w:val="20"/>
          <w:szCs w:val="20"/>
          <w:color w:val="auto"/>
        </w:rPr>
        <w:t>net loss per share attributable to common shareholders calculation, stock options and warrants are considered to be common stock equivalents. All common stock equivalents, as detailed in Notes 2P and 10F, have been excluded from the calculation of the diluted loss per share for the years ended December 31, 2024 and December 31, 2023,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 Research and development expenses, net:</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2U below. Reimbursement of expenses for research and development projects is recognized as the costs are incurred and is netted against research and development expenses in the statement of comprehensive loss. Research and development reimbursements of $83, and $0 were offset against research and development costs in the years ended December 31, 2024 and 2023,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 General and administrative expenses, net:</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2024 and 2023, were offset by insurance loss recoveries in the amounts of approximately $0 and $281,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 Share-based compensation:</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24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2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When no future services are required to be performed by the grantee in exchange for an award of equity instruments, and if such award does not contain a performance condition, the cost of the award is expensed on the grant date.</w:t>
      </w:r>
    </w:p>
    <w:p>
      <w:pPr>
        <w:spacing w:after="0" w:line="2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For stock options that qualify as “plain-vanilla,” the expected term is calculated using the simplified method. For stock options that do not qualify as “plain-vanilla”, the Company’s management estimated that the expected stock option term is the contractual term of the options.</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Changes in the determination of each of the inputs can affect the fair value of the stock options granted and the results of operations of the Company.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 Income taxes:</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F-11</w:t>
      </w:r>
    </w:p>
    <w:p>
      <w:pPr>
        <w:sectPr>
          <w:pgSz w:w="12240" w:h="15840" w:orient="portrait"/>
          <w:cols w:equalWidth="0" w:num="1">
            <w:col w:w="10800"/>
          </w:cols>
          <w:pgMar w:left="720" w:top="729" w:right="720" w:bottom="11" w:gutter="0" w:footer="0" w:header="0"/>
        </w:sectPr>
      </w:pPr>
    </w:p>
    <w:bookmarkStart w:id="67" w:name="page68"/>
    <w:bookmarkEnd w:id="67"/>
    <w:p>
      <w:pPr>
        <w:jc w:val="both"/>
        <w:spacing w:after="0" w:line="234" w:lineRule="auto"/>
        <w:rPr>
          <w:sz w:val="20"/>
          <w:szCs w:val="20"/>
          <w:color w:val="auto"/>
        </w:rPr>
      </w:pPr>
      <w:r>
        <w:rPr>
          <w:rFonts w:ascii="Times New Roman" w:cs="Times New Roman" w:eastAsia="Times New Roman" w:hAnsi="Times New Roman"/>
          <w:sz w:val="20"/>
          <w:szCs w:val="20"/>
          <w:color w:val="auto"/>
        </w:rPr>
        <w:t>likely than not that some or all of the deferred tax assets will not be realized. As of December 31, 2024, and 2023, the Company had a full valuation allowance against deferred tax assets.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 Marketable securities: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Leases: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has lease agreements with lease and non-lease components, which it accounts for as a single lease component. The Company has elected not to recognize ROU assets and lease liabilities for short-term leases that have a term of 12 months or less. The Company’s lease agreements do not contain any material residual value guarantees or material restrictive covenants. In addition, the Company does not have any related party leases.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 Contingencies: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9G below.</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9G below.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Government grants: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grants are deducted from the research and development expenses as the applicable costs are incurred. Research and development expenses, net, for the years ended December 31, 2024 and 2023, include participation in research and development expenses in the amount of approximately $149 and $279, respectively.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 Segment Reporting</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has a single operating and reportable segment, which is the development of robotic devices for endoluminal surgery. See Note 1A for further details. The Company’s chief operating decision maker (the “CODM”), the Chief Executive Officer (“CEO”), reviews financial information presented on a consolidated basis for purposes of making operating decisions, assessing performance, and allocating resources. For further details, refer to Note 14.</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800"/>
          </w:cols>
          <w:pgMar w:left="720" w:top="729" w:right="720" w:bottom="11"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W. Recently Adopted accounting pronouncements: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November 2023, the FASB issued ASU 2023-07, “Segment Reporting (Topic 280), Improvements to Reportable Segment Disclosures” (“ASU 2023-07”) to improve reportable segment disclosure requirements through enhanced disclosures about significant segment expenses on an interim and annual basis. All disclosure requirements of ASU 2023-07 are required also for entities with a single reportable segment. ASU 2023-07 is effective starting January 1, 2024 and should be applied on a retrospective basis to all periods presented. The adoption of this ASU did not have a material impact on the Company’s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 Accounting pronouncements not yet effective:</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Income-Expense Disaggregation Disclosures (Subtopic 220- 40): Disaggregation of Income Statement Expenses” (“ASU 2024-03”), which requires the disaggregation of certain expenses in the financial statements notes, to provide enhanced transparency into the expense captions presented on the face of the consolidated statement of operations. ASU 2024-03 is effective for annual reporting periods beginning January 1, 2027 and interim periods beginning January 1, 2028 and may be applied either prospectively or retrospectively. The Company is currently evaluating the impact that ASU 2024-03 will have on its related disclosures.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CASH AND CASH EQUIVALENTS AND MARKETABLE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cash, cash equivalents and marketable securities as of December 31,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4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8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w:t>
            </w:r>
          </w:p>
        </w:tc>
        <w:tc>
          <w:tcPr>
            <w:tcW w:w="8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3,114</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2,468</w:t>
            </w:r>
          </w:p>
        </w:tc>
        <w:tc>
          <w:tcPr>
            <w:tcW w:w="0" w:type="dxa"/>
            <w:vAlign w:val="bottom"/>
          </w:tcPr>
          <w:p>
            <w:pPr>
              <w:spacing w:after="0"/>
              <w:rPr>
                <w:sz w:val="1"/>
                <w:szCs w:val="1"/>
                <w:color w:val="auto"/>
              </w:rPr>
            </w:pPr>
          </w:p>
        </w:tc>
      </w:tr>
      <w:tr>
        <w:trPr>
          <w:trHeight w:val="229"/>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3,114</w:t>
            </w: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2,468</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7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2,356</w:t>
            </w: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1,420</w:t>
            </w:r>
          </w:p>
        </w:tc>
        <w:tc>
          <w:tcPr>
            <w:tcW w:w="0" w:type="dxa"/>
            <w:vAlign w:val="bottom"/>
          </w:tcPr>
          <w:p>
            <w:pPr>
              <w:spacing w:after="0"/>
              <w:rPr>
                <w:sz w:val="1"/>
                <w:szCs w:val="1"/>
                <w:color w:val="auto"/>
              </w:rPr>
            </w:pPr>
          </w:p>
        </w:tc>
      </w:tr>
      <w:tr>
        <w:trPr>
          <w:trHeight w:val="231"/>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7"/>
              </w:rPr>
              <w:t>2,497</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2,356</w:t>
            </w: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3,917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cash, cash equivalents and marketable securities</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5,470</w:t>
            </w: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6,385</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unrealized gains on our marketable securities were $0 and $59 for the years ended December 31, 2024 and 2023,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Treasuries have contractual maturities of less than 12 months.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FAIR VALUE MEASUREMENTS</w:t>
      </w:r>
    </w:p>
    <w:p>
      <w:pPr>
        <w:spacing w:after="0" w:line="23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The following table summarizes the Company’s financial assets subject to fair value measurement and the level of inputs used in such measurements as of December 31,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9"/>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3</w:t>
            </w:r>
          </w:p>
        </w:tc>
      </w:tr>
      <w:tr>
        <w:trPr>
          <w:trHeight w:val="460"/>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1"/>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1300" w:type="dxa"/>
            <w:vAlign w:val="bottom"/>
            <w:gridSpan w:val="3"/>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30"/>
        </w:trPr>
        <w:tc>
          <w:tcPr>
            <w:tcW w:w="4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1300" w:type="dxa"/>
            <w:vAlign w:val="bottom"/>
            <w:gridSpan w:val="3"/>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9"/>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Level 3</w:t>
            </w:r>
          </w:p>
        </w:tc>
      </w:tr>
      <w:tr>
        <w:trPr>
          <w:trHeight w:val="460"/>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900" w:type="dxa"/>
            <w:vAlign w:val="bottom"/>
          </w:tcPr>
          <w:p>
            <w:pPr>
              <w:jc w:val="right"/>
              <w:ind w:right="73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2,497</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2,497</w:t>
            </w:r>
          </w:p>
        </w:tc>
        <w:tc>
          <w:tcPr>
            <w:tcW w:w="1300" w:type="dxa"/>
            <w:vAlign w:val="bottom"/>
            <w:gridSpan w:val="3"/>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1,420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4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ind w:right="73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3,917</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3,917</w:t>
            </w:r>
          </w:p>
        </w:tc>
        <w:tc>
          <w:tcPr>
            <w:tcW w:w="1300" w:type="dxa"/>
            <w:vAlign w:val="bottom"/>
            <w:gridSpan w:val="3"/>
          </w:tcPr>
          <w:p>
            <w:pPr>
              <w:jc w:val="right"/>
              <w:ind w:right="8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719" w:right="720" w:bottom="13"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800"/>
          </w:cols>
          <w:pgMar w:left="720" w:top="719" w:right="720" w:bottom="13" w:gutter="0" w:footer="0" w:header="0"/>
          <w:type w:val="continuous"/>
        </w:sectPr>
      </w:pPr>
    </w:p>
    <w:bookmarkStart w:id="69" w:name="page70"/>
    <w:bookmarkEnd w:id="69"/>
    <w:p>
      <w:pPr>
        <w:jc w:val="both"/>
        <w:spacing w:after="0" w:line="236" w:lineRule="auto"/>
        <w:rPr>
          <w:sz w:val="20"/>
          <w:szCs w:val="20"/>
          <w:color w:val="auto"/>
        </w:rPr>
      </w:pPr>
      <w:r>
        <w:rPr>
          <w:rFonts w:ascii="Times New Roman" w:cs="Times New Roman" w:eastAsia="Times New Roman" w:hAnsi="Times New Roman"/>
          <w:sz w:val="20"/>
          <w:szCs w:val="20"/>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2024 and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5</w:t>
            </w:r>
          </w:p>
        </w:tc>
        <w:tc>
          <w:tcPr>
            <w:tcW w:w="65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 PREPAID EXPENSES AND OTHER CURRENT ASSETS</w:t>
            </w: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61"/>
        </w:trPr>
        <w:tc>
          <w:tcPr>
            <w:tcW w:w="7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00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440" w:type="dxa"/>
            <w:vAlign w:val="bottom"/>
            <w:tcBorders>
              <w:bottom w:val="single" w:sz="8" w:color="auto"/>
            </w:tcBorders>
          </w:tcPr>
          <w:p>
            <w:pPr>
              <w:spacing w:after="0"/>
              <w:rPr>
                <w:sz w:val="24"/>
                <w:szCs w:val="24"/>
                <w:color w:val="auto"/>
              </w:rPr>
            </w:pPr>
          </w:p>
        </w:tc>
      </w:tr>
      <w:tr>
        <w:trPr>
          <w:trHeight w:val="230"/>
        </w:trPr>
        <w:tc>
          <w:tcPr>
            <w:tcW w:w="74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20" w:type="dxa"/>
            <w:vAlign w:val="bottom"/>
            <w:tcBorders>
              <w:bottom w:val="single" w:sz="8" w:color="auto"/>
            </w:tcBorders>
          </w:tcPr>
          <w:p>
            <w:pPr>
              <w:spacing w:after="0"/>
              <w:rPr>
                <w:sz w:val="19"/>
                <w:szCs w:val="19"/>
                <w:color w:val="auto"/>
              </w:rPr>
            </w:pPr>
          </w:p>
        </w:tc>
        <w:tc>
          <w:tcPr>
            <w:tcW w:w="400" w:type="dxa"/>
            <w:vAlign w:val="bottom"/>
            <w:gridSpan w:val="2"/>
          </w:tcPr>
          <w:p>
            <w:pPr>
              <w:spacing w:after="0"/>
              <w:rPr>
                <w:sz w:val="19"/>
                <w:szCs w:val="19"/>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440" w:type="dxa"/>
            <w:vAlign w:val="bottom"/>
            <w:tcBorders>
              <w:bottom w:val="single" w:sz="8" w:color="auto"/>
            </w:tcBorders>
          </w:tcPr>
          <w:p>
            <w:pPr>
              <w:spacing w:after="0"/>
              <w:rPr>
                <w:sz w:val="19"/>
                <w:szCs w:val="19"/>
                <w:color w:val="auto"/>
              </w:rPr>
            </w:pPr>
          </w:p>
        </w:tc>
      </w:tr>
      <w:tr>
        <w:trPr>
          <w:trHeight w:val="460"/>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Amounts due from government institutions</w:t>
            </w:r>
          </w:p>
        </w:tc>
        <w:tc>
          <w:tcPr>
            <w:tcW w:w="1100" w:type="dxa"/>
            <w:vAlign w:val="bottom"/>
          </w:tcPr>
          <w:p>
            <w:pPr>
              <w:jc w:val="right"/>
              <w:ind w:right="90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480" w:type="dxa"/>
            <w:vAlign w:val="bottom"/>
            <w:gridSpan w:val="3"/>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72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expenses and other receivables</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31"/>
        </w:trPr>
        <w:tc>
          <w:tcPr>
            <w:tcW w:w="74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100" w:type="dxa"/>
            <w:vAlign w:val="bottom"/>
          </w:tcPr>
          <w:p>
            <w:pPr>
              <w:jc w:val="right"/>
              <w:ind w:right="90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1480" w:type="dxa"/>
            <w:vAlign w:val="bottom"/>
            <w:gridSpan w:val="3"/>
          </w:tcPr>
          <w:p>
            <w:pPr>
              <w:jc w:val="right"/>
              <w:ind w:right="88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0"/>
        </w:trPr>
        <w:tc>
          <w:tcPr>
            <w:tcW w:w="7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51"/>
        </w:trPr>
        <w:tc>
          <w:tcPr>
            <w:tcW w:w="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6</w:t>
            </w:r>
          </w:p>
        </w:tc>
        <w:tc>
          <w:tcPr>
            <w:tcW w:w="65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 LEASES</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November 2019, the Company signed an office space lease agreement for the period from November 2019 until October 2024. The monthly lease payments are approximately $16. To secure the lease payments the Company had issued a bank guarantee of $49 in favor of the facility’s lessor.</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November 2024, the Company extended the lease for one year until October 2025. Additionally, the Company entered into agreements for car leases.</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following table presents the components of the Company’s lease cost and the classification of such costs in the Company’s consolidated statements of comprehensive loss for the years ended December 31,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r>
      <w:tr>
        <w:trPr>
          <w:trHeight w:val="231"/>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Component of Lease Cost</w:t>
            </w:r>
          </w:p>
        </w:tc>
        <w:tc>
          <w:tcPr>
            <w:tcW w:w="40" w:type="dxa"/>
            <w:vAlign w:val="bottom"/>
          </w:tcPr>
          <w:p>
            <w:pPr>
              <w:spacing w:after="0"/>
              <w:rPr>
                <w:sz w:val="20"/>
                <w:szCs w:val="20"/>
                <w:color w:val="auto"/>
              </w:rPr>
            </w:pPr>
          </w:p>
        </w:tc>
        <w:tc>
          <w:tcPr>
            <w:tcW w:w="45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Statements of Comprehensive Loss Line Item</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4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Research and development,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cash flow information related to operating leases was as follows:</w:t>
      </w: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r>
      <w:tr>
        <w:trPr>
          <w:trHeight w:val="231"/>
        </w:trPr>
        <w:tc>
          <w:tcPr>
            <w:tcW w:w="5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1"/>
        </w:trPr>
        <w:tc>
          <w:tcPr>
            <w:tcW w:w="5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paid under operating lease agreements</w:t>
            </w:r>
          </w:p>
        </w:tc>
        <w:tc>
          <w:tcPr>
            <w:tcW w:w="50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auto"/>
                <w:w w:val="7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Undiscounted maturities of future operating lease payments as of December 31, 2024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780" w:type="dxa"/>
            <w:vAlign w:val="bottom"/>
            <w:gridSpan w:val="2"/>
          </w:tcPr>
          <w:p>
            <w:pPr>
              <w:jc w:val="right"/>
              <w:ind w:right="148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31"/>
        </w:trPr>
        <w:tc>
          <w:tcPr>
            <w:tcW w:w="6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jc w:val="right"/>
              <w:ind w:right="19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r>
      <w:tr>
        <w:trPr>
          <w:trHeight w:val="229"/>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19"/>
                <w:szCs w:val="19"/>
                <w:color w:val="auto"/>
              </w:rPr>
            </w:pPr>
          </w:p>
        </w:tc>
        <w:tc>
          <w:tcPr>
            <w:tcW w:w="760" w:type="dxa"/>
            <w:vAlign w:val="bottom"/>
          </w:tcPr>
          <w:p>
            <w:pPr>
              <w:jc w:val="right"/>
              <w:ind w:right="560"/>
              <w:spacing w:after="0"/>
              <w:rPr>
                <w:sz w:val="20"/>
                <w:szCs w:val="20"/>
                <w:color w:val="auto"/>
              </w:rPr>
            </w:pPr>
            <w:r>
              <w:rPr>
                <w:rFonts w:ascii="Times New Roman" w:cs="Times New Roman" w:eastAsia="Times New Roman" w:hAnsi="Times New Roman"/>
                <w:sz w:val="20"/>
                <w:szCs w:val="20"/>
                <w:color w:val="auto"/>
                <w:w w:val="79"/>
              </w:rPr>
              <w:t>$</w:t>
            </w:r>
          </w:p>
        </w:tc>
        <w:tc>
          <w:tcPr>
            <w:tcW w:w="3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60" w:type="dxa"/>
            <w:vAlign w:val="bottom"/>
          </w:tcPr>
          <w:p>
            <w:pPr>
              <w:spacing w:after="0"/>
              <w:rPr>
                <w:sz w:val="19"/>
                <w:szCs w:val="19"/>
                <w:color w:val="auto"/>
              </w:rPr>
            </w:pPr>
          </w:p>
        </w:tc>
      </w:tr>
      <w:tr>
        <w:trPr>
          <w:trHeight w:val="231"/>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60" w:type="dxa"/>
            <w:vAlign w:val="bottom"/>
          </w:tcPr>
          <w:p>
            <w:pPr>
              <w:spacing w:after="0"/>
              <w:rPr>
                <w:sz w:val="20"/>
                <w:szCs w:val="20"/>
                <w:color w:val="auto"/>
              </w:rPr>
            </w:pPr>
          </w:p>
        </w:tc>
      </w:tr>
      <w:tr>
        <w:trPr>
          <w:trHeight w:val="229"/>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future lease payments</w:t>
            </w:r>
          </w:p>
        </w:tc>
        <w:tc>
          <w:tcPr>
            <w:tcW w:w="760" w:type="dxa"/>
            <w:vAlign w:val="bottom"/>
          </w:tcPr>
          <w:p>
            <w:pPr>
              <w:spacing w:after="0"/>
              <w:rPr>
                <w:sz w:val="19"/>
                <w:szCs w:val="19"/>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19"/>
                <w:szCs w:val="19"/>
                <w:color w:val="auto"/>
              </w:rPr>
            </w:pPr>
          </w:p>
        </w:tc>
      </w:tr>
      <w:tr>
        <w:trPr>
          <w:trHeight w:val="231"/>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760" w:type="dxa"/>
            <w:vAlign w:val="bottom"/>
          </w:tcPr>
          <w:p>
            <w:pPr>
              <w:spacing w:after="0"/>
              <w:rPr>
                <w:sz w:val="20"/>
                <w:szCs w:val="20"/>
                <w:color w:val="auto"/>
              </w:rPr>
            </w:pP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30"/>
        </w:trPr>
        <w:tc>
          <w:tcPr>
            <w:tcW w:w="6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lease liabilities</w:t>
            </w:r>
          </w:p>
        </w:tc>
        <w:tc>
          <w:tcPr>
            <w:tcW w:w="760" w:type="dxa"/>
            <w:vAlign w:val="bottom"/>
            <w:tcBorders>
              <w:top w:val="single" w:sz="8" w:color="auto"/>
            </w:tcBorders>
          </w:tcPr>
          <w:p>
            <w:pPr>
              <w:jc w:val="right"/>
              <w:ind w:right="560"/>
              <w:spacing w:after="0"/>
              <w:rPr>
                <w:sz w:val="20"/>
                <w:szCs w:val="20"/>
                <w:color w:val="auto"/>
              </w:rPr>
            </w:pPr>
            <w:r>
              <w:rPr>
                <w:rFonts w:ascii="Times New Roman" w:cs="Times New Roman" w:eastAsia="Times New Roman" w:hAnsi="Times New Roman"/>
                <w:sz w:val="20"/>
                <w:szCs w:val="20"/>
                <w:color w:val="auto"/>
                <w:w w:val="79"/>
              </w:rPr>
              <w:t>$</w:t>
            </w:r>
          </w:p>
        </w:tc>
        <w:tc>
          <w:tcPr>
            <w:tcW w:w="3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0"/>
                <w:szCs w:val="20"/>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The following table includes the weighted-average lease terms and discount rates for operating leases as of December 31,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60" w:type="dxa"/>
            <w:vAlign w:val="bottom"/>
          </w:tcPr>
          <w:p>
            <w:pPr>
              <w:spacing w:after="0"/>
              <w:rPr>
                <w:sz w:val="20"/>
                <w:szCs w:val="20"/>
                <w:color w:val="auto"/>
              </w:rPr>
            </w:pPr>
          </w:p>
        </w:tc>
        <w:tc>
          <w:tcPr>
            <w:tcW w:w="2660" w:type="dxa"/>
            <w:vAlign w:val="bottom"/>
            <w:gridSpan w:val="4"/>
          </w:tcPr>
          <w:p>
            <w:pPr>
              <w:ind w:left="42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30"/>
        </w:trPr>
        <w:tc>
          <w:tcPr>
            <w:tcW w:w="80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58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Pr>
          <w:p>
            <w:pPr>
              <w:spacing w:after="0"/>
              <w:rPr>
                <w:sz w:val="19"/>
                <w:szCs w:val="19"/>
                <w:color w:val="auto"/>
              </w:rPr>
            </w:pPr>
          </w:p>
        </w:tc>
      </w:tr>
      <w:tr>
        <w:trPr>
          <w:trHeight w:val="459"/>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weighted average remaining lease term (in years)</w:t>
            </w:r>
          </w:p>
        </w:tc>
        <w:tc>
          <w:tcPr>
            <w:tcW w:w="110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7"/>
              </w:rPr>
              <w:t>1.58</w:t>
            </w: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160" w:type="dxa"/>
            <w:vAlign w:val="bottom"/>
          </w:tcPr>
          <w:p>
            <w:pPr>
              <w:spacing w:after="0"/>
              <w:rPr>
                <w:sz w:val="24"/>
                <w:szCs w:val="24"/>
                <w:color w:val="auto"/>
              </w:rPr>
            </w:pP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 weighted average discount rate</w:t>
            </w:r>
          </w:p>
        </w:tc>
        <w:tc>
          <w:tcPr>
            <w:tcW w:w="168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auto"/>
              </w:rPr>
              <w:t>6.71%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r>
    </w:tbl>
    <w:p>
      <w:pPr>
        <w:spacing w:after="0" w:line="200" w:lineRule="exact"/>
        <w:rPr>
          <w:sz w:val="20"/>
          <w:szCs w:val="20"/>
          <w:color w:val="auto"/>
        </w:rPr>
      </w:pPr>
    </w:p>
    <w:p>
      <w:pPr>
        <w:sectPr>
          <w:pgSz w:w="12240" w:h="15840" w:orient="portrait"/>
          <w:cols w:equalWidth="0" w:num="1">
            <w:col w:w="10800"/>
          </w:cols>
          <w:pgMar w:left="720" w:top="729" w:right="720" w:bottom="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800"/>
          </w:cols>
          <w:pgMar w:left="720" w:top="729" w:right="720" w:bottom="13"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 7 - PROPERTY AND EQUIPMENT, NET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9"/>
          </w:tcPr>
          <w:p>
            <w:pPr>
              <w:jc w:val="right"/>
              <w:ind w:right="108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Historical Cost: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78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0" w:type="dxa"/>
            <w:vAlign w:val="bottom"/>
          </w:tcPr>
          <w:p>
            <w:pPr>
              <w:spacing w:after="0"/>
              <w:rPr>
                <w:sz w:val="1"/>
                <w:szCs w:val="1"/>
                <w:color w:val="auto"/>
              </w:rPr>
            </w:pPr>
          </w:p>
        </w:tc>
      </w:tr>
      <w:tr>
        <w:trPr>
          <w:trHeight w:val="230"/>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Leasehold improvement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r>
        <w:trPr>
          <w:trHeight w:val="231"/>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0" w:type="dxa"/>
            <w:vAlign w:val="bottom"/>
          </w:tcPr>
          <w:p>
            <w:pPr>
              <w:spacing w:after="0"/>
              <w:rPr>
                <w:sz w:val="1"/>
                <w:szCs w:val="1"/>
                <w:color w:val="auto"/>
              </w:rPr>
            </w:pPr>
          </w:p>
        </w:tc>
      </w:tr>
      <w:tr>
        <w:trPr>
          <w:trHeight w:val="229"/>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Accumulated Depreciation:</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29"/>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Leasehold improvement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31"/>
        </w:trPr>
        <w:tc>
          <w:tcPr>
            <w:tcW w:w="6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78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8 - ACCRUED LIABILITIES</w:t>
            </w: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1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Employee-related liabilities</w:t>
            </w:r>
          </w:p>
        </w:tc>
        <w:tc>
          <w:tcPr>
            <w:tcW w:w="6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w:t>
            </w:r>
          </w:p>
        </w:tc>
        <w:tc>
          <w:tcPr>
            <w:tcW w:w="340" w:type="dxa"/>
            <w:vAlign w:val="bottom"/>
          </w:tcPr>
          <w:p>
            <w:pPr>
              <w:spacing w:after="0"/>
              <w:rPr>
                <w:sz w:val="24"/>
                <w:szCs w:val="24"/>
                <w:color w:val="auto"/>
              </w:rPr>
            </w:pPr>
          </w:p>
        </w:tc>
        <w:tc>
          <w:tcPr>
            <w:tcW w:w="4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expenses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current liabilities</w:t>
            </w:r>
          </w:p>
        </w:tc>
        <w:tc>
          <w:tcPr>
            <w:tcW w:w="6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2,225</w:t>
            </w:r>
          </w:p>
        </w:tc>
        <w:tc>
          <w:tcPr>
            <w:tcW w:w="340" w:type="dxa"/>
            <w:vAlign w:val="bottom"/>
          </w:tcPr>
          <w:p>
            <w:pPr>
              <w:spacing w:after="0"/>
              <w:rPr>
                <w:sz w:val="20"/>
                <w:szCs w:val="20"/>
                <w:color w:val="auto"/>
              </w:rPr>
            </w:pPr>
          </w:p>
        </w:tc>
        <w:tc>
          <w:tcPr>
            <w:tcW w:w="4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 COMMITMENTS AND CONTINGENCIES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Government grants: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Microbot Israel has received grants from the IIA for participation in research and development since 2013 through December 31, 2024 totaling approximately $1,878. This includes amounts received of approximately $378, in 2023 and 2024 which is a portion of an additional grant from the IIA in the amount of approximately NIS 1,620,000 (approximately $447) approved by the IIA on June 1,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further finance the development of the manufacturing process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addition, as a result of the agreement with Nitiloop, on October 6, 2022, Microbot Israel took over the liability to repay Nitiloop’s IIA grants in the aggregate amount of approximately $925.</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In relation to the IIA grants described above, the Company is obligated to pay royalties amounting to 3.0%-5% of its future sales of the products relating to such grants.</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grants are linked to the exchange rate of the dollar to the New Israeli Shekel and bears interest of SOFR per year (SOFR is a benchmark interest rate which replaced LIBOR).</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11, 2022, the Company received approval for a grant from the Ministry of Economy, in the amount of NIS 300,000</w:t>
      </w:r>
    </w:p>
    <w:p>
      <w:pPr>
        <w:spacing w:after="0" w:line="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0"/>
          <w:szCs w:val="20"/>
          <w:color w:val="auto"/>
        </w:rPr>
        <w:t>(approximately $83), for participation in expenses related to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in the U.S. market. As of December 31,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TRDF agreement:</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F-15</w:t>
      </w:r>
    </w:p>
    <w:p>
      <w:pPr>
        <w:sectPr>
          <w:pgSz w:w="12240" w:h="15840" w:orient="portrait"/>
          <w:cols w:equalWidth="0" w:num="1">
            <w:col w:w="10800"/>
          </w:cols>
          <w:pgMar w:left="720" w:top="719" w:right="720" w:bottom="11" w:gutter="0" w:footer="0" w:header="0"/>
        </w:sectPr>
      </w:pPr>
    </w:p>
    <w:bookmarkStart w:id="71" w:name="page72"/>
    <w:bookmarkEnd w:id="71"/>
    <w:p>
      <w:pPr>
        <w:jc w:val="both"/>
        <w:spacing w:after="0" w:line="219" w:lineRule="auto"/>
        <w:rPr>
          <w:sz w:val="20"/>
          <w:szCs w:val="20"/>
          <w:color w:val="auto"/>
        </w:rPr>
      </w:pPr>
      <w:r>
        <w:rPr>
          <w:rFonts w:ascii="Times New Roman" w:cs="Times New Roman" w:eastAsia="Times New Roman" w:hAnsi="Times New Roman"/>
          <w:sz w:val="20"/>
          <w:szCs w:val="20"/>
          <w:color w:val="auto"/>
        </w:rPr>
        <w:t>(SCS) project and its TipCat assets in addition to certain technology relating to the Company’s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w:t>
      </w:r>
    </w:p>
    <w:p>
      <w:pPr>
        <w:spacing w:after="0" w:line="5"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0"/>
          <w:szCs w:val="20"/>
          <w:color w:val="auto"/>
        </w:rPr>
        <w:t>of these financial statements, the License Agreement is limited to the certain technology relating to the Company’s LIBERTY</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Agreement with CardioSert Ltd.:</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ATM agreement:</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Notes 10D and 17A below.</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Engagement letters with H.C. Wainwright:</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Acquisition of Nitiloop’s assets: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10800"/>
          </w:cols>
          <w:pgMar w:left="720" w:top="951" w:right="720" w:bottom="11" w:gutter="0" w:footer="0" w:header="0"/>
        </w:sectPr>
      </w:pPr>
    </w:p>
    <w:bookmarkStart w:id="72" w:name="page73"/>
    <w:bookmarkEnd w:id="72"/>
    <w:p>
      <w:pPr>
        <w:jc w:val="both"/>
        <w:spacing w:after="0" w:line="234" w:lineRule="auto"/>
        <w:rPr>
          <w:sz w:val="20"/>
          <w:szCs w:val="20"/>
          <w:color w:val="auto"/>
        </w:rPr>
      </w:pPr>
      <w:r>
        <w:rPr>
          <w:rFonts w:ascii="Times New Roman" w:cs="Times New Roman" w:eastAsia="Times New Roman" w:hAnsi="Times New Roman"/>
          <w:sz w:val="20"/>
          <w:szCs w:val="20"/>
          <w:color w:val="auto"/>
        </w:rPr>
        <w:t>In consideration for the acquisition of the Assets, Microbot Israel shall pay royalties to Nitiloop, which shall not, in the aggregate, exceed $8,000, as follows: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Royalties at a rate of 3% of net revenue generated as a result of sales, license or other exploitation of the Devices; and</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Royalties at a rate of 1.5% of net revenue generated from the sale, license or other exploitation of commercialization of the technology as part of an integrated product.</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Based on the Company’s analysis, the Company concluded that the acquisition of the assets does not meet the definition of a business for the purpose of applying SEC Rules (S-X Rules of 3-05, 8-04 and 11-01).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Litigation resulting from the 2017 financing:</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On January 26, 2024 (the “Effective Date”), the Company entered into a settlement agreement and release with the Plaintiffs (the “Settlement Agreement”), effectively resolving the Lawsuit.</w:t>
      </w:r>
    </w:p>
    <w:p>
      <w:pPr>
        <w:spacing w:after="0" w:line="24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concluded the Settlement Agreement gave rise to loss contingencies in the scope of ASC Subtopic 450-20, Contingencies</w:t>
      </w:r>
    </w:p>
    <w:p>
      <w:pPr>
        <w:spacing w:after="0" w:line="11" w:lineRule="exact"/>
        <w:rPr>
          <w:sz w:val="20"/>
          <w:szCs w:val="20"/>
          <w:color w:val="auto"/>
        </w:rPr>
      </w:pPr>
    </w:p>
    <w:p>
      <w:pPr>
        <w:spacing w:after="0" w:line="235" w:lineRule="auto"/>
        <w:tabs>
          <w:tab w:leader="none" w:pos="13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Contingencies, and as of December 31, 2023, the Company recorded a contingent liability, as the Company deemed it both probable and reasonably estimable.</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determined that the loss contingency should be recognized as non-operating losses, offset by loss recoveries received from the Company’s insurance company.</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As a result of the Settlement Agreement and the insurance recovery received from the insurance company, as of December 31, 2023, the Company recorded a current liability and a current asset on its consolidated balance sheet totaling $2,211 and $1,335, respectively. Within this asset, $1,100 represents the recovery of the cash payment of the settlement amount, and $235 represents recovery of legal expenses. A net non-operating loss of $1,111 from legal settlement was reflected in the Company’s consolidated statement of comprehensive loss for the year ended December 31, 2023. In the first quarter of 2024, the Company received $1,335 from the insurance company. Additionally, during the first quarter of 2024, the Company paid the settlement amount by transferring $1,100 in cash to the Plaintiffs and issuing 1,005,965 shares of the Company’s common stock, thereby settling the liability recorded as of December 31,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Mona litigation:</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31, 2021, the Court entered a judgment against Mona and in favor of the Company in the amount of approximately $485.</w:t>
      </w:r>
    </w:p>
    <w:p>
      <w:pPr>
        <w:spacing w:after="0"/>
        <w:rPr>
          <w:sz w:val="20"/>
          <w:szCs w:val="20"/>
          <w:color w:val="auto"/>
        </w:rPr>
      </w:pPr>
      <w:r>
        <w:rPr>
          <w:rFonts w:ascii="Times New Roman" w:cs="Times New Roman" w:eastAsia="Times New Roman" w:hAnsi="Times New Roman"/>
          <w:sz w:val="20"/>
          <w:szCs w:val="20"/>
          <w:color w:val="auto"/>
        </w:rPr>
        <w:t>Collection of the judgment was deferred pending resolution of Mona’s counterclaim.</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w:t>
      </w:r>
    </w:p>
    <w:p>
      <w:pPr>
        <w:sectPr>
          <w:pgSz w:w="12240" w:h="15840" w:orient="portrait"/>
          <w:cols w:equalWidth="0" w:num="1">
            <w:col w:w="10800"/>
          </w:cols>
          <w:pgMar w:left="720" w:top="729" w:right="720" w:bottom="13"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800"/>
          </w:cols>
          <w:pgMar w:left="720" w:top="729" w:right="720" w:bottom="13" w:gutter="0" w:footer="0" w:header="0"/>
          <w:type w:val="continuous"/>
        </w:sectPr>
      </w:pPr>
    </w:p>
    <w:bookmarkStart w:id="73" w:name="page74"/>
    <w:bookmarkEnd w:id="73"/>
    <w:p>
      <w:pPr>
        <w:spacing w:after="0" w:line="234" w:lineRule="auto"/>
        <w:rPr>
          <w:sz w:val="20"/>
          <w:szCs w:val="20"/>
          <w:color w:val="auto"/>
        </w:rPr>
      </w:pPr>
      <w:r>
        <w:rPr>
          <w:rFonts w:ascii="Times New Roman" w:cs="Times New Roman" w:eastAsia="Times New Roman" w:hAnsi="Times New Roman"/>
          <w:sz w:val="20"/>
          <w:szCs w:val="20"/>
          <w:color w:val="auto"/>
        </w:rPr>
        <w:t>Mona subsequently filed an appellate brief seeking to overturn the lower court and the Company filed opposition papers. The Judgment was released to the Company in March 2025. Refer to Note 17D below.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Contingent bonus commitments based on capital raising:</w:t>
      </w:r>
    </w:p>
    <w:p>
      <w:pPr>
        <w:spacing w:after="0" w:line="23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In February 2024, the Compensation Committee of the Board of Directors of the Company approved certain bonuses for the 2023 fiscal year contingent on capital raising efforts. These bonuses are detailed as follows:</w:t>
      </w:r>
    </w:p>
    <w:p>
      <w:pPr>
        <w:spacing w:after="0" w:line="240" w:lineRule="exact"/>
        <w:rPr>
          <w:sz w:val="20"/>
          <w:szCs w:val="20"/>
          <w:color w:val="auto"/>
        </w:rPr>
      </w:pPr>
    </w:p>
    <w:p>
      <w:pPr>
        <w:jc w:val="both"/>
        <w:ind w:left="520" w:hanging="464"/>
        <w:spacing w:after="0" w:line="237" w:lineRule="auto"/>
        <w:tabs>
          <w:tab w:leader="none" w:pos="5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CEO was granted a contingent cash bonus of up to approximately $298, which is divided into two contingent portions. The first 50% of the CEO’s contingent bonus ($149) is payable upon the Company raising at least $3,000 in new funds by June 30, 2024. As of June 30, 2024, the Company did not raise $3,000 in new funds. However, on July 17, 2024, the Compensation Committee of the Board of Directors of the Company nevertheless approved the payment of the first 50% of the contingent bonus to the Company’s CEO in the amount of approximately $149.</w:t>
      </w:r>
    </w:p>
    <w:p>
      <w:pPr>
        <w:spacing w:after="0" w:line="14" w:lineRule="exact"/>
        <w:rPr>
          <w:rFonts w:ascii="Times New Roman" w:cs="Times New Roman" w:eastAsia="Times New Roman" w:hAnsi="Times New Roman"/>
          <w:sz w:val="20"/>
          <w:szCs w:val="20"/>
          <w:color w:val="auto"/>
        </w:rPr>
      </w:pPr>
    </w:p>
    <w:p>
      <w:pPr>
        <w:jc w:val="both"/>
        <w:ind w:left="520" w:hanging="464"/>
        <w:spacing w:after="0" w:line="237" w:lineRule="auto"/>
        <w:tabs>
          <w:tab w:leader="none" w:pos="5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50% ($149), payable upon the Company raising at least $6,000 in new funds by September 30, 2024 (cumulative, so if $3,000 is not raised by June 30, 2024 but the full $6,000 is raised by September 30, 2024, or if $10,000 is raised by December 31, 2024, the full amount is payable). The Company was unable to raise the additional capital. Therefore, as of December 31, 2024, the Company has not recorded a liability for any contingent bonus.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Other executives are entitled to an aggregate contingent total bonus of NIS 230,736 (approximately $61), which is payable upon the Company raising at least $3,000 in new funds by September 30, 2024. During the third quarter of 2024, the Company achieved a cumulative capital raise of $3,000. Therefore, on July 17, 2024, the Compensation Committee of the Board of Directors of the Company approved the payment of such bonuses to the Company’s CFO and CTO in the aggregate amount of approximately $61.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 Accrued bonuses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As of December 31, 2024, the Company recorded accrued bonuses to the CEO, executives and certain employees in the amount of $398 and $294, respectively, related to fiscal year 2024 (refer also to Note 17C).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 SHARE CAPITAL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Preferred investment options inducement</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estimated the fair value of the Inducement Investment Options using a Black-Scholes options pricing model and concluded it is approximately $1,853. At the closing on January 3, 2024,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The Company estimated the fair value of the preferred investment options using a Black-Scholes options pricing model and concluded it is approximately $89.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Registered direct and private placement offerings: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ectPr>
          <w:pgSz w:w="12240" w:h="15840" w:orient="portrait"/>
          <w:cols w:equalWidth="0" w:num="1">
            <w:col w:w="10800"/>
          </w:cols>
          <w:pgMar w:left="720" w:top="729" w:right="720" w:bottom="13"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800"/>
          </w:cols>
          <w:pgMar w:left="720" w:top="729" w:right="720" w:bottom="13" w:gutter="0" w:footer="0" w:header="0"/>
          <w:type w:val="continuous"/>
        </w:sectPr>
      </w:pPr>
    </w:p>
    <w:bookmarkStart w:id="74" w:name="page75"/>
    <w:bookmarkEnd w:id="74"/>
    <w:p>
      <w:pPr>
        <w:jc w:val="both"/>
        <w:spacing w:after="0" w:line="238" w:lineRule="auto"/>
        <w:rPr>
          <w:sz w:val="20"/>
          <w:szCs w:val="20"/>
          <w:color w:val="auto"/>
        </w:rPr>
      </w:pPr>
      <w:r>
        <w:rPr>
          <w:rFonts w:ascii="Times New Roman" w:cs="Times New Roman" w:eastAsia="Times New Roman" w:hAnsi="Times New Roman"/>
          <w:sz w:val="20"/>
          <w:szCs w:val="20"/>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 (ii) 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Registered direct and private placement offerings:</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2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 The Company estimated the fair value of the preferred investment options using a Black-Scholes options pricing model and concluded it is approximately $1,893.</w:t>
      </w:r>
    </w:p>
    <w:p>
      <w:pPr>
        <w:spacing w:after="0" w:line="23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Company also issued to Wainwright or its designees preferred investment options to purchase up to 78,333 shares of common stock which have the same terms as investors’ preferred investment options except for an exercise price equal to $1.875 per share. The Company estimated the fair value of the preferred investment options using a Black-Scholes options pricing model and concluded it is approximately $43.</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Equity Classification: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of the Company are recognized as equity under the requirements of ASC Topic 505 Equity.</w:t>
      </w:r>
    </w:p>
    <w:p>
      <w:pPr>
        <w:spacing w:after="0" w:line="24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analyzed the accounting treatment for the series A, C, D, E and F preferred investment option, and all of the pre-funded warrants issued to investors. Based on the Company’s analysis all such warrants were classified as equity.</w:t>
      </w:r>
    </w:p>
    <w:p>
      <w:pPr>
        <w:sectPr>
          <w:pgSz w:w="12240" w:h="15840" w:orient="portrait"/>
          <w:cols w:equalWidth="0" w:num="1">
            <w:col w:w="10800"/>
          </w:cols>
          <w:pgMar w:left="720" w:top="729" w:right="720" w:bottom="13"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800"/>
          </w:cols>
          <w:pgMar w:left="720" w:top="729" w:right="720" w:bottom="13" w:gutter="0" w:footer="0" w:header="0"/>
          <w:type w:val="continuous"/>
        </w:sectPr>
      </w:pPr>
    </w:p>
    <w:bookmarkStart w:id="75" w:name="page76"/>
    <w:bookmarkEnd w:id="75"/>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At-the-market offerings: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July 1, 2024, the Company filed with the SEC a prospectus supplement relating to the offer, issuance and sale of up to $4,820 of the Company’s shares of common stock pursuant to the ATM Agreement. During the year 2024, the Company issued 3,433,880 shares of the Company’s common stock pursuant to the ATM Agreement, for total gross proceeds of approximately $3,756 before deducting sales agent commissions and other offering expenses of $239.</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Preferred investment options amendment:</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grant date fair values of preferred investment options issued to Wainwright and preferred investment options issued to investors including those that were modified in the years ended December 31, 2024 and 2023 were estimated using the Black-Scholes valuation model with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4100" w:type="dxa"/>
            <w:vAlign w:val="bottom"/>
            <w:gridSpan w:val="3"/>
          </w:tcPr>
          <w:p>
            <w:pPr>
              <w:jc w:val="center"/>
              <w:ind w:left="1700"/>
              <w:spacing w:after="0"/>
              <w:rPr>
                <w:sz w:val="20"/>
                <w:szCs w:val="20"/>
                <w:color w:val="auto"/>
              </w:rPr>
            </w:pPr>
            <w:r>
              <w:rPr>
                <w:rFonts w:ascii="Times New Roman" w:cs="Times New Roman" w:eastAsia="Times New Roman" w:hAnsi="Times New Roman"/>
                <w:sz w:val="20"/>
                <w:szCs w:val="20"/>
                <w:b w:val="1"/>
                <w:bCs w:val="1"/>
                <w:color w:val="auto"/>
                <w:w w:val="99"/>
              </w:rPr>
              <w:t>For the Years Ended</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1"/>
        </w:trPr>
        <w:tc>
          <w:tcPr>
            <w:tcW w:w="4520" w:type="dxa"/>
            <w:vAlign w:val="bottom"/>
          </w:tcPr>
          <w:p>
            <w:pPr>
              <w:spacing w:after="0"/>
              <w:rPr>
                <w:sz w:val="20"/>
                <w:szCs w:val="20"/>
                <w:color w:val="auto"/>
              </w:rPr>
            </w:pPr>
          </w:p>
        </w:tc>
        <w:tc>
          <w:tcPr>
            <w:tcW w:w="4100" w:type="dxa"/>
            <w:vAlign w:val="bottom"/>
            <w:tcBorders>
              <w:bottom w:val="single" w:sz="8" w:color="auto"/>
            </w:tcBorders>
            <w:gridSpan w:val="3"/>
          </w:tcPr>
          <w:p>
            <w:pPr>
              <w:jc w:val="center"/>
              <w:ind w:left="17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0"/>
        </w:trPr>
        <w:tc>
          <w:tcPr>
            <w:tcW w:w="4520" w:type="dxa"/>
            <w:vAlign w:val="bottom"/>
          </w:tcPr>
          <w:p>
            <w:pPr>
              <w:spacing w:after="0"/>
              <w:rPr>
                <w:sz w:val="19"/>
                <w:szCs w:val="19"/>
                <w:color w:val="auto"/>
              </w:rPr>
            </w:pPr>
          </w:p>
        </w:tc>
        <w:tc>
          <w:tcPr>
            <w:tcW w:w="264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Pr>
          <w:p>
            <w:pPr>
              <w:spacing w:after="0"/>
              <w:rPr>
                <w:sz w:val="19"/>
                <w:szCs w:val="19"/>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32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103.6%-111.4%</w:t>
            </w:r>
          </w:p>
        </w:tc>
        <w:tc>
          <w:tcPr>
            <w:tcW w:w="84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101.3%-122.4%</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w:t>
            </w:r>
          </w:p>
        </w:tc>
        <w:tc>
          <w:tcPr>
            <w:tcW w:w="3260" w:type="dxa"/>
            <w:vAlign w:val="bottom"/>
            <w:gridSpan w:val="2"/>
          </w:tcPr>
          <w:p>
            <w:pPr>
              <w:jc w:val="right"/>
              <w:ind w:right="460"/>
              <w:spacing w:after="0"/>
              <w:rPr>
                <w:sz w:val="20"/>
                <w:szCs w:val="20"/>
                <w:color w:val="auto"/>
              </w:rPr>
            </w:pPr>
            <w:r>
              <w:rPr>
                <w:rFonts w:ascii="Times New Roman" w:cs="Times New Roman" w:eastAsia="Times New Roman" w:hAnsi="Times New Roman"/>
                <w:sz w:val="20"/>
                <w:szCs w:val="20"/>
                <w:color w:val="auto"/>
              </w:rPr>
              <w:t>3.9%- 4.8%</w:t>
            </w:r>
          </w:p>
        </w:tc>
        <w:tc>
          <w:tcPr>
            <w:tcW w:w="84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3.9%- 4.9%</w:t>
            </w:r>
          </w:p>
        </w:tc>
      </w:tr>
      <w:tr>
        <w:trPr>
          <w:trHeight w:val="230"/>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terms (years)</w:t>
            </w:r>
          </w:p>
        </w:tc>
        <w:tc>
          <w:tcPr>
            <w:tcW w:w="2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2.0-5.5</w:t>
            </w: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1.4-5.0</w:t>
            </w:r>
          </w:p>
        </w:tc>
        <w:tc>
          <w:tcPr>
            <w:tcW w:w="16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Employee stock option grants: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2024:</w:t>
      </w:r>
    </w:p>
    <w:p>
      <w:pPr>
        <w:spacing w:after="0" w:line="241" w:lineRule="exact"/>
        <w:rPr>
          <w:sz w:val="20"/>
          <w:szCs w:val="20"/>
          <w:color w:val="auto"/>
        </w:rPr>
      </w:pPr>
    </w:p>
    <w:p>
      <w:pPr>
        <w:ind w:left="420" w:hanging="364"/>
        <w:spacing w:after="0" w:line="234" w:lineRule="auto"/>
        <w:tabs>
          <w:tab w:leader="none" w:pos="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granted the CEO, its executives and management, fully vested options to purchase an aggregate of 80,000 and 50,000 shares of the Company’s common stock, respectively, at an exercise price per share of $1.2684.</w:t>
      </w:r>
    </w:p>
    <w:p>
      <w:pPr>
        <w:spacing w:after="0" w:line="1" w:lineRule="exact"/>
        <w:rPr>
          <w:rFonts w:ascii="Times New Roman" w:cs="Times New Roman" w:eastAsia="Times New Roman" w:hAnsi="Times New Roman"/>
          <w:sz w:val="20"/>
          <w:szCs w:val="20"/>
          <w:color w:val="auto"/>
        </w:rPr>
      </w:pPr>
    </w:p>
    <w:p>
      <w:pPr>
        <w:ind w:left="420" w:hanging="364"/>
        <w:spacing w:after="0"/>
        <w:tabs>
          <w:tab w:leader="none" w:pos="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granted the CEO and certain executives, options to purchase an aggregate of 80,000 and 52,500 shares of the</w:t>
      </w:r>
    </w:p>
    <w:p>
      <w:pPr>
        <w:spacing w:after="0" w:line="9" w:lineRule="exact"/>
        <w:rPr>
          <w:rFonts w:ascii="Times New Roman" w:cs="Times New Roman" w:eastAsia="Times New Roman" w:hAnsi="Times New Roman"/>
          <w:sz w:val="20"/>
          <w:szCs w:val="20"/>
          <w:color w:val="auto"/>
        </w:rPr>
      </w:pPr>
    </w:p>
    <w:p>
      <w:pPr>
        <w:jc w:val="both"/>
        <w:ind w:left="42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Company’s common stock, respectively, at an exercise price per share of $1.25. The vesting of these options is subject to the achievement of specified performance conditions. For the year ended December 31, 2024, the Company recorded an expense of $38, reflecting management’s assessment that the specified performance milestones for 35,625 of the 132,500 options were achieved by their due date. Refer to Note 17C.</w:t>
      </w:r>
    </w:p>
    <w:p>
      <w:pPr>
        <w:spacing w:after="0" w:line="12" w:lineRule="exact"/>
        <w:rPr>
          <w:rFonts w:ascii="Times New Roman" w:cs="Times New Roman" w:eastAsia="Times New Roman" w:hAnsi="Times New Roman"/>
          <w:sz w:val="20"/>
          <w:szCs w:val="20"/>
          <w:color w:val="auto"/>
        </w:rPr>
      </w:pPr>
    </w:p>
    <w:p>
      <w:pPr>
        <w:jc w:val="both"/>
        <w:ind w:left="420" w:hanging="364"/>
        <w:spacing w:after="0" w:line="236" w:lineRule="auto"/>
        <w:tabs>
          <w:tab w:leader="none" w:pos="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granted the CEO, its executives, and certain employees, options to purchase an aggregate of 80,000 and 115,000 shares of the Company’s common stock, respectively, at an exercise price per share of $1.2684, with a vesting period of three years.</w:t>
      </w:r>
    </w:p>
    <w:p>
      <w:pPr>
        <w:spacing w:after="0" w:line="11" w:lineRule="exact"/>
        <w:rPr>
          <w:rFonts w:ascii="Times New Roman" w:cs="Times New Roman" w:eastAsia="Times New Roman" w:hAnsi="Times New Roman"/>
          <w:sz w:val="20"/>
          <w:szCs w:val="20"/>
          <w:color w:val="auto"/>
        </w:rPr>
      </w:pPr>
    </w:p>
    <w:p>
      <w:pPr>
        <w:ind w:left="420" w:hanging="364"/>
        <w:spacing w:after="0" w:line="235" w:lineRule="auto"/>
        <w:tabs>
          <w:tab w:leader="none" w:pos="4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granted an advisor options to purchase an aggregate of 25,000 shares of the Company’s common stock, at an exercise price per share of $0.881, with a vesting period of three years.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F-20</w:t>
      </w:r>
    </w:p>
    <w:p>
      <w:pPr>
        <w:sectPr>
          <w:pgSz w:w="12240" w:h="15840" w:orient="portrait"/>
          <w:cols w:equalWidth="0" w:num="1">
            <w:col w:w="10800"/>
          </w:cols>
          <w:pgMar w:left="720" w:top="729" w:right="720" w:bottom="11" w:gutter="0" w:footer="0" w:header="0"/>
        </w:sectPr>
      </w:pPr>
    </w:p>
    <w:bookmarkStart w:id="76" w:name="page77"/>
    <w:bookmarkEnd w:id="76"/>
    <w:p>
      <w:pPr>
        <w:jc w:val="both"/>
        <w:spacing w:after="0" w:line="236" w:lineRule="auto"/>
        <w:rPr>
          <w:sz w:val="20"/>
          <w:szCs w:val="20"/>
          <w:color w:val="auto"/>
        </w:rPr>
      </w:pPr>
      <w:r>
        <w:rPr>
          <w:rFonts w:ascii="Times New Roman" w:cs="Times New Roman" w:eastAsia="Times New Roman" w:hAnsi="Times New Roman"/>
          <w:sz w:val="20"/>
          <w:szCs w:val="20"/>
          <w:color w:val="auto"/>
        </w:rPr>
        <w:t>With respect to the CEO’s 2023 annual bonus, during February 2024, the Company paid 25% of the CEO’s total 2023 bonus - amounting to approximately $99, through the grant of fully vested options to purchase an aggregate of 79,567 shares of the Company’s common stock with an exercise price per share of $1.25.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option activity related to options to employees and directors, and related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Employee stock option grants:</w:t>
            </w: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461"/>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w:t>
            </w:r>
          </w:p>
        </w:tc>
      </w:tr>
      <w:tr>
        <w:trPr>
          <w:trHeight w:val="230"/>
        </w:trPr>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r>
      <w:tr>
        <w:trPr>
          <w:trHeight w:val="230"/>
        </w:trPr>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8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Number of stock options</w:t>
            </w:r>
          </w:p>
        </w:tc>
        <w:tc>
          <w:tcPr>
            <w:tcW w:w="280" w:type="dxa"/>
            <w:vAlign w:val="bottom"/>
          </w:tcPr>
          <w:p>
            <w:pPr>
              <w:spacing w:after="0"/>
              <w:rPr>
                <w:sz w:val="19"/>
                <w:szCs w:val="19"/>
                <w:color w:val="auto"/>
              </w:rPr>
            </w:pPr>
          </w:p>
        </w:tc>
        <w:tc>
          <w:tcPr>
            <w:tcW w:w="338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Weighted average exercise price</w:t>
            </w:r>
          </w:p>
        </w:tc>
      </w:tr>
      <w:tr>
        <w:trPr>
          <w:trHeight w:val="459"/>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2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2,095,362</w:t>
            </w:r>
          </w:p>
        </w:tc>
        <w:tc>
          <w:tcPr>
            <w:tcW w:w="200" w:type="dxa"/>
            <w:vAlign w:val="bottom"/>
          </w:tcPr>
          <w:p>
            <w:pPr>
              <w:spacing w:after="0"/>
              <w:rPr>
                <w:sz w:val="24"/>
                <w:szCs w:val="24"/>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5.51</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562,067</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3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Forfeitures</w:t>
            </w:r>
          </w:p>
        </w:tc>
        <w:tc>
          <w:tcPr>
            <w:tcW w:w="2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(160,063)</w:t>
            </w:r>
          </w:p>
        </w:tc>
        <w:tc>
          <w:tcPr>
            <w:tcW w:w="28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2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2,497,366</w:t>
            </w:r>
          </w:p>
        </w:tc>
        <w:tc>
          <w:tcPr>
            <w:tcW w:w="20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w:t>
            </w: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5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 as of December 31, 2024</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1,866,523</w:t>
            </w:r>
          </w:p>
        </w:tc>
        <w:tc>
          <w:tcPr>
            <w:tcW w:w="20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w:t>
            </w:r>
          </w:p>
        </w:tc>
      </w:tr>
      <w:tr>
        <w:trPr>
          <w:trHeight w:val="20"/>
        </w:trPr>
        <w:tc>
          <w:tcPr>
            <w:tcW w:w="4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51"/>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w:t>
            </w:r>
          </w:p>
        </w:tc>
      </w:tr>
      <w:tr>
        <w:trPr>
          <w:trHeight w:val="230"/>
        </w:trPr>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December 31, 2023</w:t>
            </w:r>
          </w:p>
        </w:tc>
      </w:tr>
      <w:tr>
        <w:trPr>
          <w:trHeight w:val="231"/>
        </w:trPr>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80" w:type="dxa"/>
            <w:vAlign w:val="bottom"/>
            <w:gridSpan w:val="2"/>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Number of stock options</w:t>
            </w:r>
          </w:p>
        </w:tc>
        <w:tc>
          <w:tcPr>
            <w:tcW w:w="280" w:type="dxa"/>
            <w:vAlign w:val="bottom"/>
          </w:tcPr>
          <w:p>
            <w:pPr>
              <w:spacing w:after="0"/>
              <w:rPr>
                <w:sz w:val="20"/>
                <w:szCs w:val="20"/>
                <w:color w:val="auto"/>
              </w:rPr>
            </w:pPr>
          </w:p>
        </w:tc>
        <w:tc>
          <w:tcPr>
            <w:tcW w:w="3380" w:type="dxa"/>
            <w:vAlign w:val="bottom"/>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Weighted average exercise price</w:t>
            </w:r>
          </w:p>
        </w:tc>
      </w:tr>
      <w:tr>
        <w:trPr>
          <w:trHeight w:val="459"/>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2022</w:t>
            </w:r>
          </w:p>
        </w:tc>
        <w:tc>
          <w:tcPr>
            <w:tcW w:w="2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1,507,137</w:t>
            </w:r>
          </w:p>
        </w:tc>
        <w:tc>
          <w:tcPr>
            <w:tcW w:w="200" w:type="dxa"/>
            <w:vAlign w:val="bottom"/>
          </w:tcPr>
          <w:p>
            <w:pPr>
              <w:spacing w:after="0"/>
              <w:rPr>
                <w:sz w:val="24"/>
                <w:szCs w:val="24"/>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w:t>
            </w:r>
          </w:p>
        </w:tc>
      </w:tr>
      <w:tr>
        <w:trPr>
          <w:trHeight w:val="229"/>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711,308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31"/>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Forfeitures</w:t>
            </w:r>
          </w:p>
        </w:tc>
        <w:tc>
          <w:tcPr>
            <w:tcW w:w="29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(123,083)</w:t>
            </w:r>
          </w:p>
        </w:tc>
        <w:tc>
          <w:tcPr>
            <w:tcW w:w="28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w:t>
            </w:r>
          </w:p>
        </w:tc>
      </w:tr>
      <w:tr>
        <w:trPr>
          <w:trHeight w:val="230"/>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2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2,095,362</w:t>
            </w:r>
          </w:p>
        </w:tc>
        <w:tc>
          <w:tcPr>
            <w:tcW w:w="20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w:t>
            </w:r>
          </w:p>
        </w:tc>
      </w:tr>
      <w:tr>
        <w:trPr>
          <w:trHeight w:val="20"/>
        </w:trPr>
        <w:tc>
          <w:tcPr>
            <w:tcW w:w="4100" w:type="dxa"/>
            <w:vAlign w:val="bottom"/>
            <w:gridSpan w:val="2"/>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52"/>
        </w:trPr>
        <w:tc>
          <w:tcPr>
            <w:tcW w:w="4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Vested as of December 31, 2023</w:t>
            </w:r>
          </w:p>
        </w:tc>
        <w:tc>
          <w:tcPr>
            <w:tcW w:w="2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1,176,118</w:t>
            </w:r>
          </w:p>
        </w:tc>
        <w:tc>
          <w:tcPr>
            <w:tcW w:w="20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3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r>
      <w:tr>
        <w:trPr>
          <w:trHeight w:val="20"/>
        </w:trPr>
        <w:tc>
          <w:tcPr>
            <w:tcW w:w="4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recognizes forfeitures of outstanding options as they occur.</w:t>
      </w:r>
    </w:p>
    <w:p>
      <w:pPr>
        <w:spacing w:after="0" w:line="2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2024 and 2023, respectively.</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As of December 31, 2024, and 2023, the aggregate intrinsic value of the outstanding options is $75 and $277, respectively, and the aggregate intrinsic value of the exercisable options is $69 and $102, respectively.</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 weighted average grant date fair value of options granted during the years ended December 31, 2024 and 2023 was $0.99 and $1.40,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option grants: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As of December 31, 2024, there were approximately $921 of total unrecognized compensation costs related to unvested share-based compensation awards granted under the Share Incentive Plan. The costs are expected to be recognized over a weighted average period of 1.48 years.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 options outstanding as of December 31, 2024 and 2023, summarized by exercise prices,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F-21</w:t>
      </w:r>
    </w:p>
    <w:p>
      <w:pPr>
        <w:sectPr>
          <w:pgSz w:w="12240" w:h="15840" w:orient="portrait"/>
          <w:cols w:equalWidth="0" w:num="1">
            <w:col w:w="10800"/>
          </w:cols>
          <w:pgMar w:left="720" w:top="958" w:right="720" w:bottom="11"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Stock options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 options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 options</w:t>
            </w:r>
          </w:p>
        </w:tc>
      </w:tr>
      <w:tr>
        <w:trPr>
          <w:trHeight w:val="229"/>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 as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 as</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Weighted average</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Weighted average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exercisable as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exercisable as</w:t>
            </w:r>
          </w:p>
        </w:tc>
      </w:tr>
      <w:tr>
        <w:trPr>
          <w:trHeight w:val="230"/>
        </w:trPr>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remaining contractual</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remaining contractual</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 - years as of</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life - years as of</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30"/>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price $</w:t>
            </w:r>
          </w:p>
        </w:tc>
        <w:tc>
          <w:tcPr>
            <w:tcW w:w="40" w:type="dxa"/>
            <w:vAlign w:val="bottom"/>
            <w:gridSpan w:val="2"/>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gridSpan w:val="2"/>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0" w:type="dxa"/>
            <w:vAlign w:val="bottom"/>
            <w:gridSpan w:val="2"/>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00" w:type="dxa"/>
            <w:vAlign w:val="bottom"/>
            <w:gridSpan w:val="2"/>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0.00-0.99</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86,577</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61,577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61,577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61,577</w:t>
            </w:r>
          </w:p>
        </w:tc>
      </w:tr>
      <w:tr>
        <w:trPr>
          <w:trHeight w:val="229"/>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1.00-3.73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1,299,562</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860,808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731,559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95,925</w:t>
            </w: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4.2-7.26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577,482</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639,232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539,642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484,871</w:t>
            </w: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8.16-9.64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380,872</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380,872</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380,872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380,872</w:t>
            </w:r>
          </w:p>
        </w:tc>
      </w:tr>
      <w:tr>
        <w:trPr>
          <w:trHeight w:val="230"/>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15.3-15.75</w:t>
            </w:r>
          </w:p>
        </w:tc>
        <w:tc>
          <w:tcPr>
            <w:tcW w:w="40" w:type="dxa"/>
            <w:vAlign w:val="bottom"/>
            <w:gridSpan w:val="2"/>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152,873</w:t>
            </w:r>
          </w:p>
        </w:tc>
        <w:tc>
          <w:tcPr>
            <w:tcW w:w="100" w:type="dxa"/>
            <w:vAlign w:val="bottom"/>
            <w:gridSpan w:val="2"/>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152,873</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100" w:type="dxa"/>
            <w:vAlign w:val="bottom"/>
            <w:gridSpan w:val="2"/>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152,873</w:t>
            </w:r>
          </w:p>
        </w:tc>
        <w:tc>
          <w:tcPr>
            <w:tcW w:w="100" w:type="dxa"/>
            <w:vAlign w:val="bottom"/>
            <w:gridSpan w:val="2"/>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152,873</w:t>
            </w:r>
          </w:p>
        </w:tc>
      </w:tr>
      <w:tr>
        <w:trPr>
          <w:trHeight w:val="230"/>
        </w:trPr>
        <w:tc>
          <w:tcPr>
            <w:tcW w:w="8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2,497,366</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2,095,362</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1,866,523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1,176,118</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stock option grants: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 date fair values of employee stock options granted in the years ended December 31, 2024 and 2023 were estimated using the</w:t>
      </w:r>
    </w:p>
    <w:p>
      <w:pPr>
        <w:spacing w:after="0"/>
        <w:rPr>
          <w:sz w:val="20"/>
          <w:szCs w:val="20"/>
          <w:color w:val="auto"/>
        </w:rPr>
      </w:pPr>
      <w:r>
        <w:rPr>
          <w:rFonts w:ascii="Times New Roman" w:cs="Times New Roman" w:eastAsia="Times New Roman" w:hAnsi="Times New Roman"/>
          <w:sz w:val="20"/>
          <w:szCs w:val="20"/>
          <w:color w:val="auto"/>
        </w:rPr>
        <w:t>Black-Scholes valuation model with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60" w:type="dxa"/>
            <w:vAlign w:val="bottom"/>
            <w:gridSpan w:val="7"/>
          </w:tcPr>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1"/>
        </w:trPr>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jc w:val="right"/>
              <w:ind w:right="1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90.4%-100.7%</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86.5%-98.2%</w:t>
            </w:r>
          </w:p>
        </w:tc>
        <w:tc>
          <w:tcPr>
            <w:tcW w:w="140" w:type="dxa"/>
            <w:vAlign w:val="bottom"/>
          </w:tcPr>
          <w:p>
            <w:pPr>
              <w:spacing w:after="0"/>
              <w:rPr>
                <w:sz w:val="19"/>
                <w:szCs w:val="19"/>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w:t>
            </w: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3.5%- 4.3%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3.3%- 4.7%</w:t>
            </w:r>
          </w:p>
        </w:tc>
        <w:tc>
          <w:tcPr>
            <w:tcW w:w="1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terms (years)</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40" w:type="dxa"/>
            <w:vAlign w:val="bottom"/>
          </w:tcPr>
          <w:p>
            <w:pPr>
              <w:spacing w:after="0"/>
              <w:rPr>
                <w:sz w:val="20"/>
                <w:szCs w:val="20"/>
                <w:color w:val="auto"/>
              </w:rPr>
            </w:pPr>
          </w:p>
        </w:tc>
      </w:tr>
      <w:tr>
        <w:trPr>
          <w:trHeight w:val="460"/>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Warrants:</w:t>
            </w:r>
          </w:p>
        </w:tc>
        <w:tc>
          <w:tcPr>
            <w:tcW w:w="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60"/>
        </w:trPr>
        <w:tc>
          <w:tcPr>
            <w:tcW w:w="828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The remaining outstanding warrants and terms as of December 31, 2024 and 2023 are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Outstanding and exercisable as</w:t>
            </w:r>
          </w:p>
        </w:tc>
        <w:tc>
          <w:tcPr>
            <w:tcW w:w="100" w:type="dxa"/>
            <w:vAlign w:val="bottom"/>
          </w:tcPr>
          <w:p>
            <w:pPr>
              <w:spacing w:after="0"/>
              <w:rPr>
                <w:sz w:val="20"/>
                <w:szCs w:val="20"/>
                <w:color w:val="auto"/>
              </w:rPr>
            </w:pPr>
          </w:p>
        </w:tc>
        <w:tc>
          <w:tcPr>
            <w:tcW w:w="30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Outstanding and exercisable as of</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w w:val="99"/>
              </w:rPr>
              <w:t>Exercise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Exercisable</w:t>
            </w:r>
          </w:p>
        </w:tc>
      </w:tr>
      <w:tr>
        <w:trPr>
          <w:trHeight w:val="231"/>
        </w:trPr>
        <w:tc>
          <w:tcPr>
            <w:tcW w:w="22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Issuance date</w:t>
            </w:r>
          </w:p>
        </w:tc>
        <w:tc>
          <w:tcPr>
            <w:tcW w:w="60" w:type="dxa"/>
            <w:vAlign w:val="bottom"/>
          </w:tcPr>
          <w:p>
            <w:pPr>
              <w:spacing w:after="0"/>
              <w:rPr>
                <w:sz w:val="20"/>
                <w:szCs w:val="20"/>
                <w:color w:val="auto"/>
              </w:rPr>
            </w:pPr>
          </w:p>
        </w:tc>
        <w:tc>
          <w:tcPr>
            <w:tcW w:w="28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of December 31, 2024</w:t>
            </w:r>
          </w:p>
        </w:tc>
        <w:tc>
          <w:tcPr>
            <w:tcW w:w="10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December 31, 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Through</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Series A October 2022</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1,022,495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100" w:type="dxa"/>
            <w:vAlign w:val="bottom"/>
          </w:tcPr>
          <w:p>
            <w:pPr>
              <w:spacing w:after="0"/>
              <w:rPr>
                <w:sz w:val="19"/>
                <w:szCs w:val="19"/>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October 21,</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October 2022</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51,125</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51,125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100" w:type="dxa"/>
            <w:vAlign w:val="bottom"/>
          </w:tcPr>
          <w:p>
            <w:pPr>
              <w:spacing w:after="0"/>
              <w:rPr>
                <w:sz w:val="19"/>
                <w:szCs w:val="19"/>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2027</w:t>
            </w:r>
          </w:p>
        </w:tc>
        <w:tc>
          <w:tcPr>
            <w:tcW w:w="1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November 23,</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May 2023</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32,778</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32,778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00" w:type="dxa"/>
            <w:vAlign w:val="bottom"/>
          </w:tcPr>
          <w:p>
            <w:pPr>
              <w:spacing w:after="0"/>
              <w:rPr>
                <w:sz w:val="20"/>
                <w:szCs w:val="20"/>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2026</w:t>
            </w:r>
          </w:p>
        </w:tc>
        <w:tc>
          <w:tcPr>
            <w:tcW w:w="140" w:type="dxa"/>
            <w:vAlign w:val="bottom"/>
          </w:tcPr>
          <w:p>
            <w:pPr>
              <w:spacing w:after="0"/>
              <w:rPr>
                <w:sz w:val="20"/>
                <w:szCs w:val="20"/>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November 24,</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May 2023</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60,476</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60,476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00" w:type="dxa"/>
            <w:vAlign w:val="bottom"/>
          </w:tcPr>
          <w:p>
            <w:pPr>
              <w:spacing w:after="0"/>
              <w:rPr>
                <w:sz w:val="20"/>
                <w:szCs w:val="20"/>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9"/>
              </w:rPr>
              <w:t>2026</w:t>
            </w:r>
          </w:p>
        </w:tc>
        <w:tc>
          <w:tcPr>
            <w:tcW w:w="140" w:type="dxa"/>
            <w:vAlign w:val="bottom"/>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June 2023</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35,088</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35,088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1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June 2, 2028</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C June</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350,878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100" w:type="dxa"/>
            <w:vAlign w:val="bottom"/>
          </w:tcPr>
          <w:p>
            <w:pPr>
              <w:spacing w:after="0"/>
              <w:rPr>
                <w:sz w:val="20"/>
                <w:szCs w:val="20"/>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June 2023</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31,231</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31,231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June 28, 2028</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D June</w:t>
            </w:r>
          </w:p>
        </w:tc>
        <w:tc>
          <w:tcPr>
            <w:tcW w:w="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312,309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100" w:type="dxa"/>
            <w:vAlign w:val="bottom"/>
          </w:tcPr>
          <w:p>
            <w:pPr>
              <w:spacing w:after="0"/>
              <w:rPr>
                <w:sz w:val="20"/>
                <w:szCs w:val="20"/>
                <w:color w:val="auto"/>
              </w:rPr>
            </w:pPr>
          </w:p>
        </w:tc>
        <w:tc>
          <w:tcPr>
            <w:tcW w:w="120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E January</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1,685,682</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July 3, 2029</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January 2024</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84,284</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July 3, 2029</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w w:val="99"/>
              </w:rPr>
              <w:t>Warrant series F June 2024</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3,133,338</w:t>
            </w: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June 3, 2026</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June 2024</w:t>
            </w:r>
          </w:p>
        </w:tc>
        <w:tc>
          <w:tcPr>
            <w:tcW w:w="2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78,333</w:t>
            </w:r>
          </w:p>
        </w:tc>
        <w:tc>
          <w:tcPr>
            <w:tcW w:w="338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June 3, 2026</w:t>
            </w:r>
          </w:p>
        </w:tc>
      </w:tr>
    </w:tbl>
    <w:p>
      <w:pPr>
        <w:spacing w:after="0" w:line="230" w:lineRule="exact"/>
        <w:rPr>
          <w:sz w:val="20"/>
          <w:szCs w:val="20"/>
          <w:color w:val="auto"/>
        </w:rPr>
      </w:pPr>
    </w:p>
    <w:p>
      <w:pPr>
        <w:ind w:left="440"/>
        <w:spacing w:after="0"/>
        <w:tabs>
          <w:tab w:leader="none" w:pos="8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Exercised during 2024. Refer to Note 10A.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BASIC AND DILUTED NET LOSS PER SHARE</w:t>
      </w:r>
    </w:p>
    <w:p>
      <w:pPr>
        <w:spacing w:after="0" w:line="24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0"/>
          <w:szCs w:val="20"/>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2024 and 2023.</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F-22</w:t>
      </w:r>
    </w:p>
    <w:p>
      <w:pPr>
        <w:sectPr>
          <w:pgSz w:w="12240" w:h="15840" w:orient="portrait"/>
          <w:cols w:equalWidth="0" w:num="1">
            <w:col w:w="10820"/>
          </w:cols>
          <w:pgMar w:left="720" w:top="719" w:right="700" w:bottom="11" w:gutter="0" w:footer="0" w:header="0"/>
        </w:sectPr>
      </w:pPr>
    </w:p>
    <w:bookmarkStart w:id="78" w:name="page79"/>
    <w:bookmarkEnd w:id="78"/>
    <w:p>
      <w:pPr>
        <w:jc w:val="both"/>
        <w:spacing w:after="0" w:line="234" w:lineRule="auto"/>
        <w:rPr>
          <w:sz w:val="20"/>
          <w:szCs w:val="20"/>
          <w:color w:val="auto"/>
        </w:rPr>
      </w:pPr>
      <w:r>
        <w:rPr>
          <w:rFonts w:ascii="Times New Roman" w:cs="Times New Roman" w:eastAsia="Times New Roman" w:hAnsi="Times New Roman"/>
          <w:sz w:val="20"/>
          <w:szCs w:val="20"/>
          <w:color w:val="auto"/>
        </w:rPr>
        <w:t>In the calculation of the basic and diluted net loss, the Company included warrants that would be exercised for no or little consideration and are exercisable with no contingencies.</w:t>
      </w:r>
    </w:p>
    <w:p>
      <w:pPr>
        <w:spacing w:after="0" w:line="24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Due to the net loss to common shareholders in each of the periods presented above, diluted loss per share was computed without consideration to potentially dilutive instruments as their inclusion would have been anti-dilutive. As of December 31, 2024 and 2023, potentially dilutive securities excluded from the diluted loss per share calculation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19"/>
                <w:szCs w:val="19"/>
                <w:color w:val="auto"/>
              </w:rPr>
            </w:pPr>
          </w:p>
        </w:tc>
        <w:tc>
          <w:tcPr>
            <w:tcW w:w="2780" w:type="dxa"/>
            <w:vAlign w:val="bottom"/>
            <w:gridSpan w:val="3"/>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For the Years Ended</w:t>
            </w:r>
          </w:p>
        </w:tc>
      </w:tr>
      <w:tr>
        <w:trPr>
          <w:trHeight w:val="230"/>
        </w:trPr>
        <w:tc>
          <w:tcPr>
            <w:tcW w:w="7940" w:type="dxa"/>
            <w:vAlign w:val="bottom"/>
          </w:tcPr>
          <w:p>
            <w:pPr>
              <w:spacing w:after="0"/>
              <w:rPr>
                <w:sz w:val="19"/>
                <w:szCs w:val="19"/>
                <w:color w:val="auto"/>
              </w:rPr>
            </w:pPr>
          </w:p>
        </w:tc>
        <w:tc>
          <w:tcPr>
            <w:tcW w:w="278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31"/>
        </w:trPr>
        <w:tc>
          <w:tcPr>
            <w:tcW w:w="7940" w:type="dxa"/>
            <w:vAlign w:val="bottom"/>
          </w:tcPr>
          <w:p>
            <w:pPr>
              <w:spacing w:after="0"/>
              <w:rPr>
                <w:sz w:val="20"/>
                <w:szCs w:val="20"/>
                <w:color w:val="auto"/>
              </w:rPr>
            </w:pPr>
          </w:p>
        </w:tc>
        <w:tc>
          <w:tcPr>
            <w:tcW w:w="13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60" w:type="dxa"/>
            <w:vAlign w:val="bottom"/>
          </w:tcPr>
          <w:p>
            <w:pPr>
              <w:spacing w:after="0"/>
              <w:rPr>
                <w:sz w:val="20"/>
                <w:szCs w:val="20"/>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458"/>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Series A warrants October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1,022,495</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October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51,125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51,125</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May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32,778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32,778</w:t>
            </w:r>
          </w:p>
        </w:tc>
      </w:tr>
      <w:tr>
        <w:trPr>
          <w:trHeight w:val="229"/>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May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60,476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60,476</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June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35,088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35,088</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C June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350,878</w:t>
            </w:r>
          </w:p>
        </w:tc>
      </w:tr>
      <w:tr>
        <w:trPr>
          <w:trHeight w:val="229"/>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June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31,231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31,231</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D June 2023</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312,309</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E January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1,685,682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January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84,284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F June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3,133,338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June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78,333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employee stock options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2,497,366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2,095,362</w:t>
            </w: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NOTE 12 - RESEARCH AND DEVELOPMENT EXPENSES, NET</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60"/>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auto"/>
            </w:tcBorders>
            <w:gridSpan w:val="5"/>
          </w:tcPr>
          <w:p>
            <w:pPr>
              <w:jc w:val="right"/>
              <w:ind w:right="345"/>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50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20"/>
                <w:szCs w:val="20"/>
                <w:b w:val="1"/>
                <w:bCs w:val="1"/>
                <w:color w:val="auto"/>
              </w:rPr>
              <w:t>2023</w:t>
            </w: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Payroll and related expenses</w:t>
            </w:r>
          </w:p>
        </w:tc>
        <w:tc>
          <w:tcPr>
            <w:tcW w:w="18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3,382</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jc w:val="right"/>
              <w:ind w:right="160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Materials and subcontractors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2,165</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Patents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Rent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1"/>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Office and maintenance expenses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1"/>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Less – grants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(149)</w:t>
            </w: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(279)</w:t>
            </w: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080" w:type="dxa"/>
            <w:vAlign w:val="bottom"/>
          </w:tcPr>
          <w:p>
            <w:pPr>
              <w:spacing w:after="0"/>
              <w:rPr>
                <w:sz w:val="20"/>
                <w:szCs w:val="20"/>
                <w:color w:val="auto"/>
              </w:rPr>
            </w:pPr>
          </w:p>
        </w:tc>
        <w:tc>
          <w:tcPr>
            <w:tcW w:w="1860" w:type="dxa"/>
            <w:vAlign w:val="bottom"/>
            <w:gridSpan w:val="3"/>
          </w:tcPr>
          <w:p>
            <w:pPr>
              <w:jc w:val="right"/>
              <w:ind w:right="144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6,630</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jc w:val="right"/>
              <w:ind w:right="160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0"/>
        </w:trPr>
        <w:tc>
          <w:tcPr>
            <w:tcW w:w="69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NOTE 13 - GENERAL AND ADMINISTRATIVE EXPENSES, NET</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1"/>
        </w:trPr>
        <w:tc>
          <w:tcPr>
            <w:tcW w:w="5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gridSpan w:val="5"/>
          </w:tcPr>
          <w:p>
            <w:pPr>
              <w:jc w:val="right"/>
              <w:ind w:right="425"/>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080" w:type="dxa"/>
            <w:vAlign w:val="bottom"/>
          </w:tcPr>
          <w:p>
            <w:pPr>
              <w:spacing w:after="0"/>
              <w:rPr>
                <w:sz w:val="19"/>
                <w:szCs w:val="19"/>
                <w:color w:val="auto"/>
              </w:rPr>
            </w:pPr>
          </w:p>
        </w:tc>
        <w:tc>
          <w:tcPr>
            <w:tcW w:w="18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7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20"/>
                <w:szCs w:val="20"/>
                <w:b w:val="1"/>
                <w:bCs w:val="1"/>
                <w:color w:val="auto"/>
              </w:rPr>
              <w:t>2023</w:t>
            </w: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Payroll and related expenses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right"/>
              <w:ind w:right="1585"/>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1,223</w:t>
            </w:r>
          </w:p>
        </w:tc>
        <w:tc>
          <w:tcPr>
            <w:tcW w:w="6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Government fees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0"/>
                <w:szCs w:val="20"/>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1,057</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988</w:t>
            </w:r>
          </w:p>
        </w:tc>
        <w:tc>
          <w:tcPr>
            <w:tcW w:w="6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services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1,204</w:t>
            </w:r>
          </w:p>
        </w:tc>
        <w:tc>
          <w:tcPr>
            <w:tcW w:w="60" w:type="dxa"/>
            <w:vAlign w:val="bottom"/>
          </w:tcPr>
          <w:p>
            <w:pPr>
              <w:spacing w:after="0"/>
              <w:rPr>
                <w:sz w:val="20"/>
                <w:szCs w:val="20"/>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Insurance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442</w:t>
            </w:r>
          </w:p>
        </w:tc>
        <w:tc>
          <w:tcPr>
            <w:tcW w:w="60" w:type="dxa"/>
            <w:vAlign w:val="bottom"/>
          </w:tcPr>
          <w:p>
            <w:pPr>
              <w:spacing w:after="0"/>
              <w:rPr>
                <w:sz w:val="20"/>
                <w:szCs w:val="20"/>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Public and investor relations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60" w:type="dxa"/>
            <w:vAlign w:val="bottom"/>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Office and maintenance expenses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tcPr>
          <w:p>
            <w:pPr>
              <w:spacing w:after="0"/>
              <w:rPr>
                <w:sz w:val="20"/>
                <w:szCs w:val="20"/>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Travel</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60" w:type="dxa"/>
            <w:vAlign w:val="bottom"/>
          </w:tcPr>
          <w:p>
            <w:pPr>
              <w:spacing w:after="0"/>
              <w:rPr>
                <w:sz w:val="20"/>
                <w:szCs w:val="20"/>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60" w:type="dxa"/>
            <w:vAlign w:val="bottom"/>
          </w:tcPr>
          <w:p>
            <w:pPr>
              <w:spacing w:after="0"/>
              <w:rPr>
                <w:sz w:val="19"/>
                <w:szCs w:val="19"/>
                <w:color w:val="auto"/>
              </w:rPr>
            </w:pPr>
          </w:p>
        </w:tc>
      </w:tr>
      <w:tr>
        <w:trPr>
          <w:trHeight w:val="231"/>
        </w:trPr>
        <w:tc>
          <w:tcPr>
            <w:tcW w:w="5080" w:type="dxa"/>
            <w:vAlign w:val="bottom"/>
          </w:tcPr>
          <w:p>
            <w:pPr>
              <w:spacing w:after="0"/>
              <w:rPr>
                <w:sz w:val="20"/>
                <w:szCs w:val="20"/>
                <w:color w:val="auto"/>
              </w:rPr>
            </w:pPr>
            <w:r>
              <w:rPr>
                <w:rFonts w:ascii="Times New Roman" w:cs="Times New Roman" w:eastAsia="Times New Roman" w:hAnsi="Times New Roman"/>
                <w:sz w:val="20"/>
                <w:szCs w:val="20"/>
                <w:color w:val="auto"/>
              </w:rPr>
              <w:t>Less - insurance loss recoveries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(281)</w:t>
            </w:r>
          </w:p>
        </w:tc>
      </w:tr>
      <w:tr>
        <w:trPr>
          <w:trHeight w:val="20"/>
        </w:trPr>
        <w:tc>
          <w:tcPr>
            <w:tcW w:w="5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0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tcBorders>
              <w:bottom w:val="single" w:sz="8" w:color="auto"/>
            </w:tcBorders>
          </w:tcPr>
          <w:p>
            <w:pPr>
              <w:jc w:val="right"/>
              <w:ind w:right="1585"/>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4,131</w:t>
            </w:r>
          </w:p>
        </w:tc>
        <w:tc>
          <w:tcPr>
            <w:tcW w:w="6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NOTE 14 - SEGMENT REPORTING</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Segment information is prepared on the same basis that the Company’s chief operating decision maker (“CODM”), the Chief Executive Officer, manages the business, makes business decisions and assesses performance. The Company has one operating and reportable segment, which is the development of robotic devices for endoluminal surgery. See Note 1A for further details.</w:t>
      </w:r>
    </w:p>
    <w:p>
      <w:pPr>
        <w:sectPr>
          <w:pgSz w:w="12240" w:h="15840" w:orient="portrait"/>
          <w:cols w:equalWidth="0" w:num="1">
            <w:col w:w="10800"/>
          </w:cols>
          <w:pgMar w:left="720" w:top="729" w:right="720" w:bottom="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800"/>
          </w:cols>
          <w:pgMar w:left="720" w:top="729" w:right="720" w:bottom="13" w:gutter="0" w:footer="0" w:header="0"/>
          <w:type w:val="continuous"/>
        </w:sectPr>
      </w:pPr>
    </w:p>
    <w:bookmarkStart w:id="79" w:name="page80"/>
    <w:bookmarkEnd w:id="79"/>
    <w:p>
      <w:pPr>
        <w:jc w:val="both"/>
        <w:spacing w:after="0" w:line="236" w:lineRule="auto"/>
        <w:rPr>
          <w:sz w:val="20"/>
          <w:szCs w:val="20"/>
          <w:color w:val="auto"/>
        </w:rPr>
      </w:pPr>
      <w:r>
        <w:rPr>
          <w:rFonts w:ascii="Times New Roman" w:cs="Times New Roman" w:eastAsia="Times New Roman" w:hAnsi="Times New Roman"/>
          <w:sz w:val="20"/>
          <w:szCs w:val="20"/>
          <w:color w:val="auto"/>
        </w:rPr>
        <w:t>The CODM assesses performance for this segment and decides how to allocate resources based on net loss. The measure of segment assets is reported on the balance sheet as cash and cash equivalents and marketable securities. The chief executive officer performs the assessment of segment performance by using the reported measure of segment loss to monitor actual results.</w:t>
      </w:r>
    </w:p>
    <w:p>
      <w:pPr>
        <w:spacing w:after="0" w:line="24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The table below summarizes the significant expense categories regularly reviewed by the CODM for the years ended December 31,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12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2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20"/>
                <w:szCs w:val="20"/>
                <w:b w:val="1"/>
                <w:bCs w:val="1"/>
                <w:color w:val="auto"/>
                <w:w w:val="94"/>
              </w:rPr>
              <w:t>2023</w:t>
            </w:r>
          </w:p>
        </w:tc>
        <w:tc>
          <w:tcPr>
            <w:tcW w:w="60" w:type="dxa"/>
            <w:vAlign w:val="bottom"/>
          </w:tcPr>
          <w:p>
            <w:pPr>
              <w:spacing w:after="0"/>
              <w:rPr>
                <w:sz w:val="19"/>
                <w:szCs w:val="19"/>
                <w:color w:val="auto"/>
              </w:rPr>
            </w:pPr>
          </w:p>
        </w:tc>
      </w:tr>
      <w:tr>
        <w:trPr>
          <w:trHeight w:val="209"/>
        </w:trPr>
        <w:tc>
          <w:tcPr>
            <w:tcW w:w="58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color w:val="auto"/>
              </w:rPr>
              <w:t>Significant segment expenses</w:t>
            </w: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31"/>
        </w:trPr>
        <w:tc>
          <w:tcPr>
            <w:tcW w:w="5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Payroll and payroll related</w:t>
            </w:r>
          </w:p>
        </w:tc>
        <w:tc>
          <w:tcPr>
            <w:tcW w:w="52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(5,376)</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(3,678)</w:t>
            </w:r>
          </w:p>
        </w:tc>
      </w:tr>
      <w:tr>
        <w:trPr>
          <w:trHeight w:val="229"/>
        </w:trPr>
        <w:tc>
          <w:tcPr>
            <w:tcW w:w="5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Materials and subcontractors</w:t>
            </w:r>
          </w:p>
        </w:tc>
        <w:tc>
          <w:tcPr>
            <w:tcW w:w="520" w:type="dxa"/>
            <w:vAlign w:val="bottom"/>
          </w:tcPr>
          <w:p>
            <w:pPr>
              <w:spacing w:after="0"/>
              <w:rPr>
                <w:sz w:val="19"/>
                <w:szCs w:val="19"/>
                <w:color w:val="auto"/>
              </w:rPr>
            </w:pP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(2,165)</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(2,362)</w:t>
            </w:r>
          </w:p>
        </w:tc>
      </w:tr>
      <w:tr>
        <w:trPr>
          <w:trHeight w:val="230"/>
        </w:trPr>
        <w:tc>
          <w:tcPr>
            <w:tcW w:w="5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Share-based compensation</w:t>
            </w:r>
          </w:p>
        </w:tc>
        <w:tc>
          <w:tcPr>
            <w:tcW w:w="52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(1,349)</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(1,394)</w:t>
            </w:r>
          </w:p>
        </w:tc>
      </w:tr>
      <w:tr>
        <w:trPr>
          <w:trHeight w:val="230"/>
        </w:trPr>
        <w:tc>
          <w:tcPr>
            <w:tcW w:w="5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Loss on legal settlement, net</w:t>
            </w:r>
          </w:p>
        </w:tc>
        <w:tc>
          <w:tcPr>
            <w:tcW w:w="5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(1,111)</w:t>
            </w:r>
          </w:p>
        </w:tc>
      </w:tr>
      <w:tr>
        <w:trPr>
          <w:trHeight w:val="230"/>
        </w:trPr>
        <w:tc>
          <w:tcPr>
            <w:tcW w:w="58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Other segment items (*)</w:t>
            </w:r>
          </w:p>
        </w:tc>
        <w:tc>
          <w:tcPr>
            <w:tcW w:w="520" w:type="dxa"/>
            <w:vAlign w:val="bottom"/>
          </w:tcPr>
          <w:p>
            <w:pPr>
              <w:spacing w:after="0"/>
              <w:rPr>
                <w:sz w:val="19"/>
                <w:szCs w:val="19"/>
                <w:color w:val="auto"/>
              </w:rPr>
            </w:pP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(2,553)</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(2,195)</w:t>
            </w:r>
          </w:p>
        </w:tc>
      </w:tr>
      <w:tr>
        <w:trPr>
          <w:trHeight w:val="20"/>
        </w:trPr>
        <w:tc>
          <w:tcPr>
            <w:tcW w:w="2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58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52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79"/>
              </w:rPr>
              <w:t>$</w:t>
            </w:r>
          </w:p>
        </w:tc>
        <w:tc>
          <w:tcPr>
            <w:tcW w:w="21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(11,443)</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(10,740)</w:t>
            </w:r>
          </w:p>
        </w:tc>
      </w:tr>
      <w:tr>
        <w:trPr>
          <w:trHeight w:val="20"/>
        </w:trPr>
        <w:tc>
          <w:tcPr>
            <w:tcW w:w="2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left="240" w:hanging="232"/>
        <w:spacing w:after="0" w:line="236" w:lineRule="auto"/>
        <w:rPr>
          <w:sz w:val="20"/>
          <w:szCs w:val="20"/>
          <w:color w:val="auto"/>
        </w:rPr>
      </w:pPr>
      <w:r>
        <w:rPr>
          <w:rFonts w:ascii="Times New Roman" w:cs="Times New Roman" w:eastAsia="Times New Roman" w:hAnsi="Times New Roman"/>
          <w:sz w:val="20"/>
          <w:szCs w:val="20"/>
          <w:color w:val="auto"/>
        </w:rPr>
        <w:t>(*)Other segment expense items included within net loss include professional services, patents, overhead and depreciation, travel expenses, financial income, net and other miscellaneous expenses net of grants received. See the consolidated financial statements for other financial information regarding the Company’s operating segment.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Long-lived assets and operating lease right-of-use assets by geographical areas were as follows:</w:t>
      </w:r>
    </w:p>
    <w:p>
      <w:pPr>
        <w:ind w:left="6620"/>
        <w:spacing w:after="0"/>
        <w:rPr>
          <w:sz w:val="20"/>
          <w:szCs w:val="20"/>
          <w:color w:val="auto"/>
        </w:rPr>
      </w:pPr>
      <w:r>
        <w:rPr>
          <w:rFonts w:ascii="Times New Roman" w:cs="Times New Roman" w:eastAsia="Times New Roman" w:hAnsi="Times New Roman"/>
          <w:sz w:val="20"/>
          <w:szCs w:val="20"/>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6350</wp:posOffset>
                </wp:positionV>
                <wp:extent cx="40132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32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0.5pt" to="530.5pt,0.5pt" o:allowincell="f" strokecolor="#000000" strokeweight="0.9599pt"/>
            </w:pict>
          </mc:Fallback>
        </mc:AlternateConten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262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Israel</w:t>
            </w:r>
          </w:p>
        </w:tc>
        <w:tc>
          <w:tcPr>
            <w:tcW w:w="2180" w:type="dxa"/>
            <w:vAlign w:val="bottom"/>
          </w:tcPr>
          <w:p>
            <w:pPr>
              <w:jc w:val="right"/>
              <w:ind w:right="198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720" w:type="dxa"/>
            <w:vAlign w:val="bottom"/>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1"/>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right"/>
              <w:ind w:right="1980"/>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406</w:t>
            </w:r>
          </w:p>
        </w:tc>
      </w:tr>
      <w:tr>
        <w:trPr>
          <w:trHeight w:val="20"/>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RELATED PARTIES</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There were no material related party transactions in each of the years ended December 31, 2024 and 2023 that were outside of the Company’s normal course of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TAXES ON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subject to U.S. federal tax rate of 21% for the years ended December 31, 2024 and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not been audited by the Internal Revenue Service since its incorporation.</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As of December 31, 2024 and 2023, the Company has generated accumulated net operating losses in the U.S. of approximately $511,371 and $506,317, respectively. The Company has available carryforward net operating losses amounting to approximately $106,313 at the U.S. federal level. This consists of pre-2017 net operating losses subject to a 20-year limitation per Section 382, amounting to approximately $85,415, and post-2017 net operating losses which can be carried forward indefinitely, amounting to approximately $20,898.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Microbot Israel is subject to Israeli corporate tax rate of 23% for the years ended 2024 and 2023. Microbot Israel has not received a final tax assessment since 2018.</w:t>
      </w:r>
    </w:p>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As of December 31, 2024 and 2023, Microbot Israel has generated accumulated net operating losses in Israel of approximately $47,553 and $41,164, respectively, which may be carried forward and offset against taxable income in the future for an indefinite period.</w:t>
      </w:r>
    </w:p>
    <w:p>
      <w:pPr>
        <w:spacing w:after="0" w:line="2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23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20"/>
          <w:szCs w:val="20"/>
          <w:b w:val="1"/>
          <w:bCs w:val="1"/>
          <w:color w:val="auto"/>
        </w:rPr>
        <w:t>As of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4413885</wp:posOffset>
                </wp:positionH>
                <wp:positionV relativeFrom="paragraph">
                  <wp:posOffset>6350</wp:posOffset>
                </wp:positionV>
                <wp:extent cx="235458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5458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55pt,0.5pt" to="532.95pt,0.5pt" o:allowincell="f" strokecolor="#000000" strokeweight="0.9599pt"/>
            </w:pict>
          </mc:Fallback>
        </mc:AlternateContent>
      </w:r>
    </w:p>
    <w:p>
      <w:pPr>
        <w:spacing w:after="0" w:line="1" w:lineRule="exact"/>
        <w:rPr>
          <w:sz w:val="20"/>
          <w:szCs w:val="20"/>
          <w:color w:val="auto"/>
        </w:rPr>
      </w:pPr>
    </w:p>
    <w:p>
      <w:pPr>
        <w:ind w:left="7620"/>
        <w:spacing w:after="0"/>
        <w:tabs>
          <w:tab w:leader="none" w:pos="9580" w:val="left"/>
        </w:tabs>
        <w:rPr>
          <w:sz w:val="20"/>
          <w:szCs w:val="20"/>
          <w:color w:val="auto"/>
        </w:rPr>
      </w:pP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4413885</wp:posOffset>
                </wp:positionH>
                <wp:positionV relativeFrom="paragraph">
                  <wp:posOffset>6350</wp:posOffset>
                </wp:positionV>
                <wp:extent cx="109791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791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55pt,0.5pt" to="434pt,0.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5669280</wp:posOffset>
                </wp:positionH>
                <wp:positionV relativeFrom="paragraph">
                  <wp:posOffset>6350</wp:posOffset>
                </wp:positionV>
                <wp:extent cx="109918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4pt,0.5pt" to="532.95pt,0.5pt" o:allowincell="f" strokecolor="#000000" strokeweight="0.96pt"/>
            </w:pict>
          </mc:Fallback>
        </mc:AlternateContent>
      </w:r>
    </w:p>
    <w:p>
      <w:pPr>
        <w:spacing w:after="0" w:line="230" w:lineRule="exact"/>
        <w:rPr>
          <w:sz w:val="20"/>
          <w:szCs w:val="20"/>
          <w:color w:val="auto"/>
        </w:rPr>
      </w:pPr>
    </w:p>
    <w:p>
      <w:pPr>
        <w:spacing w:after="0"/>
        <w:tabs>
          <w:tab w:leader="none" w:pos="6940" w:val="left"/>
          <w:tab w:leader="none" w:pos="8020" w:val="left"/>
          <w:tab w:leader="none" w:pos="8900" w:val="left"/>
          <w:tab w:leader="none" w:pos="9980" w:val="left"/>
        </w:tabs>
        <w:rPr>
          <w:sz w:val="20"/>
          <w:szCs w:val="20"/>
          <w:color w:val="auto"/>
        </w:rPr>
      </w:pPr>
      <w:r>
        <w:rPr>
          <w:rFonts w:ascii="Times New Roman" w:cs="Times New Roman" w:eastAsia="Times New Roman" w:hAnsi="Times New Roman"/>
          <w:sz w:val="20"/>
          <w:szCs w:val="20"/>
          <w:color w:val="auto"/>
        </w:rPr>
        <w:t>Net operating loss carryforwards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118,309</w:t>
        <w:tab/>
        <w:t>$</w:t>
      </w:r>
      <w:r>
        <w:rPr>
          <w:sz w:val="20"/>
          <w:szCs w:val="20"/>
          <w:color w:val="auto"/>
        </w:rPr>
        <w:tab/>
      </w:r>
      <w:r>
        <w:rPr>
          <w:rFonts w:ascii="Times New Roman" w:cs="Times New Roman" w:eastAsia="Times New Roman" w:hAnsi="Times New Roman"/>
          <w:sz w:val="20"/>
          <w:szCs w:val="20"/>
          <w:color w:val="auto"/>
        </w:rPr>
        <w:t>115,778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F-24</w:t>
      </w:r>
    </w:p>
    <w:p>
      <w:pPr>
        <w:sectPr>
          <w:pgSz w:w="12240" w:h="15840" w:orient="portrait"/>
          <w:cols w:equalWidth="0" w:num="1">
            <w:col w:w="10800"/>
          </w:cols>
          <w:pgMar w:left="720" w:top="729" w:right="720" w:bottom="11"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19"/>
                <w:szCs w:val="19"/>
                <w:color w:val="auto"/>
              </w:rPr>
            </w:pP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vacation pay</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60" w:type="dxa"/>
            <w:vAlign w:val="bottom"/>
          </w:tcPr>
          <w:p>
            <w:pPr>
              <w:spacing w:after="0"/>
              <w:rPr>
                <w:sz w:val="19"/>
                <w:szCs w:val="19"/>
                <w:color w:val="auto"/>
              </w:rPr>
            </w:pPr>
          </w:p>
        </w:tc>
      </w:tr>
      <w:tr>
        <w:trPr>
          <w:trHeight w:val="230"/>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Legal settlement accrual</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w:t>
            </w:r>
          </w:p>
        </w:tc>
        <w:tc>
          <w:tcPr>
            <w:tcW w:w="60" w:type="dxa"/>
            <w:vAlign w:val="bottom"/>
          </w:tcPr>
          <w:p>
            <w:pPr>
              <w:spacing w:after="0"/>
              <w:rPr>
                <w:sz w:val="20"/>
                <w:szCs w:val="20"/>
                <w:color w:val="auto"/>
              </w:rPr>
            </w:pPr>
          </w:p>
        </w:tc>
      </w:tr>
      <w:tr>
        <w:trPr>
          <w:trHeight w:val="231"/>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Advance payment from IIA</w:t>
            </w:r>
          </w:p>
        </w:tc>
        <w:tc>
          <w:tcPr>
            <w:tcW w:w="5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0"/>
                <w:szCs w:val="20"/>
                <w:color w:val="auto"/>
              </w:rPr>
            </w:pP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118,404</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116,371</w:t>
            </w:r>
          </w:p>
        </w:tc>
        <w:tc>
          <w:tcPr>
            <w:tcW w:w="60" w:type="dxa"/>
            <w:vAlign w:val="bottom"/>
          </w:tcPr>
          <w:p>
            <w:pPr>
              <w:spacing w:after="0"/>
              <w:rPr>
                <w:sz w:val="19"/>
                <w:szCs w:val="19"/>
                <w:color w:val="auto"/>
              </w:rPr>
            </w:pPr>
          </w:p>
        </w:tc>
      </w:tr>
      <w:tr>
        <w:trPr>
          <w:trHeight w:val="231"/>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5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(118,374)</w:t>
            </w:r>
          </w:p>
        </w:tc>
        <w:tc>
          <w:tcPr>
            <w:tcW w:w="5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(116,014)</w:t>
            </w:r>
          </w:p>
        </w:tc>
      </w:tr>
      <w:tr>
        <w:trPr>
          <w:trHeight w:val="230"/>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5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w:t>
            </w:r>
          </w:p>
        </w:tc>
        <w:tc>
          <w:tcPr>
            <w:tcW w:w="60" w:type="dxa"/>
            <w:vAlign w:val="bottom"/>
          </w:tcPr>
          <w:p>
            <w:pPr>
              <w:spacing w:after="0"/>
              <w:rPr>
                <w:sz w:val="19"/>
                <w:szCs w:val="19"/>
                <w:color w:val="auto"/>
              </w:rPr>
            </w:pPr>
          </w:p>
        </w:tc>
      </w:tr>
      <w:tr>
        <w:trPr>
          <w:trHeight w:val="460"/>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leases, right-of-use assets</w:t>
            </w:r>
          </w:p>
        </w:tc>
        <w:tc>
          <w:tcPr>
            <w:tcW w:w="54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w:t>
            </w:r>
          </w:p>
        </w:tc>
        <w:tc>
          <w:tcPr>
            <w:tcW w:w="5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30"/>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 receivable (Ministry of Economy)</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Insurance recovery receivable</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(280)</w:t>
            </w:r>
          </w:p>
        </w:tc>
      </w:tr>
      <w:tr>
        <w:trPr>
          <w:trHeight w:val="231"/>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5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5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w:t>
            </w:r>
          </w:p>
        </w:tc>
        <w:tc>
          <w:tcPr>
            <w:tcW w:w="5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(357)</w:t>
            </w: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6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net deferred tax assets</w:t>
            </w:r>
          </w:p>
        </w:tc>
        <w:tc>
          <w:tcPr>
            <w:tcW w:w="5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1980" w:type="dxa"/>
            <w:vAlign w:val="bottom"/>
            <w:gridSpan w:val="3"/>
          </w:tcPr>
          <w:p>
            <w:pPr>
              <w:jc w:val="right"/>
              <w:ind w:right="460"/>
              <w:spacing w:after="0"/>
              <w:rPr>
                <w:sz w:val="20"/>
                <w:szCs w:val="20"/>
                <w:color w:val="auto"/>
              </w:rPr>
            </w:pPr>
            <w:r>
              <w:rPr>
                <w:rFonts w:ascii="Times New Roman" w:cs="Times New Roman" w:eastAsia="Times New Roman" w:hAnsi="Times New Roman"/>
                <w:sz w:val="20"/>
                <w:szCs w:val="20"/>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Income Taxes:</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SUBSEQUENT EVENTS</w:t>
      </w:r>
    </w:p>
    <w:p>
      <w:pPr>
        <w:spacing w:after="0" w:line="230" w:lineRule="exact"/>
        <w:rPr>
          <w:sz w:val="20"/>
          <w:szCs w:val="20"/>
          <w:color w:val="auto"/>
        </w:rPr>
      </w:pPr>
    </w:p>
    <w:p>
      <w:pPr>
        <w:ind w:left="620" w:hanging="602"/>
        <w:spacing w:after="0"/>
        <w:tabs>
          <w:tab w:leader="none" w:pos="62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January and February 2025 Offerings: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January 6, 2025, the Company entered into Securities Purchase Agreements with investors, pursuant to which the Company agreed to issue and sell, in a registered direct offering priced at-the-market under the rules of the Nasdaq Stock Market, an aggregate of 4,000,001 shares of the Company’s common stock, par value $0.01 per share, at an offering price of $1.75 per share, for aggregate gross proceeds from the offerings of approximately $7,000 before deducting the placement agent fee and related offering expenses of approximately $636. In a concurrent private placement, the Company agreed to issue to the investors series G preferred investment options to purchase up to 8,000,002 shares of common stock at an exercise price of $1.75 per share. Each Series G preferred investment option is exercisable immediately and will expire two years from the initial exercise date.</w:t>
      </w:r>
    </w:p>
    <w:p>
      <w:pPr>
        <w:spacing w:after="0" w:line="24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also issued to Wainwright or its designees preferred investment options to purchase up to 200,000 shares of common stock which have the same terms as investors’ preferred investment options except for an exercise price equal to $2.1875 per share.</w:t>
      </w:r>
    </w:p>
    <w:p>
      <w:pPr>
        <w:spacing w:after="0" w:line="2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On January 7, 2025, the Company entered into Securities Purchase Agreements with investors, pursuant to which the Company agreed to issue and sell, in a registered direct offering priced at-the-market under the rules of the Nasdaq Stock Market, an aggregate of 3,788,550 shares of the Company’s common stock, par value $0.01 per share, at an offering price of $2.27 per share, for aggregate gross proceeds from the offerings of approximately $8,600 before deducting the placement agent fee and related offering expenses of approximately $764. In a concurrent private placement, the Company agreed to issue to the investors series H preferred investment options to purchase up to 7,577,100 shares of common stock at an exercise price of $2.10 per share. Each Series H preferred investment option is exercisable immediately and will expire two years from the initial exercise date.</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also issued to Wainwright or its designees preferred investment options to purchase up to 189,428 shares of common stock which have the same terms as investors’ preferred investment options except for an exercise price equal to $2.8375 per share.</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On February 9, 2025, the Company entered into Securities Purchase Agreements with investors, pursuant to which the Company agreed to issue and sell, in a registered direct offering priced at-the-market under the rules of the Nasdaq Stock Market, an aggregate of 6,103,289 shares of the Company’s common stock, par value $0.01 per share, at an offering price of $2.13 per share, for aggregate gross proceeds from the offerings of approximately $13,000 before deducting the placement agent fee and related offering expenses of approximately $1,116. In a concurrent private placement, the Company agreed to issue to the investors series I preferred investment options to purchase up to 12,206,578 shares of common stock at an exercise price of $2.13 per share. Each Series I preferred investment option is exercisable on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w:t>
      </w:r>
    </w:p>
    <w:p>
      <w:pPr>
        <w:spacing w:after="0" w:line="5" w:lineRule="exact"/>
        <w:rPr>
          <w:sz w:val="20"/>
          <w:szCs w:val="20"/>
          <w:color w:val="auto"/>
        </w:rPr>
      </w:pPr>
    </w:p>
    <w:p>
      <w:pPr>
        <w:jc w:val="both"/>
        <w:spacing w:after="0" w:line="237" w:lineRule="auto"/>
        <w:tabs>
          <w:tab w:leader="none" w:pos="29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“Initial exercise date”), and will expire two years from the initial exercise date.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F-25</w:t>
      </w:r>
    </w:p>
    <w:p>
      <w:pPr>
        <w:sectPr>
          <w:pgSz w:w="12240" w:h="15840" w:orient="portrait"/>
          <w:cols w:equalWidth="0" w:num="1">
            <w:col w:w="10800"/>
          </w:cols>
          <w:pgMar w:left="720" w:top="719" w:right="720" w:bottom="11" w:gutter="0" w:footer="0" w:header="0"/>
        </w:sectPr>
      </w:pPr>
    </w:p>
    <w:bookmarkStart w:id="81" w:name="page82"/>
    <w:bookmarkEnd w:id="81"/>
    <w:p>
      <w:pPr>
        <w:spacing w:after="0" w:line="234" w:lineRule="auto"/>
        <w:rPr>
          <w:sz w:val="20"/>
          <w:szCs w:val="20"/>
          <w:color w:val="auto"/>
        </w:rPr>
      </w:pPr>
      <w:r>
        <w:rPr>
          <w:rFonts w:ascii="Times New Roman" w:cs="Times New Roman" w:eastAsia="Times New Roman" w:hAnsi="Times New Roman"/>
          <w:sz w:val="20"/>
          <w:szCs w:val="20"/>
          <w:color w:val="auto"/>
        </w:rPr>
        <w:t>The Company also issued to Wainwright or its designees preferred investment options to purchase up to 305,164 shares of common stock which have the same terms as investors’ preferred investment options except for an exercise price equal to $2.6625 per share.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ATM Offering</w:t>
      </w:r>
    </w:p>
    <w:p>
      <w:pPr>
        <w:spacing w:after="0" w:line="23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During January 2025, the Company issued 842,606 shares of the Company’s common stock pursuant to the ATM Agreement, for total gross proceeds of approximately $1,062.</w:t>
      </w:r>
    </w:p>
    <w:p>
      <w:pPr>
        <w:spacing w:after="0" w:line="230" w:lineRule="exact"/>
        <w:rPr>
          <w:sz w:val="20"/>
          <w:szCs w:val="20"/>
          <w:color w:val="auto"/>
        </w:rPr>
      </w:pPr>
    </w:p>
    <w:p>
      <w:pPr>
        <w:ind w:left="700" w:hanging="677"/>
        <w:spacing w:after="0"/>
        <w:tabs>
          <w:tab w:leader="none" w:pos="70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of Investment Options:</w:t>
      </w:r>
    </w:p>
    <w:p>
      <w:pPr>
        <w:spacing w:after="0" w:line="24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In January 2025, the Company raised approximately $916 in gross proceeds from the exercise of 610,517 outstanding Series E preferred investment options.</w:t>
      </w:r>
    </w:p>
    <w:p>
      <w:pPr>
        <w:spacing w:after="0" w:line="230" w:lineRule="exact"/>
        <w:rPr>
          <w:sz w:val="20"/>
          <w:szCs w:val="20"/>
          <w:color w:val="auto"/>
        </w:rPr>
      </w:pPr>
    </w:p>
    <w:p>
      <w:pPr>
        <w:ind w:left="540" w:hanging="524"/>
        <w:spacing w:after="0"/>
        <w:tabs>
          <w:tab w:leader="none" w:pos="5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option grants and other compensation:</w:t>
      </w:r>
    </w:p>
    <w:p>
      <w:pPr>
        <w:spacing w:after="0" w:line="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January 2025, the Company paid the CEO a total bonus amounting to approximately $548, out of which an approximate amount of $398 is related to fiscal year 2024, which was authorized and approved in January 2025.</w:t>
      </w:r>
    </w:p>
    <w:p>
      <w:pPr>
        <w:spacing w:after="0" w:line="24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January 2025, the Company authorized and approved bonuses to executives and certain employees in the amount of approximately $294, related to fiscal year 2024, and approved salary increases for the CEO and other executives.</w:t>
      </w:r>
    </w:p>
    <w:p>
      <w:pPr>
        <w:spacing w:after="0" w:line="24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January and February 2025, the Company granted the CEO, executives and certain employees, and certain board members 228,000, 293,875 and 70,000 options, respectively. In addition, the Company determined that 35,625 out of 132,500 performance-based options granted in February 2024 had met their milestones and been vested, while the remainder 96,875 options which did not meet their milestones had been forfeited.</w:t>
      </w:r>
    </w:p>
    <w:p>
      <w:pPr>
        <w:spacing w:after="0" w:line="231" w:lineRule="exact"/>
        <w:rPr>
          <w:sz w:val="20"/>
          <w:szCs w:val="20"/>
          <w:color w:val="auto"/>
        </w:rPr>
      </w:pPr>
    </w:p>
    <w:p>
      <w:pPr>
        <w:ind w:left="520" w:hanging="520"/>
        <w:spacing w:after="0"/>
        <w:tabs>
          <w:tab w:leader="none" w:pos="5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Mona litigation:</w:t>
      </w:r>
    </w:p>
    <w:p>
      <w:pPr>
        <w:spacing w:after="0" w:line="23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In March 2025, the appellate court in the Mona litigation (see Note 9H above) held in favor of the Company and the Judgment was released to the Company. The Company received approximately $316 of the Judgment, net of legal fees and expenses.</w:t>
      </w:r>
    </w:p>
    <w:p>
      <w:pPr>
        <w:sectPr>
          <w:pgSz w:w="12240" w:h="15840" w:orient="portrait"/>
          <w:cols w:equalWidth="0" w:num="1">
            <w:col w:w="10800"/>
          </w:cols>
          <w:pgMar w:left="720" w:top="729" w:right="720" w:bottom="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sectPr>
      <w:pgSz w:w="12240" w:h="15840" w:orient="portrait"/>
      <w:cols w:equalWidth="0" w:num="1">
        <w:col w:w="10800"/>
      </w:cols>
      <w:pgMar w:left="720" w:top="729" w:right="720"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Emoji">
    <w:panose1 w:val="020B0502040204020203"/>
    <w:charset w:val="00"/>
    <w:family w:val="swiss"/>
    <w:pitch w:val="variable"/>
    <w:sig w:usb0="00000001" w:usb1="02000000" w:usb2="00000000" w:usb3="00000000" w:csb0="00000001"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lvl w:ilvl="1">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lvl w:ilvl="1">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lvl w:ilvl="1">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lvl w:ilvl="1">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lvl w:ilvl="1">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amp;"/>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
      <w:numFmt w:val="bullet"/>
      <w:start w:val="1"/>
    </w:lvl>
    <w:lvl w:ilvl="1">
      <w:lvlJc w:val="left"/>
      <w:lvlText w:val="%2"/>
      <w:numFmt w:val="decimal"/>
      <w:start w:val="104"/>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upperLetter"/>
      <w:start w:val="1"/>
    </w:lvl>
  </w:abstractNum>
  <w:abstractNum w:abstractNumId="48">
    <w:nsid w:val="3DC240FB"/>
    <w:multiLevelType w:val="hybridMultilevel"/>
    <w:lvl w:ilvl="0">
      <w:lvlJc w:val="left"/>
      <w:lvlText w:val="(%1)"/>
      <w:numFmt w:val="lowerRoman"/>
      <w:start w:val="2"/>
    </w:lvl>
  </w:abstractNum>
  <w:abstractNum w:abstractNumId="49">
    <w:nsid w:val="1BA026FA"/>
    <w:multiLevelType w:val="hybridMultilevel"/>
    <w:lvl w:ilvl="0">
      <w:lvlJc w:val="left"/>
      <w:lvlText w:val="%1."/>
      <w:numFmt w:val="upperLetter"/>
      <w:start w:val="2"/>
    </w:lvl>
  </w:abstractNum>
  <w:abstractNum w:abstractNumId="50">
    <w:nsid w:val="79A1DEAA"/>
    <w:multiLevelType w:val="hybridMultilevel"/>
    <w:lvl w:ilvl="0">
      <w:lvlJc w:val="left"/>
      <w:lvlText w:val="%1."/>
      <w:numFmt w:val="upperLetter"/>
      <w:start w:val="3"/>
    </w:lvl>
  </w:abstractNum>
  <w:abstractNum w:abstractNumId="51">
    <w:nsid w:val="75C6C33A"/>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2025-05-04T02:03:46Z</dcterms:created>
  <dcterms:modified xsi:type="dcterms:W3CDTF">2025-05-04T02:03:46Z</dcterms:modified>
</cp:coreProperties>
</file>