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86" w:lineRule="exact"/>
        <w:rPr>
          <w:sz w:val="20"/>
          <w:szCs w:val="20"/>
          <w:color w:val="auto"/>
        </w:rPr>
      </w:pPr>
    </w:p>
    <w:p>
      <w:pPr>
        <w:ind w:left="1960" w:hanging="1243"/>
        <w:spacing w:after="0"/>
        <w:tabs>
          <w:tab w:leader="none" w:pos="1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w:t>
      </w:r>
    </w:p>
    <w:p>
      <w:pPr>
        <w:spacing w:after="0" w:line="14" w:lineRule="exact"/>
        <w:rPr>
          <w:rFonts w:ascii="MS PGothic" w:cs="MS PGothic" w:eastAsia="MS PGothic" w:hAnsi="MS PGothic"/>
          <w:sz w:val="22"/>
          <w:szCs w:val="22"/>
          <w:color w:val="auto"/>
        </w:rPr>
      </w:pPr>
    </w:p>
    <w:p>
      <w:pPr>
        <w:ind w:left="19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209" w:lineRule="exact"/>
        <w:rPr>
          <w:rFonts w:ascii="MS PGothic" w:cs="MS PGothic" w:eastAsia="MS PGothic" w:hAnsi="MS PGothic"/>
          <w:sz w:val="22"/>
          <w:szCs w:val="22"/>
          <w:color w:val="auto"/>
        </w:rPr>
      </w:pPr>
    </w:p>
    <w:p>
      <w:pPr>
        <w:ind w:left="19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FISCAL YEAR ENDED DECEMBER 31, 2004</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0"/>
          <w:szCs w:val="20"/>
          <w:color w:val="auto"/>
        </w:rPr>
      </w:pPr>
    </w:p>
    <w:p>
      <w:pPr>
        <w:ind w:left="1960" w:hanging="1202"/>
        <w:spacing w:after="0"/>
        <w:tabs>
          <w:tab w:leader="none" w:pos="19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w:t>
      </w:r>
    </w:p>
    <w:p>
      <w:pPr>
        <w:spacing w:after="0" w:line="14" w:lineRule="exact"/>
        <w:rPr>
          <w:rFonts w:ascii="Arial" w:cs="Arial" w:eastAsia="Arial" w:hAnsi="Arial"/>
          <w:sz w:val="22"/>
          <w:szCs w:val="22"/>
          <w:b w:val="1"/>
          <w:bCs w:val="1"/>
          <w:color w:val="auto"/>
        </w:rPr>
      </w:pPr>
    </w:p>
    <w:p>
      <w:pPr>
        <w:ind w:left="19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OF THE SECURITIES EXCHANGE ACT OF 1934</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0-19871</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STEMCELLS, INC.</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97" w:lineRule="exact"/>
        <w:rPr>
          <w:sz w:val="20"/>
          <w:szCs w:val="20"/>
          <w:color w:val="auto"/>
        </w:rPr>
      </w:pPr>
    </w:p>
    <w:tbl>
      <w:tblPr>
        <w:tblLayout w:type="fixed"/>
        <w:tblInd w:w="2060" w:type="dxa"/>
        <w:tblCellMar>
          <w:top w:w="0" w:type="dxa"/>
          <w:left w:w="0" w:type="dxa"/>
          <w:bottom w:w="0" w:type="dxa"/>
          <w:right w:w="0" w:type="dxa"/>
        </w:tblCellMar>
      </w:tblPr>
      <w:tr>
        <w:trPr>
          <w:trHeight w:val="220"/>
        </w:trPr>
        <w:tc>
          <w:tcPr>
            <w:tcW w:w="6140" w:type="dxa"/>
            <w:vAlign w:val="bottom"/>
          </w:tcPr>
          <w:p>
            <w:pPr>
              <w:jc w:val="center"/>
              <w:ind w:right="3652"/>
              <w:spacing w:after="0"/>
              <w:rPr>
                <w:sz w:val="20"/>
                <w:szCs w:val="20"/>
                <w:color w:val="auto"/>
              </w:rPr>
            </w:pPr>
            <w:r>
              <w:rPr>
                <w:rFonts w:ascii="Arial" w:cs="Arial" w:eastAsia="Arial" w:hAnsi="Arial"/>
                <w:sz w:val="18"/>
                <w:szCs w:val="18"/>
                <w:b w:val="1"/>
                <w:bCs w:val="1"/>
                <w:color w:val="auto"/>
                <w:w w:val="91"/>
              </w:rPr>
              <w:t>Delaware</w:t>
            </w:r>
          </w:p>
        </w:tc>
        <w:tc>
          <w:tcPr>
            <w:tcW w:w="160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6140" w:type="dxa"/>
            <w:vAlign w:val="bottom"/>
          </w:tcPr>
          <w:p>
            <w:pPr>
              <w:jc w:val="center"/>
              <w:ind w:right="3652"/>
              <w:spacing w:after="0"/>
              <w:rPr>
                <w:sz w:val="20"/>
                <w:szCs w:val="20"/>
                <w:color w:val="auto"/>
              </w:rPr>
            </w:pPr>
            <w:r>
              <w:rPr>
                <w:rFonts w:ascii="Arial" w:cs="Arial" w:eastAsia="Arial" w:hAnsi="Arial"/>
                <w:sz w:val="18"/>
                <w:szCs w:val="18"/>
                <w:i w:val="1"/>
                <w:iCs w:val="1"/>
                <w:color w:val="auto"/>
                <w:w w:val="93"/>
              </w:rPr>
              <w:t>(State or other jurisdiction</w:t>
            </w:r>
          </w:p>
        </w:tc>
        <w:tc>
          <w:tcPr>
            <w:tcW w:w="1600" w:type="dxa"/>
            <w:vAlign w:val="bottom"/>
          </w:tcPr>
          <w:p>
            <w:pPr>
              <w:jc w:val="center"/>
              <w:ind w:left="1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140" w:type="dxa"/>
            <w:vAlign w:val="bottom"/>
          </w:tcPr>
          <w:p>
            <w:pPr>
              <w:jc w:val="center"/>
              <w:ind w:right="3652"/>
              <w:spacing w:after="0"/>
              <w:rPr>
                <w:sz w:val="20"/>
                <w:szCs w:val="20"/>
                <w:color w:val="auto"/>
              </w:rPr>
            </w:pPr>
            <w:r>
              <w:rPr>
                <w:rFonts w:ascii="Arial" w:cs="Arial" w:eastAsia="Arial" w:hAnsi="Arial"/>
                <w:sz w:val="18"/>
                <w:szCs w:val="18"/>
                <w:i w:val="1"/>
                <w:iCs w:val="1"/>
                <w:color w:val="auto"/>
                <w:w w:val="94"/>
              </w:rPr>
              <w:t>of incorporation or organization)</w:t>
            </w:r>
          </w:p>
        </w:tc>
        <w:tc>
          <w:tcPr>
            <w:tcW w:w="1600" w:type="dxa"/>
            <w:vAlign w:val="bottom"/>
          </w:tcPr>
          <w:p>
            <w:pPr>
              <w:jc w:val="center"/>
              <w:ind w:left="190"/>
              <w:spacing w:after="0"/>
              <w:rPr>
                <w:sz w:val="20"/>
                <w:szCs w:val="20"/>
                <w:color w:val="auto"/>
              </w:rPr>
            </w:pPr>
            <w:r>
              <w:rPr>
                <w:rFonts w:ascii="Arial" w:cs="Arial" w:eastAsia="Arial" w:hAnsi="Arial"/>
                <w:sz w:val="18"/>
                <w:szCs w:val="18"/>
                <w:i w:val="1"/>
                <w:iCs w:val="1"/>
                <w:color w:val="auto"/>
                <w:w w:val="94"/>
              </w:rPr>
              <w:t>Identification No.)</w:t>
            </w:r>
          </w:p>
        </w:tc>
      </w:tr>
      <w:tr>
        <w:trPr>
          <w:trHeight w:val="305"/>
        </w:trPr>
        <w:tc>
          <w:tcPr>
            <w:tcW w:w="6140" w:type="dxa"/>
            <w:vAlign w:val="bottom"/>
          </w:tcPr>
          <w:p>
            <w:pPr>
              <w:jc w:val="center"/>
              <w:ind w:left="1072"/>
              <w:spacing w:after="0"/>
              <w:rPr>
                <w:sz w:val="20"/>
                <w:szCs w:val="20"/>
                <w:color w:val="auto"/>
              </w:rPr>
            </w:pPr>
            <w:r>
              <w:rPr>
                <w:rFonts w:ascii="Arial" w:cs="Arial" w:eastAsia="Arial" w:hAnsi="Arial"/>
                <w:sz w:val="18"/>
                <w:szCs w:val="18"/>
                <w:b w:val="1"/>
                <w:bCs w:val="1"/>
                <w:color w:val="auto"/>
                <w:w w:val="97"/>
              </w:rPr>
              <w:t>3155 PORTER DRIVE, PALO ALTO, CA 94304</w:t>
            </w:r>
          </w:p>
        </w:tc>
        <w:tc>
          <w:tcPr>
            <w:tcW w:w="1600" w:type="dxa"/>
            <w:vAlign w:val="bottom"/>
          </w:tcPr>
          <w:p>
            <w:pPr>
              <w:spacing w:after="0"/>
              <w:rPr>
                <w:sz w:val="24"/>
                <w:szCs w:val="24"/>
                <w:color w:val="auto"/>
              </w:rPr>
            </w:pPr>
          </w:p>
        </w:tc>
      </w:tr>
      <w:tr>
        <w:trPr>
          <w:trHeight w:val="182"/>
        </w:trPr>
        <w:tc>
          <w:tcPr>
            <w:tcW w:w="6140" w:type="dxa"/>
            <w:vAlign w:val="bottom"/>
          </w:tcPr>
          <w:p>
            <w:pPr>
              <w:jc w:val="center"/>
              <w:ind w:left="1092"/>
              <w:spacing w:after="0"/>
              <w:rPr>
                <w:sz w:val="20"/>
                <w:szCs w:val="20"/>
                <w:color w:val="auto"/>
              </w:rPr>
            </w:pPr>
            <w:r>
              <w:rPr>
                <w:rFonts w:ascii="Arial" w:cs="Arial" w:eastAsia="Arial" w:hAnsi="Arial"/>
                <w:sz w:val="14"/>
                <w:szCs w:val="14"/>
                <w:i w:val="1"/>
                <w:iCs w:val="1"/>
                <w:color w:val="auto"/>
                <w:w w:val="94"/>
              </w:rPr>
              <w:t>(Address of principal offices) (zip code)</w:t>
            </w:r>
          </w:p>
        </w:tc>
        <w:tc>
          <w:tcPr>
            <w:tcW w:w="1600" w:type="dxa"/>
            <w:vAlign w:val="bottom"/>
          </w:tcPr>
          <w:p>
            <w:pPr>
              <w:spacing w:after="0"/>
              <w:rPr>
                <w:sz w:val="15"/>
                <w:szCs w:val="15"/>
                <w:color w:val="auto"/>
              </w:rPr>
            </w:pPr>
          </w:p>
        </w:tc>
      </w:tr>
      <w:tr>
        <w:trPr>
          <w:trHeight w:val="291"/>
        </w:trPr>
        <w:tc>
          <w:tcPr>
            <w:tcW w:w="6140" w:type="dxa"/>
            <w:vAlign w:val="bottom"/>
          </w:tcPr>
          <w:p>
            <w:pPr>
              <w:jc w:val="center"/>
              <w:ind w:left="1092"/>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600" w:type="dxa"/>
            <w:vAlign w:val="bottom"/>
          </w:tcPr>
          <w:p>
            <w:pPr>
              <w:spacing w:after="0"/>
              <w:rPr>
                <w:sz w:val="24"/>
                <w:szCs w:val="24"/>
                <w:color w:val="auto"/>
              </w:rPr>
            </w:pPr>
          </w:p>
        </w:tc>
      </w:tr>
      <w:tr>
        <w:trPr>
          <w:trHeight w:val="234"/>
        </w:trPr>
        <w:tc>
          <w:tcPr>
            <w:tcW w:w="6140" w:type="dxa"/>
            <w:vAlign w:val="bottom"/>
          </w:tcPr>
          <w:p>
            <w:pPr>
              <w:jc w:val="center"/>
              <w:ind w:left="1072"/>
              <w:spacing w:after="0"/>
              <w:rPr>
                <w:sz w:val="20"/>
                <w:szCs w:val="20"/>
                <w:color w:val="auto"/>
              </w:rPr>
            </w:pPr>
            <w:r>
              <w:rPr>
                <w:rFonts w:ascii="Arial" w:cs="Arial" w:eastAsia="Arial" w:hAnsi="Arial"/>
                <w:sz w:val="18"/>
                <w:szCs w:val="18"/>
                <w:b w:val="1"/>
                <w:bCs w:val="1"/>
                <w:color w:val="auto"/>
                <w:w w:val="90"/>
              </w:rPr>
              <w:t>(650) 475 3100</w:t>
            </w:r>
          </w:p>
        </w:tc>
        <w:tc>
          <w:tcPr>
            <w:tcW w:w="1600" w:type="dxa"/>
            <w:vAlign w:val="bottom"/>
          </w:tcPr>
          <w:p>
            <w:pPr>
              <w:spacing w:after="0"/>
              <w:rPr>
                <w:sz w:val="20"/>
                <w:szCs w:val="20"/>
                <w:color w:val="auto"/>
              </w:rPr>
            </w:pPr>
          </w:p>
        </w:tc>
      </w:tr>
      <w:tr>
        <w:trPr>
          <w:trHeight w:val="306"/>
        </w:trPr>
        <w:tc>
          <w:tcPr>
            <w:tcW w:w="6140" w:type="dxa"/>
            <w:vAlign w:val="bottom"/>
          </w:tcPr>
          <w:p>
            <w:pPr>
              <w:jc w:val="center"/>
              <w:ind w:left="1092"/>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600" w:type="dxa"/>
            <w:vAlign w:val="bottom"/>
          </w:tcPr>
          <w:p>
            <w:pPr>
              <w:spacing w:after="0"/>
              <w:rPr>
                <w:sz w:val="24"/>
                <w:szCs w:val="24"/>
                <w:color w:val="auto"/>
              </w:rPr>
            </w:pPr>
          </w:p>
        </w:tc>
      </w:tr>
      <w:tr>
        <w:trPr>
          <w:trHeight w:val="234"/>
        </w:trPr>
        <w:tc>
          <w:tcPr>
            <w:tcW w:w="6140" w:type="dxa"/>
            <w:vAlign w:val="bottom"/>
          </w:tcPr>
          <w:p>
            <w:pPr>
              <w:jc w:val="center"/>
              <w:ind w:left="1092"/>
              <w:spacing w:after="0"/>
              <w:rPr>
                <w:sz w:val="20"/>
                <w:szCs w:val="20"/>
                <w:color w:val="auto"/>
              </w:rPr>
            </w:pPr>
            <w:r>
              <w:rPr>
                <w:rFonts w:ascii="Arial" w:cs="Arial" w:eastAsia="Arial" w:hAnsi="Arial"/>
                <w:sz w:val="18"/>
                <w:szCs w:val="18"/>
                <w:b w:val="1"/>
                <w:bCs w:val="1"/>
                <w:color w:val="auto"/>
                <w:w w:val="99"/>
              </w:rPr>
              <w:t>NONE</w:t>
            </w:r>
          </w:p>
        </w:tc>
        <w:tc>
          <w:tcPr>
            <w:tcW w:w="1600" w:type="dxa"/>
            <w:vAlign w:val="bottom"/>
          </w:tcPr>
          <w:p>
            <w:pPr>
              <w:spacing w:after="0"/>
              <w:rPr>
                <w:sz w:val="20"/>
                <w:szCs w:val="20"/>
                <w:color w:val="auto"/>
              </w:rPr>
            </w:pPr>
          </w:p>
        </w:tc>
      </w:tr>
      <w:tr>
        <w:trPr>
          <w:trHeight w:val="324"/>
        </w:trPr>
        <w:tc>
          <w:tcPr>
            <w:tcW w:w="6140" w:type="dxa"/>
            <w:vAlign w:val="bottom"/>
          </w:tcPr>
          <w:p>
            <w:pPr>
              <w:jc w:val="center"/>
              <w:ind w:left="1072"/>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1600" w:type="dxa"/>
            <w:vAlign w:val="bottom"/>
          </w:tcPr>
          <w:p>
            <w:pPr>
              <w:spacing w:after="0"/>
              <w:rPr>
                <w:sz w:val="24"/>
                <w:szCs w:val="24"/>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$.01 PAR VALUE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JUNIOR PREFERRED STOCK PURCHASE RIGHTS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Title of class</w:t>
      </w:r>
    </w:p>
    <w:p>
      <w:pPr>
        <w:spacing w:after="0" w:line="34" w:lineRule="exact"/>
        <w:rPr>
          <w:sz w:val="20"/>
          <w:szCs w:val="20"/>
          <w:color w:val="auto"/>
        </w:rPr>
      </w:pPr>
    </w:p>
    <w:p>
      <w:pPr>
        <w:ind w:right="80" w:firstLine="27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 w:lineRule="exact"/>
        <w:rPr>
          <w:sz w:val="20"/>
          <w:szCs w:val="20"/>
          <w:color w:val="auto"/>
        </w:rPr>
      </w:pPr>
    </w:p>
    <w:p>
      <w:pPr>
        <w:jc w:val="both"/>
        <w:ind w:firstLine="27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 w:lineRule="exact"/>
        <w:rPr>
          <w:sz w:val="20"/>
          <w:szCs w:val="20"/>
          <w:color w:val="auto"/>
        </w:rPr>
      </w:pPr>
    </w:p>
    <w:p>
      <w:pPr>
        <w:ind w:left="280"/>
        <w:spacing w:after="0" w:line="207" w:lineRule="exact"/>
        <w:tabs>
          <w:tab w:leader="none" w:pos="8280" w:val="left"/>
          <w:tab w:leader="none" w:pos="9160" w:val="left"/>
        </w:tabs>
        <w:rPr>
          <w:sz w:val="20"/>
          <w:szCs w:val="20"/>
          <w:color w:val="auto"/>
        </w:rPr>
      </w:pPr>
      <w:r>
        <w:rPr>
          <w:rFonts w:ascii="Arial" w:cs="Arial" w:eastAsia="Arial" w:hAnsi="Arial"/>
          <w:sz w:val="17"/>
          <w:szCs w:val="17"/>
          <w:color w:val="auto"/>
        </w:rPr>
        <w:t>Indicate by check mark whether the registrant is an accelerated filer as defined in Exchange Act Rule 126(2).</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83" w:lineRule="exact"/>
        <w:rPr>
          <w:sz w:val="20"/>
          <w:szCs w:val="20"/>
          <w:color w:val="auto"/>
        </w:rPr>
      </w:pPr>
    </w:p>
    <w:p>
      <w:pPr>
        <w:ind w:right="340" w:firstLine="260"/>
        <w:spacing w:after="0" w:line="264" w:lineRule="auto"/>
        <w:rPr>
          <w:sz w:val="20"/>
          <w:szCs w:val="20"/>
          <w:color w:val="auto"/>
        </w:rPr>
      </w:pPr>
      <w:r>
        <w:rPr>
          <w:rFonts w:ascii="Arial" w:cs="Arial" w:eastAsia="Arial" w:hAnsi="Arial"/>
          <w:sz w:val="18"/>
          <w:szCs w:val="18"/>
          <w:color w:val="auto"/>
        </w:rPr>
        <w:t>Aggregate market value of Common Stock held by non-affiliates at June 30, 2004: $81,006,548.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 outstanding at March 8, 2005: 62,417,451 shares.</w:t>
      </w:r>
    </w:p>
    <w:p>
      <w:pPr>
        <w:spacing w:after="0" w:line="113"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Portions of the registrant’s definitive Proxy Statement relating to the registrant’s 2005 Annual Meeting of Stockholders to be filed with the Commission pursuant to Regulation 14A are incorporated by reference in Part III of this report.</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 LOOKING STATEMENTS</w:t>
      </w:r>
    </w:p>
    <w:p>
      <w:pPr>
        <w:spacing w:after="0" w:line="67" w:lineRule="exact"/>
        <w:rPr>
          <w:sz w:val="20"/>
          <w:szCs w:val="20"/>
          <w:color w:val="auto"/>
        </w:rPr>
      </w:pPr>
    </w:p>
    <w:p>
      <w:pPr>
        <w:ind w:right="300" w:firstLine="267"/>
        <w:spacing w:after="0" w:line="254" w:lineRule="auto"/>
        <w:rPr>
          <w:sz w:val="20"/>
          <w:szCs w:val="20"/>
          <w:color w:val="auto"/>
        </w:rPr>
      </w:pPr>
      <w:r>
        <w:rPr>
          <w:rFonts w:ascii="Arial" w:cs="Arial" w:eastAsia="Arial" w:hAnsi="Arial"/>
          <w:sz w:val="18"/>
          <w:szCs w:val="18"/>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 “MANAGEMENT’S DISCUSSION AND ANALYSIS OF FINANCIAL CONDITION AND RESULTS OF OPERATIONS” AS WELL AS EXHIBIT 99 TO THIS REPORT, ENTITLED “CAUTIONARY FACTORS RELEVANT TO FORWARD-LOOKING INFORMATION.” READERS SHOULD ALSO CAREFULLY REVIEW ANY RISK FACTORS DESCRIBED IN OTHER DOCUMENTS WE FILE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0" w:type="dxa"/>
            <w:vAlign w:val="bottom"/>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2140" w:type="dxa"/>
            <w:vAlign w:val="bottom"/>
            <w:vMerge w:val="restart"/>
          </w:tcPr>
          <w:p>
            <w:pPr>
              <w:spacing w:after="0"/>
              <w:rPr>
                <w:sz w:val="14"/>
                <w:szCs w:val="14"/>
                <w:color w:val="auto"/>
              </w:rPr>
            </w:pPr>
          </w:p>
        </w:tc>
        <w:tc>
          <w:tcPr>
            <w:tcW w:w="640" w:type="dxa"/>
            <w:vAlign w:val="bottom"/>
            <w:vMerge w:val="restart"/>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520" w:type="dxa"/>
            <w:vAlign w:val="bottom"/>
            <w:gridSpan w:val="4"/>
            <w:vMerge w:val="restart"/>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500" w:type="dxa"/>
            <w:vAlign w:val="bottom"/>
            <w:tcBorders>
              <w:bottom w:val="single" w:sz="8" w:color="0000EE"/>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640" w:type="dxa"/>
            <w:vAlign w:val="bottom"/>
            <w:tcBorders>
              <w:bottom w:val="single" w:sz="8" w:color="0000EE"/>
            </w:tcBorders>
            <w:vMerge w:val="continue"/>
          </w:tcPr>
          <w:p>
            <w:pPr>
              <w:spacing w:after="0"/>
              <w:rPr>
                <w:sz w:val="15"/>
                <w:szCs w:val="15"/>
                <w:color w:val="auto"/>
              </w:rPr>
            </w:pPr>
          </w:p>
        </w:tc>
        <w:tc>
          <w:tcPr>
            <w:tcW w:w="7520" w:type="dxa"/>
            <w:vAlign w:val="bottom"/>
            <w:gridSpan w:val="4"/>
            <w:vMerge w:val="continue"/>
          </w:tcPr>
          <w:p>
            <w:pPr>
              <w:spacing w:after="0"/>
              <w:rPr>
                <w:sz w:val="15"/>
                <w:szCs w:val="15"/>
                <w:color w:val="auto"/>
              </w:rPr>
            </w:pPr>
          </w:p>
        </w:tc>
        <w:tc>
          <w:tcPr>
            <w:tcW w:w="4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2.</w:t>
              </w:r>
            </w:hyperlink>
          </w:p>
        </w:tc>
        <w:tc>
          <w:tcPr>
            <w:tcW w:w="2140" w:type="dxa"/>
            <w:vAlign w:val="bottom"/>
          </w:tcPr>
          <w:p>
            <w:pPr>
              <w:spacing w:after="0"/>
              <w:rPr>
                <w:sz w:val="17"/>
                <w:szCs w:val="17"/>
                <w:color w:val="auto"/>
              </w:rPr>
            </w:pPr>
          </w:p>
        </w:tc>
        <w:tc>
          <w:tcPr>
            <w:tcW w:w="8160" w:type="dxa"/>
            <w:vAlign w:val="bottom"/>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3.</w:t>
              </w:r>
            </w:hyperlink>
          </w:p>
        </w:tc>
        <w:tc>
          <w:tcPr>
            <w:tcW w:w="214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6820" w:type="dxa"/>
            <w:vAlign w:val="bottom"/>
            <w:gridSpan w:val="2"/>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4.</w:t>
              </w:r>
            </w:hyperlink>
          </w:p>
        </w:tc>
        <w:tc>
          <w:tcPr>
            <w:tcW w:w="2140" w:type="dxa"/>
            <w:vAlign w:val="bottom"/>
          </w:tcPr>
          <w:p>
            <w:pPr>
              <w:spacing w:after="0"/>
              <w:rPr>
                <w:sz w:val="17"/>
                <w:szCs w:val="17"/>
                <w:color w:val="auto"/>
              </w:rPr>
            </w:pPr>
          </w:p>
        </w:tc>
        <w:tc>
          <w:tcPr>
            <w:tcW w:w="8160" w:type="dxa"/>
            <w:vAlign w:val="bottom"/>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Security Holders</w:t>
              </w:r>
            </w:hyperlink>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122" w:right="2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1560" w:type="dxa"/>
            <w:vAlign w:val="bottom"/>
          </w:tcPr>
          <w:p>
            <w:pPr>
              <w:spacing w:after="0"/>
              <w:rPr>
                <w:sz w:val="17"/>
                <w:szCs w:val="17"/>
                <w:color w:val="auto"/>
              </w:rPr>
            </w:pPr>
          </w:p>
        </w:tc>
        <w:tc>
          <w:tcPr>
            <w:tcW w:w="7960" w:type="dxa"/>
            <w:vAlign w:val="bottom"/>
            <w:gridSpan w:val="16"/>
          </w:tcPr>
          <w:p>
            <w:pPr>
              <w:ind w:left="40"/>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Market for Registrant’s Common Equity, Related Stockholders Matters and Issuer Purchases of Equity</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20" w:type="dxa"/>
            <w:vAlign w:val="bottom"/>
            <w:gridSpan w:val="17"/>
          </w:tcPr>
          <w:p>
            <w:pPr>
              <w:ind w:left="156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Securities</w:t>
              </w:r>
            </w:hyperlink>
          </w:p>
        </w:tc>
        <w:tc>
          <w:tcPr>
            <w:tcW w:w="70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1560" w:type="dxa"/>
            <w:vAlign w:val="bottom"/>
          </w:tcPr>
          <w:p>
            <w:pPr>
              <w:spacing w:after="0"/>
              <w:rPr>
                <w:sz w:val="17"/>
                <w:szCs w:val="17"/>
                <w:color w:val="auto"/>
              </w:rPr>
            </w:pPr>
          </w:p>
        </w:tc>
        <w:tc>
          <w:tcPr>
            <w:tcW w:w="7960" w:type="dxa"/>
            <w:vAlign w:val="bottom"/>
            <w:gridSpan w:val="16"/>
          </w:tcPr>
          <w:p>
            <w:pPr>
              <w:ind w:left="4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7.</w:t>
              </w:r>
            </w:hyperlink>
          </w:p>
        </w:tc>
        <w:tc>
          <w:tcPr>
            <w:tcW w:w="1560" w:type="dxa"/>
            <w:vAlign w:val="bottom"/>
          </w:tcPr>
          <w:p>
            <w:pPr>
              <w:spacing w:after="0"/>
              <w:rPr>
                <w:sz w:val="17"/>
                <w:szCs w:val="17"/>
                <w:color w:val="auto"/>
              </w:rPr>
            </w:pPr>
          </w:p>
        </w:tc>
        <w:tc>
          <w:tcPr>
            <w:tcW w:w="7960" w:type="dxa"/>
            <w:vAlign w:val="bottom"/>
            <w:gridSpan w:val="16"/>
          </w:tcPr>
          <w:p>
            <w:pPr>
              <w:ind w:left="4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Item 7A.</w:t>
              </w:r>
            </w:hyperlink>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20" w:type="dxa"/>
            <w:vAlign w:val="bottom"/>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6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8.</w:t>
              </w:r>
            </w:hyperlink>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Financial Statements and/supplementary Data</w:t>
              </w:r>
            </w:hyperlink>
          </w:p>
        </w:tc>
        <w:tc>
          <w:tcPr>
            <w:tcW w:w="362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9.</w:t>
              </w:r>
            </w:hyperlink>
          </w:p>
        </w:tc>
        <w:tc>
          <w:tcPr>
            <w:tcW w:w="46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20" w:type="dxa"/>
            <w:vAlign w:val="bottom"/>
            <w:gridSpan w:val="1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Changes In and Disagreements With Accountants on Accounting and Financial Disclosure</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Item 9A.</w:t>
              </w:r>
            </w:hyperlink>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20" w:type="dxa"/>
            <w:vAlign w:val="bottom"/>
            <w:gridSpan w:val="1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Controls and Procedures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Item 10.</w:t>
              </w:r>
            </w:hyperlink>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Directors and Executive Officers of the Registrant</w:t>
              </w:r>
            </w:hyperlink>
          </w:p>
        </w:tc>
        <w:tc>
          <w:tcPr>
            <w:tcW w:w="430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11.</w:t>
              </w:r>
            </w:hyperlink>
          </w:p>
        </w:tc>
        <w:tc>
          <w:tcPr>
            <w:tcW w:w="1560" w:type="dxa"/>
            <w:vAlign w:val="bottom"/>
          </w:tcPr>
          <w:p>
            <w:pPr>
              <w:spacing w:after="0"/>
              <w:rPr>
                <w:sz w:val="17"/>
                <w:szCs w:val="17"/>
                <w:color w:val="auto"/>
              </w:rPr>
            </w:pPr>
          </w:p>
        </w:tc>
        <w:tc>
          <w:tcPr>
            <w:tcW w:w="7960" w:type="dxa"/>
            <w:vAlign w:val="bottom"/>
            <w:gridSpan w:val="16"/>
          </w:tcPr>
          <w:p>
            <w:pPr>
              <w:ind w:left="4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Executive Compensation</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Item 12.</w:t>
              </w:r>
            </w:hyperlink>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Security Ownership of Certain Beneficial Owners and Management and Related Stockholder Matters</w:t>
              </w:r>
            </w:hyperlink>
          </w:p>
        </w:tc>
        <w:tc>
          <w:tcPr>
            <w:tcW w:w="62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Item 13.</w:t>
              </w:r>
            </w:hyperlink>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Certain Relationships and Related Transactions</w:t>
              </w:r>
            </w:hyperlink>
          </w:p>
        </w:tc>
        <w:tc>
          <w:tcPr>
            <w:tcW w:w="450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Item 14.</w:t>
              </w:r>
            </w:hyperlink>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Principal Accountant Fees and Services</w:t>
              </w:r>
            </w:hyperlink>
          </w:p>
        </w:tc>
        <w:tc>
          <w:tcPr>
            <w:tcW w:w="506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Item 15.</w:t>
              </w:r>
            </w:hyperlink>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Exhibits and Financial Statement Schedules</w:t>
              </w:r>
            </w:hyperlink>
          </w:p>
        </w:tc>
        <w:tc>
          <w:tcPr>
            <w:tcW w:w="4760" w:type="dxa"/>
            <w:vAlign w:val="bottom"/>
            <w:gridSpan w:val="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10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EXHIBIT 23.1</w:t>
            </w: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0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EXHIBIT 23.2</w:t>
            </w: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0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EXHIBIT 31.1</w:t>
            </w: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We are engaged in research aimed at the development of therapies that would use stem and progenitor cells to treat, and possibly cure, human diseases and injuries such as neurodegenerative diseases (for instance, Batten’s, Parkinson’s, and Alzheimer’s diseases, and other metabolic genetic disorders), demyelinating disorders (for instance, Multiple Sclerosis), spinal cord injuries, stroke, hepatitis, chronic liver failure, and diabetes. 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use cells derived from fetal or adult tissue sources, and are not developing embryonic stem cells for therapeutic use. Neither are we involved in any activity directed toward human cloning; our programs are all directed toward the use of tissue-derived cells for treating or curing diseases and injuries.</w:t>
      </w:r>
    </w:p>
    <w:p>
      <w:pPr>
        <w:spacing w:after="0" w:line="74" w:lineRule="exact"/>
        <w:rPr>
          <w:sz w:val="20"/>
          <w:szCs w:val="20"/>
          <w:color w:val="auto"/>
        </w:rPr>
      </w:pPr>
    </w:p>
    <w:p>
      <w:pPr>
        <w:ind w:right="140" w:firstLine="270"/>
        <w:spacing w:after="0" w:line="279" w:lineRule="auto"/>
        <w:rPr>
          <w:sz w:val="20"/>
          <w:szCs w:val="20"/>
          <w:color w:val="auto"/>
        </w:rPr>
      </w:pPr>
      <w:r>
        <w:rPr>
          <w:rFonts w:ascii="Arial" w:cs="Arial" w:eastAsia="Arial" w:hAnsi="Arial"/>
          <w:sz w:val="17"/>
          <w:szCs w:val="17"/>
          <w:color w:val="auto"/>
        </w:rPr>
        <w:t>Many diseases, such as Alzheimer’s, Parkinson’s, lysosomal storage diseases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that these neural, liver and pancreatic conditions affect more than 50 million people in the United States and account for more than $300 billion annually in health care costs.(1)</w:t>
      </w:r>
    </w:p>
    <w:p>
      <w:pPr>
        <w:spacing w:after="0" w:line="63"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Our stem cell discovery engine relies upon our state of the art cell sorting capabilities and our library of proprietary monoclonal antibodies to human proteins. Using this library of monoclonal antibodies, we have successfully identified, purified, and characterized the human central nervous system stem cell. We have also used our proprietary monoclonal antibodies to make significant advances in our search for stem or progenitor cells of the liver and the pancreas. We have established an intellectual property position in all three areas of our stem cell research — the nervous system, the liver and the pancreas — 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are concentrating our efforts on the preclinical and clinical development of our neural stem cell program and research endeavors in characterizing the candidate stem/progenitor cells for the liver and pancreas programs.</w:t>
      </w:r>
    </w:p>
    <w:p>
      <w:pPr>
        <w:spacing w:after="0" w:line="84"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In late December 2004, we submitted our first Investigational New Drug application (IND), for a clinical trial in Batten Disease. That IND is currently on clinical hold, and discussions with the U.S. Food and Drug Administration (FDA) are continuing as the Company formulates plans to respond to the FDA’s questions and concerns.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 Therapy Background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Role of Cells in Human Health and Traditional Therapies</w:t>
      </w:r>
    </w:p>
    <w:p>
      <w:pPr>
        <w:spacing w:after="0" w:line="117" w:lineRule="exact"/>
        <w:rPr>
          <w:sz w:val="20"/>
          <w:szCs w:val="20"/>
          <w:color w:val="auto"/>
        </w:rPr>
      </w:pPr>
    </w:p>
    <w:p>
      <w:pPr>
        <w:ind w:right="1240" w:firstLine="270"/>
        <w:spacing w:after="0" w:line="277" w:lineRule="auto"/>
        <w:rPr>
          <w:sz w:val="20"/>
          <w:szCs w:val="20"/>
          <w:color w:val="auto"/>
        </w:rPr>
      </w:pPr>
      <w:r>
        <w:rPr>
          <w:rFonts w:ascii="Arial" w:cs="Arial" w:eastAsia="Arial" w:hAnsi="Arial"/>
          <w:sz w:val="18"/>
          <w:szCs w:val="18"/>
          <w:color w:val="auto"/>
        </w:rPr>
        <w:t>Cells maintain normal physiological function in healthy individuals by secreting or metabolizing substances, such as sugars, amino acids, neurotransmitters and hormones, which are essential to life.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40" w:firstLine="278"/>
        <w:spacing w:after="0" w:line="257" w:lineRule="auto"/>
        <w:tabs>
          <w:tab w:leader="none" w:pos="52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estimate is based on information from the Alzheimer’s Association, the Alzheimer’s Disease Education &amp; Referral Center (National Institute on Aging), the National Institutes of Health’s National Institute on Neurological Disorders and Stroke, the Foundation for Spinal Cord Injury Prevention, Care &amp; Cure, the Centers for Disease Control and Prevention, the American Association of Diabetes Educators, the University of Georgia College of Pharmacy, the Wisconsin Chapter of the Huntington’s Disease Society of America, the Cincinnati Children’s Hospital Medical Center, JAIDs, the American Liver Foundation, the Northwest Parkinson’s Foundation and the Parkinson’s Action Network.</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cells are damaged or destroyed, they no longer produce, metabolize or accurately regulate those substances. Impaired cellular function is associated with the progressive decline common to many degenerative diseases of the nervous system, such as Parkinson’s disease and Alzheimer’s disease. Recent advances in medical science have identified cell loss or impaired cellular function as leading causes of degenerative diseases. Biotechnology advances have led to the identification of some of the specific substances or proteins that are deficient in some diseases, such as dopamine which is deficient in the brains of individuals with Parkinson’s disease as a result of the loss of dopamine producing neurons.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regulation and quantities or for the duration required to cure the degenerative condition. Cells, however, can do this naturally. As a result, investigators have considered supplementing the failing cells that are no longer producing the needed substances or proteins by implanting stem or progenitor cells. Where there has been irreversible tissue damage or organ failure, transplantation of these stem or progenitor cells offers the possibility of generating new and healthy mature cells, thus potentially restoring the organ function and the patient’s health.</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Potential of our Tissue-Derived Stem Cell-Based Therapy</w:t>
      </w:r>
    </w:p>
    <w:p>
      <w:pPr>
        <w:spacing w:after="0" w:line="117" w:lineRule="exact"/>
        <w:rPr>
          <w:sz w:val="20"/>
          <w:szCs w:val="20"/>
          <w:color w:val="auto"/>
        </w:rPr>
      </w:pPr>
    </w:p>
    <w:p>
      <w:pPr>
        <w:ind w:right="80" w:firstLine="267"/>
        <w:spacing w:after="0" w:line="308" w:lineRule="auto"/>
        <w:rPr>
          <w:sz w:val="20"/>
          <w:szCs w:val="20"/>
          <w:color w:val="auto"/>
        </w:rPr>
      </w:pPr>
      <w:r>
        <w:rPr>
          <w:rFonts w:ascii="Arial" w:cs="Arial" w:eastAsia="Arial" w:hAnsi="Arial"/>
          <w:sz w:val="17"/>
          <w:szCs w:val="17"/>
          <w:color w:val="auto"/>
        </w:rPr>
        <w:t>We believe that, if successfully developed, stem cell-based therapy — the use of stem or progenitor cells to treat diseases — has the potential to provide a broad therapeutic approach comparable in importance to traditional pharmaceuticals and genetically engineered biologics.</w:t>
      </w:r>
    </w:p>
    <w:p>
      <w:pPr>
        <w:spacing w:after="0" w:line="38"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such cells can often be obtained only through significant surgical procedures. The challenge, therefore, has been three-fold:</w:t>
      </w:r>
    </w:p>
    <w:p>
      <w:pPr>
        <w:spacing w:after="0" w:line="73" w:lineRule="exact"/>
        <w:rPr>
          <w:sz w:val="20"/>
          <w:szCs w:val="20"/>
          <w:color w:val="auto"/>
        </w:rPr>
      </w:pPr>
    </w:p>
    <w:p>
      <w:pPr>
        <w:ind w:left="820" w:hanging="19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identify the stem or progenitor cells of a particular organ;</w:t>
      </w:r>
    </w:p>
    <w:p>
      <w:pPr>
        <w:spacing w:after="0" w:line="130" w:lineRule="exact"/>
        <w:rPr>
          <w:rFonts w:ascii="Arial" w:cs="Arial" w:eastAsia="Arial" w:hAnsi="Arial"/>
          <w:sz w:val="18"/>
          <w:szCs w:val="18"/>
          <w:color w:val="auto"/>
        </w:rPr>
      </w:pPr>
    </w:p>
    <w:p>
      <w:pPr>
        <w:ind w:left="820" w:hanging="191"/>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create techniques and processes that can be used to expand these rare cells in sufficient quantities to transplant into multiple patients; and</w:t>
      </w:r>
    </w:p>
    <w:p>
      <w:pPr>
        <w:spacing w:after="0" w:line="153" w:lineRule="exact"/>
        <w:rPr>
          <w:rFonts w:ascii="Arial" w:cs="Arial" w:eastAsia="Arial" w:hAnsi="Arial"/>
          <w:sz w:val="16"/>
          <w:szCs w:val="16"/>
          <w:color w:val="auto"/>
        </w:rPr>
      </w:pPr>
    </w:p>
    <w:p>
      <w:pPr>
        <w:ind w:left="360" w:right="100" w:firstLine="269"/>
        <w:spacing w:after="0" w:line="277" w:lineRule="auto"/>
        <w:tabs>
          <w:tab w:leader="none" w:pos="82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establish a bank of normal human stem or progenitor cells that can be used for transplantation into individuals whose own cells are not suitable because of disease or other reasons.</w:t>
      </w:r>
    </w:p>
    <w:p>
      <w:pPr>
        <w:spacing w:after="0" w:line="62" w:lineRule="exact"/>
        <w:rPr>
          <w:sz w:val="20"/>
          <w:szCs w:val="20"/>
          <w:color w:val="auto"/>
        </w:rPr>
      </w:pPr>
    </w:p>
    <w:p>
      <w:pPr>
        <w:ind w:right="140" w:firstLine="267"/>
        <w:spacing w:after="0" w:line="259" w:lineRule="auto"/>
        <w:rPr>
          <w:sz w:val="20"/>
          <w:szCs w:val="20"/>
          <w:color w:val="auto"/>
        </w:rPr>
      </w:pPr>
      <w:r>
        <w:rPr>
          <w:rFonts w:ascii="Arial" w:cs="Arial" w:eastAsia="Arial" w:hAnsi="Arial"/>
          <w:sz w:val="18"/>
          <w:szCs w:val="18"/>
          <w:color w:val="auto"/>
        </w:rPr>
        <w:t>We have developed techniques for discovering novel monoclonal antibodies that can be used to label markers on the cell surface to identify and isolate specific cell types, and particularly stem and progenitor cells. This methodology allows us to purify the stem cell population and eliminate other unwanted cell types. For example, we have discovered and patented the use of monoclonal antibodies to identify human central nervous system, or CNS, stem cells, as well as a candidate human liver stem-like cell and a candidate pancreatic stem/progenitor cell.</w:t>
      </w:r>
    </w:p>
    <w:p>
      <w:pPr>
        <w:spacing w:after="0" w:line="79" w:lineRule="exact"/>
        <w:rPr>
          <w:sz w:val="20"/>
          <w:szCs w:val="20"/>
          <w:color w:val="auto"/>
        </w:rPr>
      </w:pPr>
    </w:p>
    <w:p>
      <w:pPr>
        <w:ind w:right="260" w:firstLine="267"/>
        <w:spacing w:after="0" w:line="257" w:lineRule="auto"/>
        <w:rPr>
          <w:sz w:val="20"/>
          <w:szCs w:val="20"/>
          <w:color w:val="auto"/>
        </w:rPr>
      </w:pPr>
      <w:r>
        <w:rPr>
          <w:rFonts w:ascii="Arial" w:cs="Arial" w:eastAsia="Arial" w:hAnsi="Arial"/>
          <w:sz w:val="18"/>
          <w:szCs w:val="18"/>
          <w:color w:val="auto"/>
        </w:rPr>
        <w:t xml:space="preserve">We have also developed a process, based on a proprietary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culture system in chemically defined media, that reproducibly grows normal human CNS, stem and progenitor cells. We believe this is the first reproducible process for growing normal human CNS stem cells. Together, these discoveries enable us to select normal human CNS stem cells and to expand them in culture to produce a large number of pure stem cells. This process facilitates the banking of large quantities of individual vials of these cells, which could then be used for distribution to transplant centers worldwide for administration to patients.</w:t>
      </w:r>
    </w:p>
    <w:p>
      <w:pPr>
        <w:spacing w:after="0" w:line="80"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be used to restore function by replacing specific cells that have been damaged or destroyed. In our research, we have shown that when human stem cells of the central nervous system are transplanted into animals, they are accepted, migrate, and successfully specialize to produce mature neurons and glial cells.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270"/>
        <w:spacing w:after="0" w:line="264" w:lineRule="auto"/>
        <w:rPr>
          <w:sz w:val="20"/>
          <w:szCs w:val="20"/>
          <w:color w:val="auto"/>
        </w:rPr>
      </w:pPr>
      <w:r>
        <w:rPr>
          <w:rFonts w:ascii="Arial" w:cs="Arial" w:eastAsia="Arial" w:hAnsi="Arial"/>
          <w:sz w:val="18"/>
          <w:szCs w:val="18"/>
          <w:color w:val="auto"/>
        </w:rPr>
        <w:t>More generally, because the tissue-derived stem cell is the pivotal cell that produces all the functional mature cell types of the organ from which it originates, we believe these cells, if successfully identified, expanded and stored as frozen cell banks, may serve as platforms for five major areas of regenerative medicine and biotechnology:</w:t>
      </w:r>
    </w:p>
    <w:p>
      <w:pPr>
        <w:spacing w:after="0" w:line="73"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tissue repair and replacement,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correction of genetic disorders,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discovery and screening,</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 discovery and use,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diagnostics.</w:t>
      </w:r>
    </w:p>
    <w:p>
      <w:pPr>
        <w:spacing w:after="0" w:line="117" w:lineRule="exact"/>
        <w:rPr>
          <w:sz w:val="20"/>
          <w:szCs w:val="20"/>
          <w:color w:val="auto"/>
        </w:rPr>
      </w:pPr>
    </w:p>
    <w:p>
      <w:pPr>
        <w:jc w:val="both"/>
        <w:ind w:right="40" w:firstLine="267"/>
        <w:spacing w:after="0" w:line="264" w:lineRule="auto"/>
        <w:rPr>
          <w:sz w:val="20"/>
          <w:szCs w:val="20"/>
          <w:color w:val="auto"/>
        </w:rPr>
      </w:pPr>
      <w:r>
        <w:rPr>
          <w:rFonts w:ascii="Arial" w:cs="Arial" w:eastAsia="Arial" w:hAnsi="Arial"/>
          <w:sz w:val="18"/>
          <w:szCs w:val="18"/>
          <w:color w:val="auto"/>
        </w:rPr>
        <w:t>We intend to research, develop, and commercialize the therapeutic uses of our stem and progenitor cells alone or in partnership with third parties. We also intend to monetize non-core uses of our stem cell technology, such as diagnostics, gene discovery and use, drug discovery and drug screening, by engaging in a number of non-exclusive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 Cell Technology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Stem cells have two defining characteristics:</w:t>
      </w:r>
    </w:p>
    <w:p>
      <w:pPr>
        <w:spacing w:after="0" w:line="117" w:lineRule="exact"/>
        <w:rPr>
          <w:sz w:val="20"/>
          <w:szCs w:val="20"/>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some of the cells developed from stem cells produce all the kinds of mature cells making up the particular organ;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they self renew — that is, other cells developed from stem cells are themselves new stem cells, thus permitting the process to continue again and again.</w:t>
      </w:r>
    </w:p>
    <w:p>
      <w:pPr>
        <w:spacing w:after="0" w:line="140"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Stem cells are known to exist for a number of systems of the human body, including the blood and immune system, the central and peripheral nervous systems (including the brain), the skin, bone, and even the hair. They are thought to exist for many others, including the liver and pancreas endocrine systems, gut, muscle, and heart. Stem cells are responsible for organ regeneration during normal cell replacement and, to greater or lesser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50" w:lineRule="exact"/>
        <w:rPr>
          <w:sz w:val="20"/>
          <w:szCs w:val="20"/>
          <w:color w:val="auto"/>
        </w:rPr>
      </w:pPr>
    </w:p>
    <w:p>
      <w:pPr>
        <w:ind w:right="280" w:firstLine="267"/>
        <w:spacing w:after="0" w:line="264" w:lineRule="auto"/>
        <w:rPr>
          <w:sz w:val="20"/>
          <w:szCs w:val="20"/>
          <w:color w:val="auto"/>
        </w:rPr>
      </w:pPr>
      <w:r>
        <w:rPr>
          <w:rFonts w:ascii="Arial" w:cs="Arial" w:eastAsia="Arial" w:hAnsi="Arial"/>
          <w:sz w:val="18"/>
          <w:szCs w:val="18"/>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73"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Our strategy is to be the first to identify, isolate and patent multiple types of human stem and progenitor cells, derived from human tissue, with commercial importance. We have also obtained rights to certain inventions relating to stem cells and progenitor cells from academic institutions. We expect to continue to expand our search for, and to seek to acquire rights from third parties relating to, new stem and progenitor cells, and to further develop our intellectual property positions with respect to them in-house and through research at scholarly institutions. Our portfolio of issued patents includes a method of culturing normal human central nervous system stem and progenitor cells in our proprietary chemically defined media, and our published studies show that these cultured and expanded cells give rise to all three major cell types of the central nervous system. In rodents, we have shown that these cells exhibit the unique properties of stem cells: They migrate and colonize throughout the organ from which they were derived and mature into the specialized cells, such as neurons and glial cells, that are normally found in that region of the organ. We also have patent applications pending in connection with our search for liver and pancreas stem and progenitor cells.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Neurological disorders such as Parkinson’s disease, Alzheimer’s disease, the side effects of stroke, and the neural degeneration that accompanies genetic disorders such as Gaucher’s Disease, Tay-Sachs Disease, and Batten Disease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some of these diseases.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Our Neural Stem Cell Program</w:t>
      </w:r>
    </w:p>
    <w:p>
      <w:pPr>
        <w:spacing w:after="0" w:line="117" w:lineRule="exact"/>
        <w:rPr>
          <w:sz w:val="20"/>
          <w:szCs w:val="20"/>
          <w:color w:val="auto"/>
        </w:rPr>
      </w:pPr>
    </w:p>
    <w:p>
      <w:pPr>
        <w:ind w:right="40" w:firstLine="267"/>
        <w:spacing w:after="0" w:line="270" w:lineRule="auto"/>
        <w:rPr>
          <w:sz w:val="20"/>
          <w:szCs w:val="20"/>
          <w:color w:val="auto"/>
        </w:rPr>
      </w:pPr>
      <w:r>
        <w:rPr>
          <w:rFonts w:ascii="Arial" w:cs="Arial" w:eastAsia="Arial" w:hAnsi="Arial"/>
          <w:sz w:val="17"/>
          <w:szCs w:val="17"/>
          <w:color w:val="auto"/>
        </w:rPr>
        <w:t>We have published the results of a study showing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We own or have exclusive licenses to U.S. patents on this process, as well as issued patents and pending patent applications for compositions of matter.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are the exclusive licensee of a U.S. patent issued in December, 2002, covering the transplantation of central nervous system stem cells (U.S. Patent No. 6,497,872, “Neural transplantation using proliferated multipotent neural stem cells and their progeny”). We have also filed patent applications covering the growth and expansion of these purified normal human central nervous system cells.</w:t>
      </w:r>
    </w:p>
    <w:p>
      <w:pPr>
        <w:spacing w:after="0" w:line="74"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In 2001, we also announced the results of a new study (published in 2002) in which we used novel human specific monoclonal antibodies to demonstrate the extent of engraftment, migration and site-specific formation of the human neural stem cells into mature neurons. These neuronal cells integrate in a 3-dimensional array within the normal architecture of the mouse brain. Astrocytes and oligodendrocytes, the other two principle types of central nervous system cells, are also generated from the human neural stem cells.</w:t>
      </w:r>
    </w:p>
    <w:p>
      <w:pPr>
        <w:spacing w:after="0" w:line="79"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In 2003, we announced results of three preclinical studies showing proof of principle of the human CNS-SC for a neurodegenerative disease using the mouse model for Infantile Batten Disease (a rare lysosomal storage disease), for spinal cord injury using a spinal cord crush mouse model and for myelination in the shiverer mouse model. We also demonstrated in a mouse model for the Batten disease mouse model that the Company’s human CNS-SC engraft, migrate throughout the brain and produce the enzyme that is missing in this transgenic mouse. The transplanted human cells are able to neuroprotect specific neurons, in the transgenic mouse, from death and quantitatively reduce the insoluble storage material in the brain, a characteristic hallmark of this disease. We discussed these results with the FDA, and began preparations toward the filing of an Investigational New Drug application (IND).</w:t>
      </w:r>
    </w:p>
    <w:p>
      <w:pPr>
        <w:spacing w:after="0" w:line="57" w:lineRule="exact"/>
        <w:rPr>
          <w:sz w:val="20"/>
          <w:szCs w:val="20"/>
          <w:color w:val="auto"/>
        </w:rPr>
      </w:pPr>
    </w:p>
    <w:p>
      <w:pPr>
        <w:ind w:firstLine="260"/>
        <w:spacing w:after="0" w:line="257" w:lineRule="auto"/>
        <w:rPr>
          <w:sz w:val="20"/>
          <w:szCs w:val="20"/>
          <w:color w:val="auto"/>
        </w:rPr>
      </w:pPr>
      <w:r>
        <w:rPr>
          <w:rFonts w:ascii="Arial" w:cs="Arial" w:eastAsia="Arial" w:hAnsi="Arial"/>
          <w:sz w:val="18"/>
          <w:szCs w:val="18"/>
          <w:color w:val="auto"/>
        </w:rPr>
        <w:t>At the October, 2004 Society for Neuroscience meeting in San Diego, the Company presented an update to the preclinical data demonstrating the secretion from the human neural stem cells of the enzyme that is missing in Batten disease. The secreted enzyme can be taken up by cells in culture derived from Batten’s patients, which provides additional evidence for the Company’s hypothesis that these purified and expanded human neural stem cells may provide a source of enzyme to deficient cells. The Company also presented data in the transgenic mouse model for Batten disease showing the steady rise in enzyme levels in the brains of these mice over time.</w:t>
      </w:r>
    </w:p>
    <w:p>
      <w:pPr>
        <w:spacing w:after="0" w:line="80" w:lineRule="exact"/>
        <w:rPr>
          <w:sz w:val="20"/>
          <w:szCs w:val="20"/>
          <w:color w:val="auto"/>
        </w:rPr>
      </w:pPr>
    </w:p>
    <w:p>
      <w:pPr>
        <w:ind w:right="60" w:firstLine="270"/>
        <w:spacing w:after="0" w:line="297" w:lineRule="auto"/>
        <w:rPr>
          <w:sz w:val="20"/>
          <w:szCs w:val="20"/>
          <w:color w:val="auto"/>
        </w:rPr>
      </w:pPr>
      <w:r>
        <w:rPr>
          <w:rFonts w:ascii="Arial" w:cs="Arial" w:eastAsia="Arial" w:hAnsi="Arial"/>
          <w:sz w:val="16"/>
          <w:szCs w:val="16"/>
          <w:color w:val="auto"/>
        </w:rPr>
        <w:t>In late December 2004, the Company filed an IND for a Phase I clinical trial of StemCells’ proprietary neural cell therapy product (HuCNS SC)-in Batten disease. The FDA has informed the Company that it has suggestions and questions related to the proposed trial that require additional information from the Company and has placed the proposed trial on clinical hold. StemCells expects to be in active dialogue with the FDA to address the outstanding issues. We note that none of the FDA’s suggestions or questions are related to contaminated embryonic stem cells that have been the matter of media attention. StemCells, Inc. does not use embryonic stem cells, and does not use mouse feeder cells in any way in preparing its stem cells. All cells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prepared by StemCells, Inc. are grown in serum-free media and do not come into contact with cells from animals.</w:t>
      </w:r>
    </w:p>
    <w:p>
      <w:pPr>
        <w:spacing w:after="0" w:line="117" w:lineRule="exact"/>
        <w:rPr>
          <w:sz w:val="20"/>
          <w:szCs w:val="20"/>
          <w:color w:val="auto"/>
        </w:rPr>
      </w:pPr>
    </w:p>
    <w:p>
      <w:pPr>
        <w:ind w:right="40" w:firstLine="267"/>
        <w:spacing w:after="0" w:line="289" w:lineRule="auto"/>
        <w:rPr>
          <w:sz w:val="20"/>
          <w:szCs w:val="20"/>
          <w:color w:val="auto"/>
        </w:rPr>
      </w:pPr>
      <w:r>
        <w:rPr>
          <w:rFonts w:ascii="Arial" w:cs="Arial" w:eastAsia="Arial" w:hAnsi="Arial"/>
          <w:sz w:val="16"/>
          <w:szCs w:val="16"/>
          <w:color w:val="auto"/>
        </w:rPr>
        <w:t>The Company’s proprietary human neural stem cells have also shown promising results in preclinical results in spinal cord injury. Drs. Aileen Anderson and Brian Cummings of the Reeve-Irvine Center at the University of California presented the data from their study in mice at theTenth Annual Conference of the American Society for Neural Transplantation and Repair on May 2, 2003, showing that the Company’s stem cell technology has the potential to protect and regenerate damaged nerves and nerve fibers in patients with spinal cord injuries. In quantitative tests designed to measure functional recovery from complete hind limb paralysis to normal walking, the Company’s researchers reported that injured mice transplanted with the Company’s human neural stem cells (hCNS-SC) showed improved motor function compared to control animals. Inspection of the spinal cords from these mice showed significant levels of human neural cells derived from the transplanted stem cells. Previously, injured rats have been given stem cells from other rats or mice, but not stem cells from humans. The performance of the human cells in this rodent injury model suggests the possibility that similar results may be obtainable in humans. We believe that the significance of this study is that there is now hope in treating two aspects of spinal cord injury: nerve damage and loss of motor function.</w:t>
      </w:r>
    </w:p>
    <w:p>
      <w:pPr>
        <w:spacing w:after="0" w:line="59" w:lineRule="exact"/>
        <w:rPr>
          <w:sz w:val="20"/>
          <w:szCs w:val="20"/>
          <w:color w:val="auto"/>
        </w:rPr>
      </w:pPr>
    </w:p>
    <w:p>
      <w:pPr>
        <w:ind w:right="120" w:firstLine="270"/>
        <w:spacing w:after="0" w:line="293" w:lineRule="auto"/>
        <w:rPr>
          <w:sz w:val="20"/>
          <w:szCs w:val="20"/>
          <w:color w:val="auto"/>
        </w:rPr>
      </w:pPr>
      <w:r>
        <w:rPr>
          <w:rFonts w:ascii="Arial" w:cs="Arial" w:eastAsia="Arial" w:hAnsi="Arial"/>
          <w:sz w:val="16"/>
          <w:szCs w:val="16"/>
          <w:color w:val="auto"/>
        </w:rPr>
        <w:t>In November 2003, the Company presented data at the 33rd Annual Society for Neuroscience Meeting showing production of myelin, the insulator for nerve cells. In the mutant shiverer mouse, which is deficient in myelin production, transplantation of hCNS-SC into the brain resulted in widespread engraftment of human cells that matured into oligodendrocytes, the myelin producing cells. Analysis of the brain tissue of these mice shows the human cells juxtaposed to the mouse nerves where the myelin produced by the human cells now ensheath the mouse nerve, providing the proper layers of insulation. Further studies are in progress to demonstrate proper function of the newly produced myelin. Loss of myelin characterizes conditions such as spinal cord injury, multiple sclerosis, cerebral palsy and certain genetic disorders (for example, Krabbe’s disease, metachormatic leukodystrophy, Tay Sachs disease).</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Our Other Stem Cell Programs</w:t>
      </w:r>
    </w:p>
    <w:p>
      <w:pPr>
        <w:spacing w:after="0" w:line="117" w:lineRule="exact"/>
        <w:rPr>
          <w:sz w:val="20"/>
          <w:szCs w:val="20"/>
          <w:color w:val="auto"/>
        </w:rPr>
      </w:pPr>
    </w:p>
    <w:p>
      <w:pPr>
        <w:ind w:right="360" w:firstLine="267"/>
        <w:spacing w:after="0" w:line="259" w:lineRule="auto"/>
        <w:rPr>
          <w:sz w:val="20"/>
          <w:szCs w:val="20"/>
          <w:color w:val="auto"/>
        </w:rPr>
      </w:pPr>
      <w:r>
        <w:rPr>
          <w:rFonts w:ascii="Arial" w:cs="Arial" w:eastAsia="Arial" w:hAnsi="Arial"/>
          <w:sz w:val="18"/>
          <w:szCs w:val="18"/>
          <w:color w:val="auto"/>
        </w:rPr>
        <w:t>We continue to advance our research programs on the candidate liver and pancreas stem and/or progenitor cells. Liver stem cells may be useful in the treatment of diseases such as hepatitis, liver failure, blood-clotting disorder, cirrhosis of the liver and liver cancer. Islet cells are the pancreas cells that produce insulin, so pancreatic stem cells may be useful in the treatment of Type 1 diabetes and those cases of Type 2 diabetes where insulin secretion is defective. These programs are discussed below.</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Note on State and Federal Grants</w:t>
      </w:r>
    </w:p>
    <w:p>
      <w:pPr>
        <w:spacing w:after="0" w:line="117"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In November 2004, California State Proposition 71 (Prop. 71), the California Stem Cell Research and Cures Initiative, was adopted by the electorate. It is intended to encourage stem cell research in the State of California, and to finance such research with State funds of approximately $295 million annually for 10 years beginning with 2005. It is our understanding that the California Institute for Regenerative Medicine to be created under the Initiative will provide grants, primarily but not exclusively to academic institutions, to advance both embryonic stem cell research and adult stem cell research; the latter is the current and exclusive focus at StemCells. StemCells, Inc. is eligible to receive Prop. 71 generated funds and we do intend to apply for such funding. We also remain eligible for federal government support from the National Institute of Health (NIH) due to our focus on adult stem cells. NIH grants to the Company or to its academic collaborators assist research in the use of our cells for various diseases and conditions such as Alzheimer’s disease and spinal cord injuries. Prop. 71 funds will not go to any project that receives NIH funding. The Company considers government grants to be important confirmation of the quality of its science and intellectual property, but does not rely on them as a significant source of financial support.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Advantages of Our Stem Cell Technology</w:t>
      </w:r>
    </w:p>
    <w:p>
      <w:pPr>
        <w:spacing w:after="0" w:line="121" w:lineRule="exact"/>
        <w:rPr>
          <w:sz w:val="20"/>
          <w:szCs w:val="20"/>
          <w:color w:val="auto"/>
        </w:rPr>
      </w:pPr>
    </w:p>
    <w:p>
      <w:pPr>
        <w:ind w:left="1040" w:hanging="681"/>
        <w:spacing w:after="0"/>
        <w:tabs>
          <w:tab w:leader="none" w:pos="10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Other Treatment</w:t>
      </w:r>
    </w:p>
    <w:p>
      <w:pPr>
        <w:spacing w:after="0" w:line="117" w:lineRule="exact"/>
        <w:rPr>
          <w:sz w:val="20"/>
          <w:szCs w:val="20"/>
          <w:color w:val="auto"/>
        </w:rPr>
      </w:pPr>
    </w:p>
    <w:p>
      <w:pPr>
        <w:ind w:right="120" w:firstLine="267"/>
        <w:spacing w:after="0" w:line="257" w:lineRule="auto"/>
        <w:rPr>
          <w:sz w:val="20"/>
          <w:szCs w:val="20"/>
          <w:color w:val="auto"/>
        </w:rPr>
      </w:pPr>
      <w:r>
        <w:rPr>
          <w:rFonts w:ascii="Arial" w:cs="Arial" w:eastAsia="Arial" w:hAnsi="Arial"/>
          <w:sz w:val="18"/>
          <w:szCs w:val="18"/>
          <w:color w:val="auto"/>
        </w:rPr>
        <w:t>To our knowledge, no one has developed an FDA-approved method for replacing lost or damaged tissues from the human nervous system. Replacement of tissues in other areas of the human body is mainly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88" w:lineRule="exact"/>
        <w:rPr>
          <w:sz w:val="20"/>
          <w:szCs w:val="20"/>
          <w:color w:val="auto"/>
        </w:rPr>
      </w:pPr>
    </w:p>
    <w:p>
      <w:pPr>
        <w:ind w:left="920" w:hanging="687"/>
        <w:spacing w:after="0"/>
        <w:tabs>
          <w:tab w:leader="none" w:pos="9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Replaced Cells May Provide Normal Function for the Life of the Patient</w:t>
      </w:r>
    </w:p>
    <w:p>
      <w:pPr>
        <w:spacing w:after="0" w:line="117"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87" w:lineRule="exact"/>
        <w:rPr>
          <w:sz w:val="20"/>
          <w:szCs w:val="20"/>
          <w:color w:val="auto"/>
        </w:rPr>
      </w:pPr>
    </w:p>
    <w:p>
      <w:pPr>
        <w:ind w:left="920" w:hanging="687"/>
        <w:spacing w:after="0"/>
        <w:tabs>
          <w:tab w:leader="none" w:pos="9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Stem Cell Therapy Targets the Root Cause of the Disease</w:t>
      </w:r>
    </w:p>
    <w:p>
      <w:pPr>
        <w:spacing w:after="0" w:line="117"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Most approved therapies for the diseases being targeted by the Company are palliative in nature, primarily treating the symptoms of the disease. Stem cell therapy, by contrast, has the potential to arrest or slow down the progression of the disease or even cure the patient.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Programs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 of Strategy</w:t>
      </w:r>
    </w:p>
    <w:p>
      <w:pPr>
        <w:spacing w:after="0" w:line="117" w:lineRule="exact"/>
        <w:rPr>
          <w:sz w:val="20"/>
          <w:szCs w:val="20"/>
          <w:color w:val="auto"/>
        </w:rPr>
      </w:pPr>
    </w:p>
    <w:p>
      <w:pPr>
        <w:ind w:right="40" w:firstLine="267"/>
        <w:spacing w:after="0" w:line="286" w:lineRule="auto"/>
        <w:rPr>
          <w:sz w:val="20"/>
          <w:szCs w:val="20"/>
          <w:color w:val="auto"/>
        </w:rPr>
      </w:pPr>
      <w:r>
        <w:rPr>
          <w:rFonts w:ascii="Arial" w:cs="Arial" w:eastAsia="Arial" w:hAnsi="Arial"/>
          <w:sz w:val="17"/>
          <w:szCs w:val="17"/>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report.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and Product Development Programs</w:t>
      </w:r>
    </w:p>
    <w:p>
      <w:pPr>
        <w:sectPr>
          <w:pgSz w:w="11900" w:h="16838" w:orient="portrait"/>
          <w:cols w:equalWidth="0" w:num="1">
            <w:col w:w="11420"/>
          </w:cols>
          <w:pgMar w:left="240" w:top="419" w:right="239" w:bottom="1440" w:gutter="0" w:footer="0" w:header="0"/>
        </w:sectPr>
      </w:pPr>
    </w:p>
    <w:p>
      <w:pPr>
        <w:spacing w:after="0" w:line="126"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Program Description and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59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 w:lineRule="exact"/>
        <w:rPr>
          <w:sz w:val="20"/>
          <w:szCs w:val="20"/>
          <w:color w:val="auto"/>
        </w:rPr>
      </w:pPr>
    </w:p>
    <w:p>
      <w:pPr>
        <w:jc w:val="center"/>
        <w:ind w:left="260"/>
        <w:spacing w:after="0"/>
        <w:rPr>
          <w:sz w:val="20"/>
          <w:szCs w:val="20"/>
          <w:color w:val="auto"/>
        </w:rPr>
      </w:pPr>
      <w:r>
        <w:rPr>
          <w:rFonts w:ascii="Arial" w:cs="Arial" w:eastAsia="Arial" w:hAnsi="Arial"/>
          <w:sz w:val="18"/>
          <w:szCs w:val="18"/>
          <w:i w:val="1"/>
          <w:iCs w:val="1"/>
          <w:color w:val="auto"/>
        </w:rPr>
        <w:t>Human Neural Stem Cell</w:t>
      </w:r>
    </w:p>
    <w:p>
      <w:pPr>
        <w:spacing w:after="0" w:line="223" w:lineRule="exact"/>
        <w:rPr>
          <w:sz w:val="20"/>
          <w:szCs w:val="20"/>
          <w:color w:val="auto"/>
        </w:rPr>
      </w:pPr>
    </w:p>
    <w:p>
      <w:pPr>
        <w:ind w:left="140" w:hanging="134"/>
        <w:spacing w:after="0" w:line="264" w:lineRule="auto"/>
        <w:rPr>
          <w:sz w:val="20"/>
          <w:szCs w:val="20"/>
          <w:color w:val="auto"/>
        </w:rPr>
      </w:pPr>
      <w:r>
        <w:rPr>
          <w:rFonts w:ascii="Arial" w:cs="Arial" w:eastAsia="Arial" w:hAnsi="Arial"/>
          <w:sz w:val="18"/>
          <w:szCs w:val="18"/>
          <w:color w:val="auto"/>
        </w:rPr>
        <w:t>Repair or replace damaged central nervous system tissue (including spinal cord, stroke-damaged tissue, and tissue affected by certain genetic disorders)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Stage/Status(1)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6350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Preclinical/IND filing</w:t>
      </w:r>
    </w:p>
    <w:p>
      <w:pPr>
        <w:spacing w:after="0" w:line="223" w:lineRule="exact"/>
        <w:rPr>
          <w:sz w:val="20"/>
          <w:szCs w:val="20"/>
          <w:color w:val="auto"/>
        </w:rPr>
      </w:pPr>
    </w:p>
    <w:p>
      <w:pPr>
        <w:ind w:left="300" w:right="420" w:firstLine="80"/>
        <w:spacing w:after="0" w:line="258" w:lineRule="auto"/>
        <w:tabs>
          <w:tab w:leader="none" w:pos="4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Demonstrated the ability to reproducibly identify and purify human neural stem cells (hCNS-SC).</w:t>
      </w:r>
    </w:p>
    <w:p>
      <w:pPr>
        <w:spacing w:after="0" w:line="1" w:lineRule="exact"/>
        <w:rPr>
          <w:rFonts w:ascii="Arial" w:cs="Arial" w:eastAsia="Arial" w:hAnsi="Arial"/>
          <w:sz w:val="18"/>
          <w:szCs w:val="18"/>
          <w:color w:val="auto"/>
        </w:rPr>
      </w:pPr>
    </w:p>
    <w:p>
      <w:pPr>
        <w:ind w:left="480" w:hanging="10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Demonstrated the ability to create human neural stem cell banks.</w:t>
      </w:r>
    </w:p>
    <w:p>
      <w:pPr>
        <w:spacing w:after="0" w:line="9" w:lineRule="exact"/>
        <w:rPr>
          <w:rFonts w:ascii="Arial" w:cs="Arial" w:eastAsia="Arial" w:hAnsi="Arial"/>
          <w:sz w:val="18"/>
          <w:szCs w:val="18"/>
          <w:color w:val="auto"/>
        </w:rPr>
      </w:pPr>
    </w:p>
    <w:p>
      <w:pPr>
        <w:ind w:left="480" w:hanging="10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Demonstrated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the ability to initiate and expand stem cell-</w:t>
      </w:r>
    </w:p>
    <w:p>
      <w:pPr>
        <w:spacing w:after="0" w:line="9" w:lineRule="exact"/>
        <w:rPr>
          <w:rFonts w:ascii="Arial" w:cs="Arial" w:eastAsia="Arial" w:hAnsi="Arial"/>
          <w:sz w:val="18"/>
          <w:szCs w:val="18"/>
          <w:color w:val="auto"/>
        </w:rPr>
      </w:pPr>
    </w:p>
    <w:p>
      <w:pPr>
        <w:ind w:left="300" w:right="380"/>
        <w:spacing w:after="0" w:line="250" w:lineRule="auto"/>
        <w:rPr>
          <w:rFonts w:ascii="Arial" w:cs="Arial" w:eastAsia="Arial" w:hAnsi="Arial"/>
          <w:sz w:val="18"/>
          <w:szCs w:val="18"/>
          <w:color w:val="auto"/>
        </w:rPr>
      </w:pPr>
      <w:r>
        <w:rPr>
          <w:rFonts w:ascii="Arial" w:cs="Arial" w:eastAsia="Arial" w:hAnsi="Arial"/>
          <w:sz w:val="18"/>
          <w:szCs w:val="18"/>
          <w:color w:val="auto"/>
        </w:rPr>
        <w:t>containing human neural cultures and specialization into three types of central nervous system cells.</w:t>
      </w:r>
    </w:p>
    <w:p>
      <w:pPr>
        <w:jc w:val="both"/>
        <w:ind w:left="300" w:right="240" w:firstLine="80"/>
        <w:spacing w:after="0" w:line="281" w:lineRule="auto"/>
        <w:tabs>
          <w:tab w:leader="none" w:pos="4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Demonstrated in rodent studies that transplanted human brain-derived stem cells are accepted and properly specialized into the three major cell types of the central nervous system with no tumor formation.</w:t>
      </w:r>
    </w:p>
    <w:p>
      <w:pPr>
        <w:spacing w:after="0" w:line="2" w:lineRule="exact"/>
        <w:rPr>
          <w:rFonts w:ascii="Arial" w:cs="Arial" w:eastAsia="Arial" w:hAnsi="Arial"/>
          <w:sz w:val="16"/>
          <w:szCs w:val="16"/>
          <w:color w:val="auto"/>
        </w:rPr>
      </w:pPr>
    </w:p>
    <w:p>
      <w:pPr>
        <w:ind w:left="300" w:right="440" w:firstLine="80"/>
        <w:spacing w:after="0" w:line="250" w:lineRule="auto"/>
        <w:tabs>
          <w:tab w:leader="none" w:pos="4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Commenced preclinical testing of human neural stem cells in well-characterized small animal models of human diseases.</w:t>
      </w:r>
    </w:p>
    <w:p>
      <w:pPr>
        <w:ind w:left="480" w:hanging="10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Batten Disease Indication (Preclinical):</w:t>
      </w:r>
    </w:p>
    <w:p>
      <w:pPr>
        <w:spacing w:after="0" w:line="9" w:lineRule="exact"/>
        <w:rPr>
          <w:rFonts w:ascii="Arial" w:cs="Arial" w:eastAsia="Arial" w:hAnsi="Arial"/>
          <w:sz w:val="18"/>
          <w:szCs w:val="18"/>
          <w:color w:val="auto"/>
        </w:rPr>
      </w:pPr>
    </w:p>
    <w:p>
      <w:pPr>
        <w:jc w:val="both"/>
        <w:ind w:left="300" w:right="300" w:firstLine="215"/>
        <w:spacing w:after="0" w:line="250" w:lineRule="auto"/>
        <w:tabs>
          <w:tab w:leader="none" w:pos="633"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Demonstrated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 of principle showing in a mouse model that hCNS-SC can continuously produce the enzyme that is deficient in Infantile Batten disease.</w:t>
      </w:r>
    </w:p>
    <w:p>
      <w:pPr>
        <w:spacing w:after="0" w:line="1" w:lineRule="exact"/>
        <w:rPr>
          <w:rFonts w:ascii="Arial" w:cs="Arial" w:eastAsia="Arial" w:hAnsi="Arial"/>
          <w:sz w:val="18"/>
          <w:szCs w:val="18"/>
          <w:color w:val="auto"/>
        </w:rPr>
      </w:pPr>
    </w:p>
    <w:p>
      <w:pPr>
        <w:jc w:val="both"/>
        <w:ind w:left="300" w:right="60" w:firstLine="215"/>
        <w:spacing w:after="0" w:line="250" w:lineRule="auto"/>
        <w:tabs>
          <w:tab w:leader="none" w:pos="633"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An Investigational New Drug (IND) application was filed at the end of 2004; the IND is currently on holdpending response to FDA questions and concerns.</w:t>
      </w:r>
    </w:p>
    <w:p>
      <w:pPr>
        <w:spacing w:after="0" w:line="1" w:lineRule="exact"/>
        <w:rPr>
          <w:rFonts w:ascii="Arial" w:cs="Arial" w:eastAsia="Arial" w:hAnsi="Arial"/>
          <w:sz w:val="18"/>
          <w:szCs w:val="18"/>
          <w:color w:val="auto"/>
        </w:rPr>
      </w:pPr>
    </w:p>
    <w:p>
      <w:pPr>
        <w:jc w:val="both"/>
        <w:ind w:left="300" w:right="140" w:firstLine="80"/>
        <w:spacing w:after="0" w:line="250" w:lineRule="auto"/>
        <w:tabs>
          <w:tab w:leader="none" w:pos="49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Spinal Cord Injury: </w:t>
      </w:r>
      <w:r>
        <w:rPr>
          <w:rFonts w:ascii="Arial" w:cs="Arial" w:eastAsia="Arial" w:hAnsi="Arial"/>
          <w:sz w:val="18"/>
          <w:szCs w:val="18"/>
          <w:color w:val="auto"/>
        </w:rPr>
        <w:t>Demonstrated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proof of principle in a mouse</w:t>
      </w:r>
      <w:r>
        <w:rPr>
          <w:rFonts w:ascii="Arial" w:cs="Arial" w:eastAsia="Arial" w:hAnsi="Arial"/>
          <w:sz w:val="18"/>
          <w:szCs w:val="18"/>
          <w:i w:val="1"/>
          <w:iCs w:val="1"/>
          <w:color w:val="auto"/>
        </w:rPr>
        <w:t xml:space="preserve"> </w:t>
      </w:r>
      <w:r>
        <w:rPr>
          <w:rFonts w:ascii="Arial" w:cs="Arial" w:eastAsia="Arial" w:hAnsi="Arial"/>
          <w:sz w:val="18"/>
          <w:szCs w:val="18"/>
          <w:color w:val="auto"/>
        </w:rPr>
        <w:t>model that transplanted cells show preferential migration towards injured sites</w:t>
      </w:r>
    </w:p>
    <w:p>
      <w:pPr>
        <w:spacing w:after="0" w:line="1" w:lineRule="exact"/>
        <w:rPr>
          <w:rFonts w:ascii="Arial" w:cs="Arial" w:eastAsia="Arial" w:hAnsi="Arial"/>
          <w:sz w:val="18"/>
          <w:szCs w:val="18"/>
          <w:color w:val="auto"/>
        </w:rPr>
      </w:pPr>
    </w:p>
    <w:p>
      <w:pPr>
        <w:ind w:left="300" w:right="580" w:firstLine="80"/>
        <w:spacing w:after="0" w:line="323" w:lineRule="auto"/>
        <w:tabs>
          <w:tab w:leader="none" w:pos="49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Stroke Indication: </w:t>
      </w:r>
      <w:r>
        <w:rPr>
          <w:rFonts w:ascii="Arial" w:cs="Arial" w:eastAsia="Arial" w:hAnsi="Arial"/>
          <w:sz w:val="16"/>
          <w:szCs w:val="16"/>
          <w:color w:val="auto"/>
        </w:rPr>
        <w:t>Demonstrated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proof of principle shows</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functional integration of myelin onto the mouse nerve axons.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360" w:space="300"/>
            <w:col w:w="5760"/>
          </w:cols>
          <w:pgMar w:left="240" w:top="41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 Description and Objective</w:t>
            </w:r>
          </w:p>
        </w:tc>
        <w:tc>
          <w:tcPr>
            <w:tcW w:w="340" w:type="dxa"/>
            <w:vAlign w:val="bottom"/>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Stage/Status(1)</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i w:val="1"/>
                <w:iCs w:val="1"/>
                <w:color w:val="auto"/>
                <w:w w:val="91"/>
              </w:rPr>
              <w:t>Liver Stem Cell</w:t>
            </w:r>
          </w:p>
        </w:tc>
        <w:tc>
          <w:tcPr>
            <w:tcW w:w="3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85"/>
              </w:rPr>
              <w:t>Research</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 w:lineRule="exact"/>
        <w:rPr>
          <w:sz w:val="20"/>
          <w:szCs w:val="20"/>
          <w:color w:val="auto"/>
        </w:rPr>
      </w:pPr>
    </w:p>
    <w:p>
      <w:pPr>
        <w:ind w:left="140" w:hanging="134"/>
        <w:spacing w:after="0" w:line="277" w:lineRule="auto"/>
        <w:rPr>
          <w:sz w:val="20"/>
          <w:szCs w:val="20"/>
          <w:color w:val="auto"/>
        </w:rPr>
      </w:pPr>
      <w:r>
        <w:rPr>
          <w:rFonts w:ascii="Arial" w:cs="Arial" w:eastAsia="Arial" w:hAnsi="Arial"/>
          <w:sz w:val="18"/>
          <w:szCs w:val="18"/>
          <w:color w:val="auto"/>
        </w:rPr>
        <w:t>Repair or replace liver tissue damaged or destroyed by cirrhosis and certain metabolic genetic diseases</w:t>
      </w:r>
    </w:p>
    <w:p>
      <w:pPr>
        <w:spacing w:after="0" w:line="20" w:lineRule="exact"/>
        <w:rPr>
          <w:sz w:val="20"/>
          <w:szCs w:val="20"/>
          <w:color w:val="auto"/>
        </w:rPr>
      </w:pPr>
      <w:r>
        <w:rPr>
          <w:sz w:val="20"/>
          <w:szCs w:val="20"/>
          <w:color w:val="auto"/>
        </w:rPr>
        <w:br w:type="column"/>
      </w:r>
    </w:p>
    <w:p>
      <w:pPr>
        <w:ind w:left="-80" w:right="160" w:firstLine="80"/>
        <w:spacing w:after="0" w:line="258" w:lineRule="auto"/>
        <w:tabs>
          <w:tab w:leader="none" w:pos="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Identified a candidate human liver stem cell-like population referred to as a human liver engrafting cell (hLEC).</w:t>
      </w:r>
    </w:p>
    <w:p>
      <w:pPr>
        <w:spacing w:after="0" w:line="1" w:lineRule="exact"/>
        <w:rPr>
          <w:rFonts w:ascii="Arial" w:cs="Arial" w:eastAsia="Arial" w:hAnsi="Arial"/>
          <w:sz w:val="18"/>
          <w:szCs w:val="18"/>
          <w:color w:val="auto"/>
        </w:rPr>
      </w:pPr>
    </w:p>
    <w:p>
      <w:pPr>
        <w:ind w:left="-80" w:right="320" w:firstLine="80"/>
        <w:spacing w:after="0" w:line="281" w:lineRule="auto"/>
        <w:tabs>
          <w:tab w:leader="none" w:pos="118"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Identified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culture assay for growth of human liver progenitor cells that express markers for both bile duct cells and hepatocytes</w:t>
      </w:r>
    </w:p>
    <w:p>
      <w:pPr>
        <w:spacing w:after="0" w:line="1" w:lineRule="exact"/>
        <w:rPr>
          <w:rFonts w:ascii="Arial" w:cs="Arial" w:eastAsia="Arial" w:hAnsi="Arial"/>
          <w:sz w:val="16"/>
          <w:szCs w:val="16"/>
          <w:color w:val="auto"/>
        </w:rPr>
      </w:pPr>
    </w:p>
    <w:p>
      <w:pPr>
        <w:ind w:left="-80" w:right="180" w:firstLine="80"/>
        <w:spacing w:after="0" w:line="250" w:lineRule="auto"/>
        <w:tabs>
          <w:tab w:leader="none" w:pos="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Shown that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culture of human liver progenitor cells also can grow human hepatitis virus; this is a potential assay system to screen for novel anti-viral compounds.</w:t>
      </w:r>
    </w:p>
    <w:p>
      <w:pPr>
        <w:spacing w:after="0" w:line="1" w:lineRule="exact"/>
        <w:rPr>
          <w:rFonts w:ascii="Arial" w:cs="Arial" w:eastAsia="Arial" w:hAnsi="Arial"/>
          <w:sz w:val="18"/>
          <w:szCs w:val="18"/>
          <w:color w:val="auto"/>
        </w:rPr>
      </w:pPr>
    </w:p>
    <w:p>
      <w:pPr>
        <w:ind w:left="-80" w:right="80" w:firstLine="80"/>
        <w:spacing w:after="0" w:line="250" w:lineRule="auto"/>
        <w:tabs>
          <w:tab w:leader="none" w:pos="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Demonstrated the engraftment and survival of the candidate hLEC in an </w:t>
      </w:r>
      <w:r>
        <w:rPr>
          <w:rFonts w:ascii="Arial" w:cs="Arial" w:eastAsia="Arial" w:hAnsi="Arial"/>
          <w:sz w:val="18"/>
          <w:szCs w:val="18"/>
          <w:i w:val="1"/>
          <w:iCs w:val="1"/>
          <w:color w:val="auto"/>
        </w:rPr>
        <w:t xml:space="preserve">in vivo </w:t>
      </w:r>
      <w:r>
        <w:rPr>
          <w:rFonts w:ascii="Arial" w:cs="Arial" w:eastAsia="Arial" w:hAnsi="Arial"/>
          <w:sz w:val="18"/>
          <w:szCs w:val="18"/>
          <w:color w:val="auto"/>
        </w:rPr>
        <w:t>mouse model.</w:t>
      </w:r>
    </w:p>
    <w:p>
      <w:pPr>
        <w:ind w:left="-80" w:right="200" w:firstLine="80"/>
        <w:spacing w:after="0" w:line="261" w:lineRule="auto"/>
        <w:tabs>
          <w:tab w:leader="none" w:pos="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Detected human albumin in mouse serum in animals transplanted with hLECs.</w:t>
      </w:r>
    </w:p>
    <w:p>
      <w:pPr>
        <w:spacing w:after="0" w:line="184" w:lineRule="exact"/>
        <w:rPr>
          <w:sz w:val="20"/>
          <w:szCs w:val="20"/>
          <w:color w:val="auto"/>
        </w:rPr>
      </w:pPr>
    </w:p>
    <w:p>
      <w:pPr>
        <w:sectPr>
          <w:pgSz w:w="11900" w:h="16838" w:orient="portrait"/>
          <w:cols w:equalWidth="0" w:num="2">
            <w:col w:w="5440" w:space="600"/>
            <w:col w:w="5380"/>
          </w:cols>
          <w:pgMar w:left="240" w:top="419" w:right="239" w:bottom="1440" w:gutter="0" w:footer="0" w:header="0"/>
          <w:type w:val="continuous"/>
        </w:sectPr>
      </w:pPr>
    </w:p>
    <w:p>
      <w:pPr>
        <w:ind w:left="1920"/>
        <w:spacing w:after="0"/>
        <w:tabs>
          <w:tab w:leader="none" w:pos="8340" w:val="left"/>
        </w:tabs>
        <w:rPr>
          <w:sz w:val="20"/>
          <w:szCs w:val="20"/>
          <w:color w:val="auto"/>
        </w:rPr>
      </w:pPr>
      <w:r>
        <w:rPr>
          <w:rFonts w:ascii="Arial" w:cs="Arial" w:eastAsia="Arial" w:hAnsi="Arial"/>
          <w:sz w:val="18"/>
          <w:szCs w:val="18"/>
          <w:i w:val="1"/>
          <w:iCs w:val="1"/>
          <w:color w:val="auto"/>
        </w:rPr>
        <w:t>Pancreas Islet Stem Cell</w:t>
      </w:r>
      <w:r>
        <w:rPr>
          <w:sz w:val="20"/>
          <w:szCs w:val="20"/>
          <w:color w:val="auto"/>
        </w:rPr>
        <w:tab/>
      </w:r>
      <w:r>
        <w:rPr>
          <w:rFonts w:ascii="Arial" w:cs="Arial" w:eastAsia="Arial" w:hAnsi="Arial"/>
          <w:sz w:val="15"/>
          <w:szCs w:val="15"/>
          <w:i w:val="1"/>
          <w:iCs w:val="1"/>
          <w:color w:val="auto"/>
        </w:rPr>
        <w:t>Research</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Repair or replace damaged pancreas islet tissue</w:t>
      </w:r>
      <w:r>
        <w:rPr>
          <w:sz w:val="20"/>
          <w:szCs w:val="20"/>
          <w:color w:val="auto"/>
        </w:rPr>
        <w:tab/>
      </w:r>
      <w:r>
        <w:rPr>
          <w:rFonts w:ascii="Arial" w:cs="Arial" w:eastAsia="Arial" w:hAnsi="Arial"/>
          <w:sz w:val="16"/>
          <w:szCs w:val="16"/>
          <w:color w:val="auto"/>
        </w:rPr>
        <w:t>• Identified markers on the surface of a rare human stem-cell-like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pancreatic cell, which is a candidate pancreatic stem/progenitor cell.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 Commenced testing of a candidate human pancreatic stem/progenitor cell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in small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77" w:lineRule="exact"/>
        <w:rPr>
          <w:sz w:val="20"/>
          <w:szCs w:val="20"/>
          <w:color w:val="auto"/>
        </w:rPr>
      </w:pPr>
    </w:p>
    <w:p>
      <w:pPr>
        <w:ind w:left="460" w:right="80" w:hanging="452"/>
        <w:spacing w:after="0" w:line="34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“Research” refers to early stage research and product development activities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including the selection and characterization of product candidates for preclinical testing. “Preclinical” refers to further testing of a defined product candidate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in animals prior to clinical studies.</w:t>
      </w:r>
    </w:p>
    <w:p>
      <w:pPr>
        <w:spacing w:after="0" w:line="16" w:lineRule="exact"/>
        <w:rPr>
          <w:sz w:val="20"/>
          <w:szCs w:val="20"/>
          <w:color w:val="auto"/>
        </w:rPr>
      </w:pPr>
    </w:p>
    <w:p>
      <w:pPr>
        <w:ind w:right="140" w:firstLine="270"/>
        <w:spacing w:after="0" w:line="291" w:lineRule="auto"/>
        <w:rPr>
          <w:sz w:val="20"/>
          <w:szCs w:val="20"/>
          <w:color w:val="auto"/>
        </w:rPr>
      </w:pPr>
      <w:r>
        <w:rPr>
          <w:rFonts w:ascii="Arial" w:cs="Arial" w:eastAsia="Arial" w:hAnsi="Arial"/>
          <w:sz w:val="16"/>
          <w:szCs w:val="16"/>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founding scientists Irving L. Weissman, M.D., of Stanford University, Fred H. Gage, Ph.D., of The Salk Institute, and David Anderson, Ph.D., of the California Institute of Technology, as well as other occasional consultants including William C. Mobley, M.D., Ph.D., Maria Millan, M.D., Ben Barres, Ph.D., and Seung Kim, M.D., Ph.D., all of Stanford University, and Stephen Back, M.D., of the Oregon Health Science University.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Neural Program</w:t>
      </w:r>
    </w:p>
    <w:p>
      <w:pPr>
        <w:spacing w:after="0" w:line="117" w:lineRule="exact"/>
        <w:rPr>
          <w:sz w:val="20"/>
          <w:szCs w:val="20"/>
          <w:color w:val="auto"/>
        </w:rPr>
      </w:pPr>
    </w:p>
    <w:p>
      <w:pPr>
        <w:ind w:right="240" w:firstLine="267"/>
        <w:spacing w:after="0" w:line="259" w:lineRule="auto"/>
        <w:rPr>
          <w:sz w:val="20"/>
          <w:szCs w:val="20"/>
          <w:color w:val="auto"/>
        </w:rPr>
      </w:pPr>
      <w:r>
        <w:rPr>
          <w:rFonts w:ascii="Arial" w:cs="Arial" w:eastAsia="Arial" w:hAnsi="Arial"/>
          <w:sz w:val="18"/>
          <w:szCs w:val="18"/>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“NeuroSpheres Ltd.” under “License Agreements” below.</w:t>
      </w:r>
    </w:p>
    <w:p>
      <w:pPr>
        <w:spacing w:after="0" w:line="79"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In 2000, using our proprietary markers on the surface of the cell, our researchers succeeded in identifying, isolating and purifying human CNS stem cells from brain tissue. We believe that this study, published in Proceedings of the National Academy of Science in December 2000, was the first to show a reproducible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 Even more importantly, in our view, our researchers have been able to take these purified and expanded stem cells and transplant them into the normal brains of immunodeficient mouse hosts, where they take hold and grow into neurons and glial cells.</w:t>
      </w:r>
    </w:p>
    <w:p>
      <w:pPr>
        <w:spacing w:after="0" w:line="80"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 xml:space="preserve">We have found, during the course of long-term studies using a number of our cell lines, that the transplanted human CNS stem cells survived for as long as one year and migrated to specific functional domains of the host brain, with </w:t>
      </w:r>
      <w:r>
        <w:rPr>
          <w:rFonts w:ascii="Arial" w:cs="Arial" w:eastAsia="Arial" w:hAnsi="Arial"/>
          <w:sz w:val="18"/>
          <w:szCs w:val="18"/>
          <w:i w:val="1"/>
          <w:iCs w:val="1"/>
          <w:color w:val="auto"/>
        </w:rPr>
        <w:t>no sign</w:t>
      </w:r>
      <w:r>
        <w:rPr>
          <w:rFonts w:ascii="Arial" w:cs="Arial" w:eastAsia="Arial" w:hAnsi="Arial"/>
          <w:sz w:val="18"/>
          <w:szCs w:val="18"/>
          <w:color w:val="auto"/>
        </w:rPr>
        <w:t xml:space="preserve">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80" w:lineRule="exact"/>
        <w:rPr>
          <w:sz w:val="20"/>
          <w:szCs w:val="20"/>
          <w:color w:val="auto"/>
        </w:rPr>
      </w:pPr>
    </w:p>
    <w:p>
      <w:pPr>
        <w:jc w:val="both"/>
        <w:ind w:right="160" w:firstLine="267"/>
        <w:spacing w:after="0" w:line="286" w:lineRule="auto"/>
        <w:rPr>
          <w:sz w:val="20"/>
          <w:szCs w:val="20"/>
          <w:color w:val="auto"/>
        </w:rPr>
      </w:pPr>
      <w:r>
        <w:rPr>
          <w:rFonts w:ascii="Arial" w:cs="Arial" w:eastAsia="Arial" w:hAnsi="Arial"/>
          <w:sz w:val="16"/>
          <w:szCs w:val="16"/>
          <w:color w:val="auto"/>
        </w:rPr>
        <w:t>The company has established a number of research collaborations in the neural field to assess the effects of transplanting the human CNS stem cells into preclinical animal models, including the spinal cord injury collaboration with Drs. Aileen Anderson and Brian Cummings of the Reeve-Irvine Center at the University of California and a collaboration with the laboratory of Dr. Gary Steinberg, Chairman of the Department of Neurosurgery of Stanford University School of Medicine and Co-director of the Stanford Stroke Center, pertaining to the evaluation of our human neural stem cells in animal models of stroke.</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Pilot studies have been initiated with Stephen A. Back, M.D., Ph.D., of the Oregon Health Sciences University and with Jeffery D. Kocsis, Ph.D., of the Yale University School of Medicine for understanding myelin production and repair, as well as with Jay Pasricha, M.D., of The University of Texas Medical Branch and with Martin Marsala, M.D., of the University of California, San Diego, regarding the formation of specific populations of neurons; (UCSD). In addition, we have an NIH-funded collaboration with Dr. George A. Carlson of the McLaughlin Research Institute, to understand the role of Alzheimer’s plaques in neuronal cell death in Alzheimer’s disease.</w:t>
      </w:r>
    </w:p>
    <w:p>
      <w:pPr>
        <w:spacing w:after="0" w:line="83" w:lineRule="exact"/>
        <w:rPr>
          <w:sz w:val="20"/>
          <w:szCs w:val="20"/>
          <w:color w:val="auto"/>
        </w:rPr>
      </w:pPr>
    </w:p>
    <w:p>
      <w:pPr>
        <w:ind w:right="60" w:firstLine="260"/>
        <w:spacing w:after="0" w:line="279" w:lineRule="auto"/>
        <w:rPr>
          <w:sz w:val="20"/>
          <w:szCs w:val="20"/>
          <w:color w:val="auto"/>
        </w:rPr>
      </w:pPr>
      <w:r>
        <w:rPr>
          <w:rFonts w:ascii="Arial" w:cs="Arial" w:eastAsia="Arial" w:hAnsi="Arial"/>
          <w:sz w:val="17"/>
          <w:szCs w:val="17"/>
          <w:color w:val="auto"/>
        </w:rPr>
        <w:t>As noted above, human CNS stem and progenitor cells harvested, purified and expanded using our proprietary processes may be useful for creating therapies for the treatment of degenerative brain diseases like Parkinson’s and Alzheimer’s diseases and genetic disorders affecting the brain such as Batten Disease. These conditions affect about 5 million people in the United States and there are no effective long-term therapies currently available. We believe our ability to purify human brain stem cells directly from tissue and to expand them into cell banks is important because:</w:t>
      </w:r>
    </w:p>
    <w:p>
      <w:pPr>
        <w:spacing w:after="0" w:line="63"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provides an enriched source of normal stem cells;</w:t>
      </w:r>
    </w:p>
    <w:p>
      <w:pPr>
        <w:spacing w:after="0" w:line="130" w:lineRule="exact"/>
        <w:rPr>
          <w:rFonts w:ascii="Arial" w:cs="Arial" w:eastAsia="Arial" w:hAnsi="Arial"/>
          <w:sz w:val="18"/>
          <w:szCs w:val="18"/>
          <w:color w:val="auto"/>
        </w:rPr>
      </w:pPr>
    </w:p>
    <w:p>
      <w:pPr>
        <w:ind w:left="460" w:right="60" w:hanging="101"/>
        <w:spacing w:after="0" w:line="25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opens the way to a better understanding of the properties of these cells and how they might be manipulated to treat specific diseases. For example, in certain genetic diseases such as Tay Sachs and Batten’s, a key metabolic enzyme required for normal development and function of the brain is absent. Brain-derived stem cells might produce enough enzyme after transplantation to delay disease progression, or, if not enough enzyme is made naturally, the cells might be genetically modified to produce those proteins. The native or modified brain stem cells could be transplanted into patients with these genetic diseases;</w:t>
      </w:r>
    </w:p>
    <w:p>
      <w:pPr>
        <w:spacing w:after="0" w:line="93" w:lineRule="exact"/>
        <w:rPr>
          <w:rFonts w:ascii="Arial" w:cs="Arial" w:eastAsia="Arial" w:hAnsi="Arial"/>
          <w:sz w:val="18"/>
          <w:szCs w:val="18"/>
          <w:color w:val="auto"/>
        </w:rPr>
      </w:pPr>
    </w:p>
    <w:p>
      <w:pPr>
        <w:jc w:val="both"/>
        <w:ind w:left="460" w:right="80" w:hanging="101"/>
        <w:spacing w:after="0" w:line="31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 xml:space="preserve">StemCells Inc holds a substantial portfolio of issued and allowed patents in the neural field. See </w:t>
      </w:r>
      <w:r>
        <w:rPr>
          <w:rFonts w:ascii="Arial" w:cs="Arial" w:eastAsia="Arial" w:hAnsi="Arial"/>
          <w:sz w:val="17"/>
          <w:szCs w:val="17"/>
          <w:b w:val="1"/>
          <w:bCs w:val="1"/>
          <w:color w:val="auto"/>
        </w:rPr>
        <w:t>“Patents, Proprietary Rights and Licenses.”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Liver Program</w:t>
      </w:r>
    </w:p>
    <w:p>
      <w:pPr>
        <w:spacing w:after="0" w:line="117" w:lineRule="exact"/>
        <w:rPr>
          <w:sz w:val="20"/>
          <w:szCs w:val="20"/>
          <w:color w:val="auto"/>
        </w:rPr>
      </w:pPr>
    </w:p>
    <w:p>
      <w:pPr>
        <w:ind w:right="60" w:firstLine="267"/>
        <w:spacing w:after="0" w:line="273" w:lineRule="auto"/>
        <w:rPr>
          <w:sz w:val="20"/>
          <w:szCs w:val="20"/>
          <w:color w:val="auto"/>
        </w:rPr>
      </w:pPr>
      <w:r>
        <w:rPr>
          <w:rFonts w:ascii="Arial" w:cs="Arial" w:eastAsia="Arial" w:hAnsi="Arial"/>
          <w:sz w:val="17"/>
          <w:szCs w:val="17"/>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rights to a novel mouse model of liver failure for evaluating cell transplantation developed by Dr. Grompe: The “FAH transgenic mouse.” This mouse lacks a key enzyme (FAH, or fumaryl-acetoacetate hydrolase), which results in build-up of a toxic substance which causes liver damage. In addition, we obtained an exclusive license to U.S. Patent No. 6,132,708, claiming a method of regenerating a functional liver by transplantation of pancreas cells in mammals, including humans.</w:t>
      </w:r>
    </w:p>
    <w:p>
      <w:pPr>
        <w:spacing w:after="0" w:line="70" w:lineRule="exact"/>
        <w:rPr>
          <w:sz w:val="20"/>
          <w:szCs w:val="20"/>
          <w:color w:val="auto"/>
        </w:rPr>
      </w:pPr>
    </w:p>
    <w:p>
      <w:pPr>
        <w:ind w:firstLine="260"/>
        <w:spacing w:after="0" w:line="259" w:lineRule="auto"/>
        <w:rPr>
          <w:sz w:val="20"/>
          <w:szCs w:val="20"/>
          <w:color w:val="auto"/>
        </w:rPr>
      </w:pPr>
      <w:r>
        <w:rPr>
          <w:rFonts w:ascii="Arial" w:cs="Arial" w:eastAsia="Arial" w:hAnsi="Arial"/>
          <w:sz w:val="18"/>
          <w:szCs w:val="18"/>
          <w:color w:val="auto"/>
        </w:rPr>
        <w:t>Approximately 1 in 10 Americans suffers from diseases and disorders of the liver for many of which there are currently no effective, long-term treatments. Our researchers continue to advance methods for establishing enriched cell populations suitable for transplantation in preclinical animal models. We are focused on discovering and utilizing proprietary methods to identify and isolate liver stem and progenitor cells and to evaluate these cells in culture and in preclinical animal models.</w:t>
      </w:r>
    </w:p>
    <w:p>
      <w:pPr>
        <w:spacing w:after="0" w:line="79" w:lineRule="exact"/>
        <w:rPr>
          <w:sz w:val="20"/>
          <w:szCs w:val="20"/>
          <w:color w:val="auto"/>
        </w:rPr>
      </w:pPr>
    </w:p>
    <w:p>
      <w:pPr>
        <w:ind w:right="20" w:firstLine="267"/>
        <w:spacing w:after="0" w:line="264" w:lineRule="auto"/>
        <w:rPr>
          <w:sz w:val="20"/>
          <w:szCs w:val="20"/>
          <w:color w:val="auto"/>
        </w:rPr>
      </w:pPr>
      <w:r>
        <w:rPr>
          <w:rFonts w:ascii="Arial" w:cs="Arial" w:eastAsia="Arial" w:hAnsi="Arial"/>
          <w:sz w:val="18"/>
          <w:szCs w:val="18"/>
          <w:color w:val="auto"/>
        </w:rPr>
        <w:t>The Company focuses on discovering and utilizing proprietary methods to identify and isolate liver stem and progenitor cells and to evaluate these cells in culture and in preclinical animal models. The Company intends to use these advanced methods, as they become available, to establish enriched cell populations suitable for transplantation.</w:t>
      </w:r>
    </w:p>
    <w:p>
      <w:pPr>
        <w:spacing w:after="0" w:line="73"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 xml:space="preserve">StemCells has devised a culture assay that it uses in its efforts to identify liver stem and progenitor cells. In addition, the culture assay can support the growth of an early human liver bipotent progenitor cell — a cell that can develop into two kinds of mature liver cells: bile duct cells and hepatocytes. Further, since cells in this culture can be infected with human hepatitis virus, it provides a valuable system for study of the virus. This technology also could provide a unique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for the testing of drugs that act on, or are metabolized by, human liver cells.</w:t>
      </w:r>
    </w:p>
    <w:p>
      <w:pPr>
        <w:spacing w:after="0" w:line="79"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The Company’s scientists have identified proprietary monoclonal antibodies that permit us to purify a population of human liver-engrafting cells, including a candidate human liver stem cell (hLEC). When tested in the Company’s in vitro culture assay, these antibody-enriched cells produce human serum albumin, a measure of hepatocyte generation. Studies to date show that these hLECs can produce human serum albumin in mouse serum following transplantation into immunodeficient mice, suggesting that the human liver-engrafting cell, once transplanted, becomes a functional cell. The program will focus on demonstrating the robust engraftment and function of these hLECs in a preclinical animal model of liver degeneration for proof of principle of a therapeutic cell for liver disease. A source of defined human cells capable of engraftment and substantial liver regeneration could provide a cell-based therapeutic product available to a wider patient base than liver transplants. An in vitro culture system that can reproducibly grow human liver progenitor cells might also provide cells for genetic modification to correct inborn errors of metabolism.</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Pancreas Program</w:t>
      </w:r>
    </w:p>
    <w:p>
      <w:pPr>
        <w:spacing w:after="0" w:line="117" w:lineRule="exact"/>
        <w:rPr>
          <w:sz w:val="20"/>
          <w:szCs w:val="20"/>
          <w:color w:val="auto"/>
        </w:rPr>
      </w:pPr>
    </w:p>
    <w:p>
      <w:pPr>
        <w:ind w:right="200" w:firstLine="267"/>
        <w:spacing w:after="0" w:line="293" w:lineRule="auto"/>
        <w:rPr>
          <w:sz w:val="20"/>
          <w:szCs w:val="20"/>
          <w:color w:val="auto"/>
        </w:rPr>
      </w:pPr>
      <w:r>
        <w:rPr>
          <w:rFonts w:ascii="Arial" w:cs="Arial" w:eastAsia="Arial" w:hAnsi="Arial"/>
          <w:sz w:val="16"/>
          <w:szCs w:val="16"/>
          <w:color w:val="auto"/>
        </w:rPr>
        <w:t>The Company’s scientists have again used StemCells’ monoclonal antibody-based search engine to identify a rare subset of human pancreatic cells that may be candidate pancreatic stem/progenitor cells. The Company has filed a patent application on the monoclonal antibodies used. In 2002, the Company established a collaboration with Dr. Seung Kim of Stanford University to pursue other avenues to identify an insulin-producing cell. Dr. Kim’s laboratory is studying the developmental biology and controlling events of generating insulin-producing cells. We believe that these approaches may lead to the development of cell-based treatments for Type 1 diabetes and that portion of Type 2 diabetes characterized by defective secretion of insulin. The Company has developed what we believe to be an appropriate animal model to test the biological activity of the purified candidate pancreatic stem cells.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StemCells California, Inc.</w:t>
      </w:r>
    </w:p>
    <w:p>
      <w:pPr>
        <w:spacing w:after="0" w:line="117" w:lineRule="exact"/>
        <w:rPr>
          <w:sz w:val="20"/>
          <w:szCs w:val="20"/>
          <w:color w:val="auto"/>
        </w:rPr>
      </w:pPr>
    </w:p>
    <w:p>
      <w:pPr>
        <w:ind w:right="280" w:firstLine="270"/>
        <w:spacing w:after="0" w:line="293" w:lineRule="auto"/>
        <w:rPr>
          <w:sz w:val="20"/>
          <w:szCs w:val="20"/>
          <w:color w:val="auto"/>
        </w:rPr>
      </w:pPr>
      <w:r>
        <w:rPr>
          <w:rFonts w:ascii="Arial" w:cs="Arial" w:eastAsia="Arial" w:hAnsi="Arial"/>
          <w:sz w:val="16"/>
          <w:szCs w:val="16"/>
          <w:color w:val="auto"/>
        </w:rPr>
        <w:t>On September 26, 1997, we acquired by merger StemCells California, Inc., a California corporation, in exchange for 1,320,691 shares of our common stock and options and warrants for the purchase of 259,296 common shares. StemCells California remains our wholly-owned subsidiary, and the owner or licensee of most of our intellectual property. The members of its Board of Directors are Irving L. Weissman, M.D., David J. Anderson, Ph.D., and Fred H. Gage, Ph.D., who were the founders of StemCells California, as well as John J. Schwartz, Ph.D. and Martin McGlynn. Drs. Weissman and Schwartz and Mr. McGlynn are also members of the Board of the parent company; Mr. McGlynn is President of StemCells California as well as President and CEO of StemCells, Inc. References in this annual report to “the Company,” “we,” “us,” and similar words include this subsidiary.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right="160" w:firstLine="267"/>
        <w:spacing w:after="0" w:line="289" w:lineRule="auto"/>
        <w:rPr>
          <w:sz w:val="20"/>
          <w:szCs w:val="20"/>
          <w:color w:val="auto"/>
        </w:rPr>
      </w:pPr>
      <w:r>
        <w:rPr>
          <w:rFonts w:ascii="Arial" w:cs="Arial" w:eastAsia="Arial" w:hAnsi="Arial"/>
          <w:sz w:val="16"/>
          <w:szCs w:val="16"/>
          <w:color w:val="auto"/>
        </w:rPr>
        <w:t>We have entered into a number of research-plus-license agreements with academic organizations including The Scripps Research Institute (Scripps), the California Institute of Technology (Cal Tech), the Oregon Health Sciences University (OHSU), and the University of Texas Medical Branch (UTMB). The research components of the UTMB agreement is in progress, but those with the other institutions mentioned have been concluded and have resulted in a number of license agreements for resultant technology. Under the license agreements, we are typically subject to obligations of due diligence and the requirement to pay royalties on products that use patented technology licensed under such agreements. The license agreements with these institutions relate largely to stem or progenitor cells and or to processes and methods for the isolation, identification, expansion or culturing of stem or progenitor cells. Generally speaking, these license agreements will terminate upon expiration, revocation or invalidation of the patents licensed to us, unless governmental regulations require a shorter term. They also will terminate earlier if we breach our obligations under the agreement and do not cure the breach, or if we declare bankruptcy, and we can terminate the license agreements at any time upon notice.</w:t>
      </w:r>
    </w:p>
    <w:p>
      <w:pPr>
        <w:spacing w:after="0" w:line="59"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In the case of Scripps, we must pay $50,000 upon the initiation of the Phase II trial for our first product using Scripps licensed technology, and upon completion of that Phase II trial we must pay Scripps an additional $125,000. Upon approval of the first product for sale in the market, we must pay Scripps $250,000.</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Pursuant to the terms of our license agreement with Cal Tech and our acquisition of our wholly owned subsidiary, StemCells California, we issued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14,513 shares of our common stock to Cal Tech. We issued an additional 12,800 shares of common stock to Cal Tech with a market value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$40,000 in May 2000, upon execution of an amendment adding four families of patent applications to the license agreement. We must pay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 upon the issuance of the patent licensed to us under the relevant agreement and $5,000 on the first anniversary of the issuance of the patent licensed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us under the relevant agreement. These amounts are creditable against royalties we must pay under the license agreements. The maximum royalties that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have to pay to the California Institute of Technology will be $2 million per year, with an overall maximum of $15 million. Once we pay the $15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maximum royalty, the licenses will become fully paid and irrevocable. In August 2002 we acquired an additional license from Cal Tech to different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technology, pursuant to which we issued 27,535 shares of our common stock with a market value of approximately $35,000; we have also issued 9,535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common stock with a market value of approximately $15,000 to Cal Tech on the issuance of two patents covered under this additional license.</w:t>
      </w:r>
    </w:p>
    <w:p>
      <w:pPr>
        <w:spacing w:after="0" w:line="114" w:lineRule="exact"/>
        <w:rPr>
          <w:sz w:val="20"/>
          <w:szCs w:val="20"/>
          <w:color w:val="auto"/>
        </w:rPr>
      </w:pPr>
    </w:p>
    <w:p>
      <w:pPr>
        <w:ind w:right="80" w:firstLine="270"/>
        <w:spacing w:after="0" w:line="279" w:lineRule="auto"/>
        <w:rPr>
          <w:sz w:val="20"/>
          <w:szCs w:val="20"/>
          <w:color w:val="auto"/>
        </w:rPr>
      </w:pPr>
      <w:r>
        <w:rPr>
          <w:rFonts w:ascii="Arial" w:cs="Arial" w:eastAsia="Arial" w:hAnsi="Arial"/>
          <w:sz w:val="17"/>
          <w:szCs w:val="17"/>
          <w:color w:val="auto"/>
        </w:rPr>
        <w:t>Pursuant to the terms of the license agreement with OHSU and our acquisition of StemCells California, we issued 4,838 shares of our common stock and an option to purchase up to 62,888 additional shares to OHSU with an exercise price of $.01 per share. The option has vested as to 9,675 shares for which shares were issued on March 31, 2002; the remaining option was terminated and we issued 4,000 shares of our common stock, with a market value of approximately $3,900, to OHSU in January 2003, pursuant to an amendment to the license agreement.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270"/>
        <w:spacing w:after="0" w:line="259" w:lineRule="auto"/>
        <w:rPr>
          <w:sz w:val="20"/>
          <w:szCs w:val="20"/>
          <w:color w:val="auto"/>
        </w:rPr>
      </w:pPr>
      <w:r>
        <w:rPr>
          <w:rFonts w:ascii="Arial" w:cs="Arial" w:eastAsia="Arial" w:hAnsi="Arial"/>
          <w:sz w:val="18"/>
          <w:szCs w:val="18"/>
          <w:color w:val="auto"/>
        </w:rPr>
        <w:t>In 2002, we issued a license to BioWhittaker, Inc., for the exclusive right to make, sell and distribute one of our proprietary cells for the research market only. In 2003 and 2004 respectively, we issued non-exclusive licenses to StemCell Technologies, Inc. to make, use and sell certain proprietary mouse and rat neural stem cells and culture media for all mammalian neural stem cells, and to R&amp;D Systems to make, use and sell certain stem cell expansion kits, also for the research market. These licenses are not expected to generate material revenues.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Signal Pharmaceuticals, Inc.</w:t>
      </w:r>
    </w:p>
    <w:p>
      <w:pPr>
        <w:spacing w:after="0" w:line="11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In December 1997, we entered into two sublicense agreements with Signal Pharmaceuticals (Signal), Inc. under which each party sublicensed to the other certain patent rights and biological materials for use in defined fields. Signal has now been acquired by Celgene, which in 2004 relinquished its license to the University of California, which then terminated the sublicense to StemCells for lack of diligence. The remaining sublicense with Signal will terminate no later than at the expiration of all patents licensed under it, but StemCells can terminate it earlier if Celgene breaches its obligations under the agreement or declares bankruptcy; Celgene can terminate the agreement at any time upon notice to StemCells.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NeuroSpheres, Ltd.</w:t>
      </w:r>
    </w:p>
    <w:p>
      <w:pPr>
        <w:spacing w:after="0" w:line="117" w:lineRule="exact"/>
        <w:rPr>
          <w:sz w:val="20"/>
          <w:szCs w:val="20"/>
          <w:color w:val="auto"/>
        </w:rPr>
      </w:pPr>
    </w:p>
    <w:p>
      <w:pPr>
        <w:ind w:right="20" w:firstLine="270"/>
        <w:spacing w:after="0" w:line="286" w:lineRule="auto"/>
        <w:rPr>
          <w:sz w:val="20"/>
          <w:szCs w:val="20"/>
          <w:color w:val="auto"/>
        </w:rPr>
      </w:pPr>
      <w:r>
        <w:rPr>
          <w:rFonts w:ascii="Arial" w:cs="Arial" w:eastAsia="Arial" w:hAnsi="Arial"/>
          <w:sz w:val="16"/>
          <w:szCs w:val="16"/>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Together, our rights under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in October 2000 we reimbursed Neurospheres for patent costs amounting to $341,000. Milestone payments, payable at various stages in the development of potential products, would total $500,000 for each product that is approved for market. The first milestone for a potential product is $50,000, became due in 2004 when the product candidate for Batten disease entered pre-clinical development in a non-rodent model. The next milestone for that product candidate will be $75,000, due upon acceptance of our Investigational New Drug (IND) application with the U.S. Food and Drug Administration (FDA) and the commencement of clinical trials in human patients. In addition, we made our first annual payment of $50,000 in 2004; the annual payments are due by the last day of the year and are fully creditable against royalties due to NeuroSpheres. Our agreements with NeuroSpheres will terminate at the expiration of all patents licensed to us, but can terminate earlier if we breach our obligations under the agreement and do not cure the breach, or if we declare bankruptcy. We have a security interest in the licensed technology.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20" w:firstLine="267"/>
        <w:spacing w:after="0" w:line="342" w:lineRule="auto"/>
        <w:rPr>
          <w:sz w:val="20"/>
          <w:szCs w:val="20"/>
          <w:color w:val="auto"/>
        </w:rPr>
      </w:pPr>
      <w:r>
        <w:rPr>
          <w:rFonts w:ascii="Arial" w:cs="Arial" w:eastAsia="Arial" w:hAnsi="Arial"/>
          <w:sz w:val="16"/>
          <w:szCs w:val="16"/>
          <w:color w:val="auto"/>
        </w:rPr>
        <w:t>We believe that our facility in Palo Alto has the capacity to be used for cell processing under FDA-determined Good Manufacturing Practices-like conditions in quantities sufficient for clinical trials, and we have developed a robust and replicable process for producing and processing the cells.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right="360" w:firstLine="270"/>
        <w:spacing w:after="0" w:line="277" w:lineRule="auto"/>
        <w:rPr>
          <w:sz w:val="20"/>
          <w:szCs w:val="20"/>
          <w:color w:val="auto"/>
        </w:rPr>
      </w:pPr>
      <w:r>
        <w:rPr>
          <w:rFonts w:ascii="Arial" w:cs="Arial" w:eastAsia="Arial" w:hAnsi="Arial"/>
          <w:sz w:val="18"/>
          <w:szCs w:val="18"/>
          <w:color w:val="auto"/>
        </w:rPr>
        <w:t>Because of the early stage of our stem and progenitor cell programs, we have not yet addressed questions of channels of distribution and marketing of potential future products.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Proprietary Rights And Licenses</w:t>
      </w:r>
    </w:p>
    <w:p>
      <w:pPr>
        <w:spacing w:after="0" w:line="121"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We believe that proprietary protection of our inventions will be critical to our future business. We vigorously seek out intellectual property that we believe might be useful in connection with our products, and have an aggressive program of protecting our intellectual property.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79" w:lineRule="exact"/>
        <w:rPr>
          <w:sz w:val="20"/>
          <w:szCs w:val="20"/>
          <w:color w:val="auto"/>
        </w:rPr>
      </w:pPr>
    </w:p>
    <w:p>
      <w:pPr>
        <w:ind w:right="120" w:firstLine="267"/>
        <w:spacing w:after="0" w:line="285" w:lineRule="auto"/>
        <w:rPr>
          <w:sz w:val="20"/>
          <w:szCs w:val="20"/>
          <w:color w:val="auto"/>
        </w:rPr>
      </w:pPr>
      <w:r>
        <w:rPr>
          <w:rFonts w:ascii="Arial" w:cs="Arial" w:eastAsia="Arial" w:hAnsi="Arial"/>
          <w:sz w:val="16"/>
          <w:szCs w:val="16"/>
          <w:color w:val="auto"/>
        </w:rPr>
        <w:t>We have exclusive or non-exclusive rights to a portfolio of patents and patent applications related to various stem and progenitor cells and methods of deriving and using them. These patents and patent applications relate to compositions of matter, methods of obtaining such cells, and methods for preparing, transplanting and utilizing such cells. Currently, our U.S. patent portfolio includes forty-three issued U.S. patents, three of which issued in 2004. More than thirty additional patent applications are pending, two of which have been allowed. In addition, we have foreign counterparts to many of the U.S. applications and patents; counterparts to fourteen of our U.S. patents or applications have issued in various countries, making a total of about 130 individual non-</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U.S. patents from those fourteen cases. In 2003, one party filed an opposition to two of our issued European patent cases. While we are confident that we will overcome the opposition, there is no guarantee that we will prevail. If we are unsuccessful in our defense of the opposed patents, all claimed rights in the opposed patents will be lost in Europe. U.S. counterparts to these patents are part of our issued patent portfolio; they are not subject to opposition, since that procedure does not exist under U.S. patent law, although other types of proceedings may be available to third parties to contest our U.S. patents.</w:t>
      </w:r>
    </w:p>
    <w:p>
      <w:pPr>
        <w:spacing w:after="0" w:line="53"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In December 1998, the U.S. Patent and Trademark Office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 U.S. Patent No. 5,968,829, entitled “Human CNS Neural Stem Cells,” which covers our composition of matter for human CNS stem cells, was granted in 1999, and U.S. Patent No. 6,103,530, covering our media for culturing human CNS stem cells, was granted in 2000.</w:t>
      </w:r>
    </w:p>
    <w:p>
      <w:pPr>
        <w:spacing w:after="0" w:line="50"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 xml:space="preserve">In 2002, the U.S. Patent Office issued a key strategic patent to us: U.S. Patent Number 6,468,794, entitled “Enriched central nervous system stem cell and progenitor cell populations, and methods for identifying, isolating and enriching for such populations.” The patent issued on October 22, 2002 and covers the identification and purification of the human CNS stem cell. In 2001, we were granted U.S. Patent No. 6,238,922 (“Use of collagenase in the preparation of neural stem cell cultures”) which described methods to advance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culture and passage of human CNS stem cells that result in a 100-fold increase in CNS stem and progenitor cell production after 6 passages. We believe the methodologies of these two patents together will augment our leadership position in the stem cell field by providing a reproducible proprietary method for obtaining and expanding stem cells for therapeutic uses.</w:t>
      </w:r>
    </w:p>
    <w:p>
      <w:pPr>
        <w:spacing w:after="0" w:line="57" w:lineRule="exact"/>
        <w:rPr>
          <w:sz w:val="20"/>
          <w:szCs w:val="20"/>
          <w:color w:val="auto"/>
        </w:rPr>
      </w:pPr>
    </w:p>
    <w:p>
      <w:pPr>
        <w:ind w:firstLine="260"/>
        <w:spacing w:after="0" w:line="279" w:lineRule="auto"/>
        <w:rPr>
          <w:sz w:val="20"/>
          <w:szCs w:val="20"/>
          <w:color w:val="auto"/>
        </w:rPr>
      </w:pPr>
      <w:r>
        <w:rPr>
          <w:rFonts w:ascii="Arial" w:cs="Arial" w:eastAsia="Arial" w:hAnsi="Arial"/>
          <w:sz w:val="17"/>
          <w:szCs w:val="17"/>
          <w:color w:val="auto"/>
        </w:rPr>
        <w:t>Another significant patent in the neural field, of which we are the exclusive licensees, was also issued in 2002, and, we believe, may prove even more important: We believe that U.S. Patent Number 6,497,872, entitled “Neural transplantation using proliferated multipotent neural stem cells and their progeny,” covers transplanting any neural stem cells or their differentiated progeny, whether the cells have been cultured in suspension or as adherent cells, for the treatment of any disease. The patent gives us the right to exclude others from practicing the claimed invention.</w:t>
      </w:r>
    </w:p>
    <w:p>
      <w:pPr>
        <w:spacing w:after="0" w:line="6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2003, two neurogenin-related patents were issued (U.S. Patents Numbers 6,555,337 and 6,566,496) as well as U.S. Patent Number 6,638,501, covering the use of multipotent neural stem cell progeny to augment non-neural tissues and U.S. Patent Number 6,541,251, covering a novel pancreatic progenitor gene and its uses.</w:t>
      </w:r>
    </w:p>
    <w:p>
      <w:pPr>
        <w:spacing w:after="0" w:line="73"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In 2004, U.S. Patent Number 6,777,233, covering a cell culture composition of multipotent human neural stem cells regardless of the source of tissue from which the cells are derived, was issued to the Company.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addition, U.S. Patent Number 6,824,774, covering antibodies that specifically bind to a neuron-restrictive silencer factor protein, and U.S. Patent Number 6,753,153, covering markers for identification and isolation of certain pancreatic islet progenitors, were issued; these patents are exclusively licensed to the Company.</w:t>
      </w:r>
    </w:p>
    <w:p>
      <w:pPr>
        <w:spacing w:after="0" w:line="73"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These new patents, together with U.S. Patent Number 6,294,346 (“Use of multipotent neural stem cells and their progeny for the screening of drugs and other biological agents”), which issued September 25, 2001, have strengthened our already extensive patent portfolio and, we believe, give StemCells the dominant intellectual property position in the field, covering methods for identification, isolation, expansion, and transplantation of neural stem cells as well as drug discovery and testing.</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lists our issued U.S. patents and published international patent applications: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U.S. Patent Number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00" w:type="dxa"/>
            <w:vAlign w:val="bottom"/>
            <w:tcBorders>
              <w:bottom w:val="single" w:sz="8" w:color="auto"/>
            </w:tcBorders>
          </w:tcPr>
          <w:p>
            <w:pPr>
              <w:ind w:left="3020"/>
              <w:spacing w:after="0"/>
              <w:rPr>
                <w:sz w:val="20"/>
                <w:szCs w:val="20"/>
                <w:color w:val="auto"/>
              </w:rPr>
            </w:pPr>
            <w:r>
              <w:rPr>
                <w:rFonts w:ascii="Arial" w:cs="Arial" w:eastAsia="Arial" w:hAnsi="Arial"/>
                <w:sz w:val="14"/>
                <w:szCs w:val="14"/>
                <w:b w:val="1"/>
                <w:bCs w:val="1"/>
                <w:color w:val="auto"/>
              </w:rPr>
              <w:t>Subject</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Owned by StemCells</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5,968,829</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Human CNS neural stem cells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6,103,530</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Human CNS neural stem cells — culture media</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6,238,922</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Use of collagenase in the preparation of neural stem cell cultures</w:t>
            </w: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6,468,794</w:t>
            </w:r>
          </w:p>
        </w:tc>
        <w:tc>
          <w:tcPr>
            <w:tcW w:w="2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Enriched neural stem cell populations, and methods for identifying, isolating and</w:t>
            </w: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22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enriching for neural stem cells</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6,498,018</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Human CNS neural stem cells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6,777,233</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Cultures of human CNS neural stem cells.</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Licensed from NeuroSpheres</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5,750,376</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 vitro genetic modification</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5,851,832</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 vitro proliferation</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5,980,885</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Methods for inducing in vivo proliferation of precursor cells</w:t>
            </w:r>
          </w:p>
        </w:tc>
      </w:tr>
      <w:tr>
        <w:trPr>
          <w:trHeight w:val="202"/>
        </w:trPr>
        <w:tc>
          <w:tcPr>
            <w:tcW w:w="20" w:type="dxa"/>
            <w:vAlign w:val="bottom"/>
          </w:tcPr>
          <w:p>
            <w:pPr>
              <w:spacing w:after="0"/>
              <w:rPr>
                <w:sz w:val="17"/>
                <w:szCs w:val="17"/>
                <w:color w:val="auto"/>
              </w:rPr>
            </w:pPr>
          </w:p>
        </w:tc>
        <w:tc>
          <w:tcPr>
            <w:tcW w:w="4460" w:type="dxa"/>
            <w:vAlign w:val="bottom"/>
          </w:tcPr>
          <w:p>
            <w:pPr>
              <w:ind w:left="340"/>
              <w:spacing w:after="0" w:line="201" w:lineRule="exact"/>
              <w:rPr>
                <w:sz w:val="20"/>
                <w:szCs w:val="20"/>
                <w:color w:val="auto"/>
              </w:rPr>
            </w:pPr>
            <w:r>
              <w:rPr>
                <w:rFonts w:ascii="Arial" w:cs="Arial" w:eastAsia="Arial" w:hAnsi="Arial"/>
                <w:sz w:val="18"/>
                <w:szCs w:val="18"/>
                <w:color w:val="auto"/>
              </w:rPr>
              <w:t>5,981,165</w:t>
            </w:r>
          </w:p>
        </w:tc>
        <w:tc>
          <w:tcPr>
            <w:tcW w:w="2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color w:val="auto"/>
              </w:rPr>
              <w:t>In vitro production of dopaminergic cells from mammalian central nervous system</w:t>
            </w: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multipotent stem cell compositions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6,071,889</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9"/>
              </w:rPr>
              <w:t>Methods for in vivo transfer of a nucleic acid sequence to proliferating neural cells</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6,093,531</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Generation of hematopoietic cells from multipotent neural stem cells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6,165,783</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Methods of inducing differentiation of multipotent neural stem cells</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6,294,346</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Methods for screening biological agents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6,368,854</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Hypoxia-mediated neurogenesis</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6,399,369</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cDNA libraries derived from populations of non-primary neural cells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6,497,872</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2"/>
              </w:rPr>
              <w:t>Neural transplantation using proliferated multipotent neural stem cells and their progeny</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6,638,501</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Use of multipotent neural stem cell progeny to augment non-neural tissues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Licensed from University of California, San Diego</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5,766,948</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Method of production of neuroblasts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6,013,521</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Method of production of neuroblasts</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6,020,197</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Method of production of neuroblasts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6,045,807</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Method of production of neuroblasts</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6,265,175</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Method of production of neuroblasts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6599695</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Method for assaying for early gene expression in neuroblasts</w:t>
            </w:r>
          </w:p>
        </w:tc>
      </w:tr>
      <w:tr>
        <w:trPr>
          <w:trHeight w:val="40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940" w:type="dxa"/>
            <w:vAlign w:val="bottom"/>
            <w:gridSpan w:val="3"/>
          </w:tcPr>
          <w:p>
            <w:pPr>
              <w:jc w:val="right"/>
              <w:ind w:right="5531"/>
              <w:spacing w:after="0"/>
              <w:rPr>
                <w:sz w:val="20"/>
                <w:szCs w:val="20"/>
                <w:color w:val="auto"/>
              </w:rPr>
            </w:pPr>
            <w:r>
              <w:rPr>
                <w:rFonts w:ascii="Arial" w:cs="Arial" w:eastAsia="Arial" w:hAnsi="Arial"/>
                <w:sz w:val="18"/>
                <w:szCs w:val="18"/>
                <w:color w:val="auto"/>
              </w:rPr>
              <w:t>16</w:t>
            </w:r>
          </w:p>
        </w:tc>
      </w:tr>
      <w:tr>
        <w:trPr>
          <w:trHeight w:val="226"/>
        </w:trPr>
        <w:tc>
          <w:tcPr>
            <w:tcW w:w="20" w:type="dxa"/>
            <w:vAlign w:val="bottom"/>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60" w:type="dxa"/>
            <w:vAlign w:val="bottom"/>
            <w:tcBorders>
              <w:bottom w:val="single" w:sz="8" w:color="auto"/>
            </w:tcBorders>
          </w:tcPr>
          <w:p>
            <w:pPr>
              <w:jc w:val="right"/>
              <w:ind w:right="1531"/>
              <w:spacing w:after="0"/>
              <w:rPr>
                <w:sz w:val="20"/>
                <w:szCs w:val="20"/>
                <w:color w:val="auto"/>
              </w:rPr>
            </w:pPr>
            <w:r>
              <w:rPr>
                <w:rFonts w:ascii="Arial" w:cs="Arial" w:eastAsia="Arial" w:hAnsi="Arial"/>
                <w:sz w:val="14"/>
                <w:szCs w:val="14"/>
                <w:b w:val="1"/>
                <w:bCs w:val="1"/>
                <w:color w:val="auto"/>
              </w:rPr>
              <w:t>U.S. Patent Number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00" w:type="dxa"/>
            <w:vAlign w:val="bottom"/>
            <w:tcBorders>
              <w:bottom w:val="single" w:sz="8" w:color="auto"/>
            </w:tcBorders>
          </w:tcPr>
          <w:p>
            <w:pPr>
              <w:ind w:left="3020"/>
              <w:spacing w:after="0"/>
              <w:rPr>
                <w:sz w:val="20"/>
                <w:szCs w:val="20"/>
                <w:color w:val="auto"/>
              </w:rPr>
            </w:pPr>
            <w:r>
              <w:rPr>
                <w:rFonts w:ascii="Arial" w:cs="Arial" w:eastAsia="Arial" w:hAnsi="Arial"/>
                <w:sz w:val="14"/>
                <w:szCs w:val="14"/>
                <w:b w:val="1"/>
                <w:bCs w:val="1"/>
                <w:color w:val="auto"/>
              </w:rPr>
              <w:t>Subject</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Licensed from the California Institute of Technology</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jc w:val="right"/>
              <w:ind w:right="3311"/>
              <w:spacing w:after="0"/>
              <w:rPr>
                <w:sz w:val="20"/>
                <w:szCs w:val="20"/>
                <w:color w:val="auto"/>
              </w:rPr>
            </w:pPr>
            <w:r>
              <w:rPr>
                <w:rFonts w:ascii="Arial" w:cs="Arial" w:eastAsia="Arial" w:hAnsi="Arial"/>
                <w:sz w:val="18"/>
                <w:szCs w:val="18"/>
                <w:color w:val="auto"/>
              </w:rPr>
              <w:t>5,589,376</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Mammalian neural crest stem cells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jc w:val="right"/>
              <w:ind w:right="3311"/>
              <w:spacing w:after="0"/>
              <w:rPr>
                <w:sz w:val="20"/>
                <w:szCs w:val="20"/>
                <w:color w:val="auto"/>
              </w:rPr>
            </w:pPr>
            <w:r>
              <w:rPr>
                <w:rFonts w:ascii="Arial" w:cs="Arial" w:eastAsia="Arial" w:hAnsi="Arial"/>
                <w:sz w:val="18"/>
                <w:szCs w:val="18"/>
                <w:color w:val="auto"/>
              </w:rPr>
              <w:t>5,629,159</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Immortalization and disimmortalization of cells</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3311"/>
              <w:spacing w:after="0"/>
              <w:rPr>
                <w:sz w:val="20"/>
                <w:szCs w:val="20"/>
                <w:color w:val="auto"/>
              </w:rPr>
            </w:pPr>
            <w:r>
              <w:rPr>
                <w:rFonts w:ascii="Arial" w:cs="Arial" w:eastAsia="Arial" w:hAnsi="Arial"/>
                <w:sz w:val="18"/>
                <w:szCs w:val="18"/>
                <w:color w:val="auto"/>
              </w:rPr>
              <w:t>5,654,183</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Genetically engineered mammalian neural crest stem cells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jc w:val="right"/>
              <w:ind w:right="3311"/>
              <w:spacing w:after="0"/>
              <w:rPr>
                <w:sz w:val="20"/>
                <w:szCs w:val="20"/>
                <w:color w:val="auto"/>
              </w:rPr>
            </w:pPr>
            <w:r>
              <w:rPr>
                <w:rFonts w:ascii="Arial" w:cs="Arial" w:eastAsia="Arial" w:hAnsi="Arial"/>
                <w:sz w:val="18"/>
                <w:szCs w:val="18"/>
                <w:color w:val="auto"/>
              </w:rPr>
              <w:t>5,672,499</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Methods for immortalizing multipotent neural crest stem cells</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3311"/>
              <w:spacing w:after="0"/>
              <w:rPr>
                <w:sz w:val="20"/>
                <w:szCs w:val="20"/>
                <w:color w:val="auto"/>
              </w:rPr>
            </w:pPr>
            <w:r>
              <w:rPr>
                <w:rFonts w:ascii="Arial" w:cs="Arial" w:eastAsia="Arial" w:hAnsi="Arial"/>
                <w:sz w:val="18"/>
                <w:szCs w:val="18"/>
                <w:color w:val="auto"/>
              </w:rPr>
              <w:t>5,693,482</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 vitro neural crest stem cell assay</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jc w:val="right"/>
              <w:ind w:right="3311"/>
              <w:spacing w:after="0"/>
              <w:rPr>
                <w:sz w:val="20"/>
                <w:szCs w:val="20"/>
                <w:color w:val="auto"/>
              </w:rPr>
            </w:pPr>
            <w:r>
              <w:rPr>
                <w:rFonts w:ascii="Arial" w:cs="Arial" w:eastAsia="Arial" w:hAnsi="Arial"/>
                <w:sz w:val="18"/>
                <w:szCs w:val="18"/>
                <w:color w:val="auto"/>
              </w:rPr>
              <w:t>5,824,489</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Methods for isolating mammalian multipotent neural crest stem cells</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3311"/>
              <w:spacing w:after="0"/>
              <w:rPr>
                <w:sz w:val="20"/>
                <w:szCs w:val="20"/>
                <w:color w:val="auto"/>
              </w:rPr>
            </w:pPr>
            <w:r>
              <w:rPr>
                <w:rFonts w:ascii="Arial" w:cs="Arial" w:eastAsia="Arial" w:hAnsi="Arial"/>
                <w:sz w:val="18"/>
                <w:szCs w:val="18"/>
                <w:color w:val="auto"/>
              </w:rPr>
              <w:t>5,849,553</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Immortalizing and disimmortalizing multipotent neural crest stem cells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jc w:val="right"/>
              <w:ind w:right="3311"/>
              <w:spacing w:after="0"/>
              <w:rPr>
                <w:sz w:val="20"/>
                <w:szCs w:val="20"/>
                <w:color w:val="auto"/>
              </w:rPr>
            </w:pPr>
            <w:r>
              <w:rPr>
                <w:rFonts w:ascii="Arial" w:cs="Arial" w:eastAsia="Arial" w:hAnsi="Arial"/>
                <w:sz w:val="18"/>
                <w:szCs w:val="18"/>
                <w:color w:val="auto"/>
              </w:rPr>
              <w:t>5,928,947</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Mammalian multipotent neural crest stem cells</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3311"/>
              <w:spacing w:after="0"/>
              <w:rPr>
                <w:sz w:val="20"/>
                <w:szCs w:val="20"/>
                <w:color w:val="auto"/>
              </w:rPr>
            </w:pPr>
            <w:r>
              <w:rPr>
                <w:rFonts w:ascii="Arial" w:cs="Arial" w:eastAsia="Arial" w:hAnsi="Arial"/>
                <w:sz w:val="18"/>
                <w:szCs w:val="18"/>
                <w:color w:val="auto"/>
              </w:rPr>
              <w:t>5,935,811</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Neuron restrictive silencer factor proteins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jc w:val="right"/>
              <w:ind w:right="3311"/>
              <w:spacing w:after="0"/>
              <w:rPr>
                <w:sz w:val="20"/>
                <w:szCs w:val="20"/>
                <w:color w:val="auto"/>
              </w:rPr>
            </w:pPr>
            <w:r>
              <w:rPr>
                <w:rFonts w:ascii="Arial" w:cs="Arial" w:eastAsia="Arial" w:hAnsi="Arial"/>
                <w:sz w:val="18"/>
                <w:szCs w:val="18"/>
                <w:color w:val="auto"/>
              </w:rPr>
              <w:t>6,001,654</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4"/>
              </w:rPr>
              <w:t>Methods for differentiating neural stem cells to neurons or smooth muscle cells (TGFb)</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3311"/>
              <w:spacing w:after="0"/>
              <w:rPr>
                <w:sz w:val="20"/>
                <w:szCs w:val="20"/>
                <w:color w:val="auto"/>
              </w:rPr>
            </w:pPr>
            <w:r>
              <w:rPr>
                <w:rFonts w:ascii="Arial" w:cs="Arial" w:eastAsia="Arial" w:hAnsi="Arial"/>
                <w:sz w:val="18"/>
                <w:szCs w:val="18"/>
                <w:color w:val="auto"/>
              </w:rPr>
              <w:t>6,033,906</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Differentiating mammalian neural stem cells to glial cells using neuregulins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jc w:val="right"/>
              <w:ind w:right="3311"/>
              <w:spacing w:after="0"/>
              <w:rPr>
                <w:sz w:val="20"/>
                <w:szCs w:val="20"/>
                <w:color w:val="auto"/>
              </w:rPr>
            </w:pPr>
            <w:r>
              <w:rPr>
                <w:rFonts w:ascii="Arial" w:cs="Arial" w:eastAsia="Arial" w:hAnsi="Arial"/>
                <w:sz w:val="18"/>
                <w:szCs w:val="18"/>
                <w:color w:val="auto"/>
              </w:rPr>
              <w:t>6,270,990</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Neuron restrictive silencer factor proteins</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3311"/>
              <w:spacing w:after="0"/>
              <w:rPr>
                <w:sz w:val="20"/>
                <w:szCs w:val="20"/>
                <w:color w:val="auto"/>
              </w:rPr>
            </w:pPr>
            <w:r>
              <w:rPr>
                <w:rFonts w:ascii="Arial" w:cs="Arial" w:eastAsia="Arial" w:hAnsi="Arial"/>
                <w:sz w:val="18"/>
                <w:szCs w:val="18"/>
                <w:color w:val="auto"/>
              </w:rPr>
              <w:t>6,555,337</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Neurogenin</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jc w:val="right"/>
              <w:ind w:right="3311"/>
              <w:spacing w:after="0"/>
              <w:rPr>
                <w:sz w:val="20"/>
                <w:szCs w:val="20"/>
                <w:color w:val="auto"/>
              </w:rPr>
            </w:pPr>
            <w:r>
              <w:rPr>
                <w:rFonts w:ascii="Arial" w:cs="Arial" w:eastAsia="Arial" w:hAnsi="Arial"/>
                <w:sz w:val="18"/>
                <w:szCs w:val="18"/>
                <w:color w:val="auto"/>
              </w:rPr>
              <w:t>6,566,496</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Neurogenin</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3311"/>
              <w:spacing w:after="0"/>
              <w:rPr>
                <w:sz w:val="20"/>
                <w:szCs w:val="20"/>
                <w:color w:val="auto"/>
              </w:rPr>
            </w:pPr>
            <w:r>
              <w:rPr>
                <w:rFonts w:ascii="Arial" w:cs="Arial" w:eastAsia="Arial" w:hAnsi="Arial"/>
                <w:sz w:val="18"/>
                <w:szCs w:val="18"/>
                <w:color w:val="auto"/>
              </w:rPr>
              <w:t>6,824,774</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Antibodies that bind neuron-restrictive silencer factor proteins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Licensed from the Scripps Research Institute</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60" w:type="dxa"/>
            <w:vAlign w:val="bottom"/>
          </w:tcPr>
          <w:p>
            <w:pPr>
              <w:jc w:val="right"/>
              <w:ind w:right="3311"/>
              <w:spacing w:after="0" w:line="201" w:lineRule="exact"/>
              <w:rPr>
                <w:sz w:val="20"/>
                <w:szCs w:val="20"/>
                <w:color w:val="auto"/>
              </w:rPr>
            </w:pPr>
            <w:r>
              <w:rPr>
                <w:rFonts w:ascii="Arial" w:cs="Arial" w:eastAsia="Arial" w:hAnsi="Arial"/>
                <w:sz w:val="18"/>
                <w:szCs w:val="18"/>
                <w:color w:val="auto"/>
              </w:rPr>
              <w:t>6,242,666</w:t>
            </w:r>
          </w:p>
        </w:tc>
        <w:tc>
          <w:tcPr>
            <w:tcW w:w="2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color w:val="auto"/>
                <w:w w:val="93"/>
              </w:rPr>
              <w:t>An animal model for identifying a common stem/ progenitor to liver cells and pancreatic</w:t>
            </w: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cells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jc w:val="right"/>
              <w:ind w:right="3311"/>
              <w:spacing w:after="0"/>
              <w:rPr>
                <w:sz w:val="20"/>
                <w:szCs w:val="20"/>
                <w:color w:val="auto"/>
              </w:rPr>
            </w:pPr>
            <w:r>
              <w:rPr>
                <w:rFonts w:ascii="Arial" w:cs="Arial" w:eastAsia="Arial" w:hAnsi="Arial"/>
                <w:sz w:val="18"/>
                <w:szCs w:val="18"/>
                <w:color w:val="auto"/>
              </w:rPr>
              <w:t>6,541,251</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Pancreatic progenitor 1 gene and its uses</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3311"/>
              <w:spacing w:after="0"/>
              <w:rPr>
                <w:sz w:val="20"/>
                <w:szCs w:val="20"/>
                <w:color w:val="auto"/>
              </w:rPr>
            </w:pPr>
            <w:r>
              <w:rPr>
                <w:rFonts w:ascii="Arial" w:cs="Arial" w:eastAsia="Arial" w:hAnsi="Arial"/>
                <w:sz w:val="18"/>
                <w:szCs w:val="18"/>
                <w:color w:val="auto"/>
              </w:rPr>
              <w:t>6,753,153</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7"/>
              </w:rPr>
              <w:t>Markers for identification and isolation of pancreatic islet alpha and beta progenitors</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Licensed from Oregon Health Sciences University</w:t>
            </w: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jc w:val="right"/>
              <w:ind w:right="3311"/>
              <w:spacing w:after="0"/>
              <w:rPr>
                <w:sz w:val="20"/>
                <w:szCs w:val="20"/>
                <w:color w:val="auto"/>
              </w:rPr>
            </w:pPr>
            <w:r>
              <w:rPr>
                <w:rFonts w:ascii="Arial" w:cs="Arial" w:eastAsia="Arial" w:hAnsi="Arial"/>
                <w:sz w:val="18"/>
                <w:szCs w:val="18"/>
                <w:color w:val="auto"/>
              </w:rPr>
              <w:t>6,132,708</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Liver regeneration using pancreas cells</w:t>
            </w:r>
          </w:p>
        </w:tc>
      </w:tr>
      <w:tr>
        <w:trPr>
          <w:trHeight w:val="40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940" w:type="dxa"/>
            <w:vAlign w:val="bottom"/>
            <w:gridSpan w:val="3"/>
          </w:tcPr>
          <w:p>
            <w:pPr>
              <w:jc w:val="right"/>
              <w:ind w:right="5531"/>
              <w:spacing w:after="0"/>
              <w:rPr>
                <w:sz w:val="20"/>
                <w:szCs w:val="20"/>
                <w:color w:val="auto"/>
              </w:rPr>
            </w:pPr>
            <w:r>
              <w:rPr>
                <w:rFonts w:ascii="Arial" w:cs="Arial" w:eastAsia="Arial" w:hAnsi="Arial"/>
                <w:sz w:val="18"/>
                <w:szCs w:val="18"/>
                <w:color w:val="auto"/>
              </w:rPr>
              <w:t>17</w:t>
            </w:r>
          </w:p>
        </w:tc>
      </w:tr>
      <w:tr>
        <w:trPr>
          <w:trHeight w:val="226"/>
        </w:trPr>
        <w:tc>
          <w:tcPr>
            <w:tcW w:w="20" w:type="dxa"/>
            <w:vAlign w:val="bottom"/>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Published International Patent Applications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8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Subject</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Owned by StemCells</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WO 99/11758</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Cultures of human CNS neural stem cells</w:t>
            </w: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WO 00/47762</w:t>
            </w: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Enriched neural stem cell populations and methods of identifying, isolating, and</w:t>
            </w: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enriching neural stem cells</w:t>
            </w: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WO 00/50572</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Use of collagenase in the preparation of neural stem cell cultures</w:t>
            </w: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WO 04/020597</w:t>
            </w: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Enriched central nervous system stem cell and progenitor cell populations, and methods</w:t>
            </w: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for identifying, isolating, and enriching for such populations</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Licensed from NeuroSpheres</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 93/01275</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Mammalian central nervous system multipotent stem cell compositions</w:t>
            </w:r>
          </w:p>
        </w:tc>
      </w:tr>
      <w:tr>
        <w:trPr>
          <w:trHeight w:val="202"/>
        </w:trPr>
        <w:tc>
          <w:tcPr>
            <w:tcW w:w="20" w:type="dxa"/>
            <w:vAlign w:val="bottom"/>
          </w:tcPr>
          <w:p>
            <w:pPr>
              <w:spacing w:after="0"/>
              <w:rPr>
                <w:sz w:val="17"/>
                <w:szCs w:val="17"/>
                <w:color w:val="auto"/>
              </w:rPr>
            </w:pPr>
          </w:p>
        </w:tc>
        <w:tc>
          <w:tcPr>
            <w:tcW w:w="4560" w:type="dxa"/>
            <w:vAlign w:val="bottom"/>
          </w:tcPr>
          <w:p>
            <w:pPr>
              <w:ind w:left="340"/>
              <w:spacing w:after="0" w:line="201" w:lineRule="exact"/>
              <w:rPr>
                <w:sz w:val="20"/>
                <w:szCs w:val="20"/>
                <w:color w:val="auto"/>
              </w:rPr>
            </w:pPr>
            <w:r>
              <w:rPr>
                <w:rFonts w:ascii="Arial" w:cs="Arial" w:eastAsia="Arial" w:hAnsi="Arial"/>
                <w:sz w:val="18"/>
                <w:szCs w:val="18"/>
                <w:color w:val="auto"/>
              </w:rPr>
              <w:t>WO 94/09119</w:t>
            </w: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Remyelination using mammalian central nervous system multipotent stem cell</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compositions</w:t>
            </w: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WO 94/10292</w:t>
            </w: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Biological factors useful in differentiating mammalian central nervous system</w:t>
            </w: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multipotent stem cell compositions</w:t>
            </w:r>
          </w:p>
        </w:tc>
      </w:tr>
      <w:tr>
        <w:trPr>
          <w:trHeight w:val="202"/>
        </w:trPr>
        <w:tc>
          <w:tcPr>
            <w:tcW w:w="20" w:type="dxa"/>
            <w:vAlign w:val="bottom"/>
          </w:tcPr>
          <w:p>
            <w:pPr>
              <w:spacing w:after="0"/>
              <w:rPr>
                <w:sz w:val="17"/>
                <w:szCs w:val="17"/>
                <w:color w:val="auto"/>
              </w:rPr>
            </w:pPr>
          </w:p>
        </w:tc>
        <w:tc>
          <w:tcPr>
            <w:tcW w:w="4560" w:type="dxa"/>
            <w:vAlign w:val="bottom"/>
          </w:tcPr>
          <w:p>
            <w:pPr>
              <w:ind w:left="340"/>
              <w:spacing w:after="0" w:line="201" w:lineRule="exact"/>
              <w:rPr>
                <w:sz w:val="20"/>
                <w:szCs w:val="20"/>
                <w:color w:val="auto"/>
              </w:rPr>
            </w:pPr>
            <w:r>
              <w:rPr>
                <w:rFonts w:ascii="Arial" w:cs="Arial" w:eastAsia="Arial" w:hAnsi="Arial"/>
                <w:sz w:val="18"/>
                <w:szCs w:val="18"/>
                <w:color w:val="auto"/>
              </w:rPr>
              <w:t>WO 94/16718</w:t>
            </w: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9"/>
              </w:rPr>
              <w:t>Genetically engineered mammalian central nervous system multipotent stem cell</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compositions</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 95/13364</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 situ modification and manipulation of stem cells of the CNS</w:t>
            </w:r>
          </w:p>
        </w:tc>
      </w:tr>
      <w:tr>
        <w:trPr>
          <w:trHeight w:val="202"/>
        </w:trPr>
        <w:tc>
          <w:tcPr>
            <w:tcW w:w="20" w:type="dxa"/>
            <w:vAlign w:val="bottom"/>
          </w:tcPr>
          <w:p>
            <w:pPr>
              <w:spacing w:after="0"/>
              <w:rPr>
                <w:sz w:val="17"/>
                <w:szCs w:val="17"/>
                <w:color w:val="auto"/>
              </w:rPr>
            </w:pPr>
          </w:p>
        </w:tc>
        <w:tc>
          <w:tcPr>
            <w:tcW w:w="4560" w:type="dxa"/>
            <w:vAlign w:val="bottom"/>
          </w:tcPr>
          <w:p>
            <w:pPr>
              <w:ind w:left="340"/>
              <w:spacing w:after="0" w:line="201" w:lineRule="exact"/>
              <w:rPr>
                <w:sz w:val="20"/>
                <w:szCs w:val="20"/>
                <w:color w:val="auto"/>
              </w:rPr>
            </w:pPr>
            <w:r>
              <w:rPr>
                <w:rFonts w:ascii="Arial" w:cs="Arial" w:eastAsia="Arial" w:hAnsi="Arial"/>
                <w:sz w:val="18"/>
                <w:szCs w:val="18"/>
                <w:color w:val="auto"/>
              </w:rPr>
              <w:t>WO 96/15224</w:t>
            </w: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8"/>
              </w:rPr>
              <w:t>In vitro production of dopaminergic cells from mammalian central nervous system</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multipotent stem cell composition</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 99/16863</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Generation of hematopoietic cells</w:t>
            </w: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WO 99/21966</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Erythropoietin-mediated neurogenesis</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Licensed from University of California, San Diego</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WO 94/16059</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Method of production of neuroblasts</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Licensed from the California Institute of Technology</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WO 94/02593</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Mammalian neural crest stem cells</w:t>
            </w: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WO 00/52143</w:t>
            </w: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Isolation and enrichment of neural stem cells from uncultured tissue based on cell-</w:t>
            </w: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surface marker expression</w:t>
            </w: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WO 96/27665</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Neuron restrictive silencer factor proteins</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 96/40877</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Immortalization and disimmortalization of cells</w:t>
            </w:r>
          </w:p>
        </w:tc>
      </w:tr>
      <w:tr>
        <w:trPr>
          <w:trHeight w:val="202"/>
        </w:trPr>
        <w:tc>
          <w:tcPr>
            <w:tcW w:w="20" w:type="dxa"/>
            <w:vAlign w:val="bottom"/>
          </w:tcPr>
          <w:p>
            <w:pPr>
              <w:spacing w:after="0"/>
              <w:rPr>
                <w:sz w:val="17"/>
                <w:szCs w:val="17"/>
                <w:color w:val="auto"/>
              </w:rPr>
            </w:pPr>
          </w:p>
        </w:tc>
        <w:tc>
          <w:tcPr>
            <w:tcW w:w="4560" w:type="dxa"/>
            <w:vAlign w:val="bottom"/>
          </w:tcPr>
          <w:p>
            <w:pPr>
              <w:ind w:left="340"/>
              <w:spacing w:after="0" w:line="201" w:lineRule="exact"/>
              <w:rPr>
                <w:sz w:val="20"/>
                <w:szCs w:val="20"/>
                <w:color w:val="auto"/>
              </w:rPr>
            </w:pPr>
            <w:r>
              <w:rPr>
                <w:rFonts w:ascii="Arial" w:cs="Arial" w:eastAsia="Arial" w:hAnsi="Arial"/>
                <w:sz w:val="18"/>
                <w:szCs w:val="18"/>
                <w:color w:val="auto"/>
              </w:rPr>
              <w:t>WO 98/48001</w:t>
            </w: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4"/>
              </w:rPr>
              <w:t>Methods for differentiating neural stem cells to neurons or smooth muscle cells using</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TGF-# super family growth factors</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Licensed from The Scripps Research Institute</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340"/>
              <w:spacing w:after="0" w:line="201" w:lineRule="exact"/>
              <w:rPr>
                <w:sz w:val="20"/>
                <w:szCs w:val="20"/>
                <w:color w:val="auto"/>
              </w:rPr>
            </w:pPr>
            <w:r>
              <w:rPr>
                <w:rFonts w:ascii="Arial" w:cs="Arial" w:eastAsia="Arial" w:hAnsi="Arial"/>
                <w:sz w:val="18"/>
                <w:szCs w:val="18"/>
                <w:color w:val="auto"/>
              </w:rPr>
              <w:t>WO 00/36091</w:t>
            </w: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2"/>
              </w:rPr>
              <w:t>An animal model for identifying a common stem/progenitor to liver cells and pancreatic</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cells</w:t>
            </w: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also rely upon trade-secret protection for our confidential and proprietary information and take active measures to control access to that information.</w:t>
      </w:r>
    </w:p>
    <w:p>
      <w:pPr>
        <w:spacing w:after="0" w:line="140" w:lineRule="exact"/>
        <w:rPr>
          <w:sz w:val="20"/>
          <w:szCs w:val="20"/>
          <w:color w:val="auto"/>
        </w:rPr>
      </w:pPr>
    </w:p>
    <w:p>
      <w:pPr>
        <w:ind w:right="440" w:firstLine="270"/>
        <w:spacing w:after="0" w:line="276" w:lineRule="auto"/>
        <w:rPr>
          <w:sz w:val="20"/>
          <w:szCs w:val="20"/>
          <w:color w:val="auto"/>
        </w:rPr>
      </w:pPr>
      <w:r>
        <w:rPr>
          <w:rFonts w:ascii="Arial" w:cs="Arial" w:eastAsia="Arial" w:hAnsi="Arial"/>
          <w:sz w:val="17"/>
          <w:szCs w:val="17"/>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liver and pancreas stem cells. Our licenses may be canceled or converted to non-exclusive licenses if we fail to use the relevant technology or if we breach our agreements. Loss of such licenses could expose us to the risks of third party patents and/or technology. There can be no assurance that any of these licenses will provide effective protection against our competitors.</w:t>
      </w:r>
    </w:p>
    <w:p>
      <w:pPr>
        <w:spacing w:after="0" w:line="81" w:lineRule="exact"/>
        <w:rPr>
          <w:sz w:val="20"/>
          <w:szCs w:val="20"/>
          <w:color w:val="auto"/>
        </w:rPr>
      </w:pPr>
    </w:p>
    <w:p>
      <w:pPr>
        <w:ind w:right="100" w:firstLine="267"/>
        <w:spacing w:after="0" w:line="290" w:lineRule="auto"/>
        <w:rPr>
          <w:sz w:val="20"/>
          <w:szCs w:val="20"/>
          <w:color w:val="auto"/>
        </w:rPr>
      </w:pPr>
      <w:r>
        <w:rPr>
          <w:rFonts w:ascii="Arial" w:cs="Arial" w:eastAsia="Arial" w:hAnsi="Arial"/>
          <w:sz w:val="16"/>
          <w:szCs w:val="16"/>
          <w:color w:val="auto"/>
        </w:rPr>
        <w:t>The patent positions of pharmaceutical and biotechnology companies, including ours, are uncertain and involve complex and evolving legal and factual questions The coverage sought in a patent application can be denied or significantly reduced before or after the patent is issued. Consequently, we do not know whether any of our pending applications will result in the issuance of patents, or if any existing or future patents will provide significant protection or commercial advantage or will be circumvented by others. Since patent applications are secret until the applications are published (usually eighteen months after the earliest effective filing date),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There can be no assurance that patents will issue from our pending or future patent applications or, if issued, that such patents will be of commercial benefit to us, afford us adequate protection from competing products, or not be challenged or declared invalid.</w:t>
      </w:r>
    </w:p>
    <w:p>
      <w:pPr>
        <w:spacing w:after="0" w:line="58"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color w:val="auto"/>
        </w:rPr>
        <w:t>In the event that a third party has also filed a patent application relating to inventions claimed in our patent applications, we may have to participate in interference proceedings declared by the United States Patent and Trademark Office to determine priority of invention, which could result in substantial uncertainties and cost for us, even if the eventual outcome is favorable to us. There can be no assurance that our patents, if issued, would be held valid by a court of competent jurisdiction.</w:t>
      </w:r>
    </w:p>
    <w:p>
      <w:pPr>
        <w:spacing w:after="0" w:line="79" w:lineRule="exact"/>
        <w:rPr>
          <w:sz w:val="20"/>
          <w:szCs w:val="20"/>
          <w:color w:val="auto"/>
        </w:rPr>
      </w:pPr>
    </w:p>
    <w:p>
      <w:pPr>
        <w:ind w:right="60" w:firstLine="270"/>
        <w:spacing w:after="0" w:line="279" w:lineRule="auto"/>
        <w:rPr>
          <w:sz w:val="20"/>
          <w:szCs w:val="20"/>
          <w:color w:val="auto"/>
        </w:rPr>
      </w:pPr>
      <w:r>
        <w:rPr>
          <w:rFonts w:ascii="Arial" w:cs="Arial" w:eastAsia="Arial" w:hAnsi="Arial"/>
          <w:sz w:val="17"/>
          <w:szCs w:val="17"/>
          <w:color w:val="auto"/>
        </w:rPr>
        <w:t>One party has opposed two of our issued European patents. While we are confident that we will overcome the opposition, there is no guarantee that we will prevail. If we are unsuccessful in our defense of the opposed patents, all claimed rights in the opposed patents will be lost in Europe. U.S. counterparts to these patents are part of our issued patent portfolio; they are not subject to opposition, since that procedure does not exist under U.S. patent law, although other types of proceedings may be available to third parties to contest our U.S. patents.</w:t>
      </w:r>
    </w:p>
    <w:p>
      <w:pPr>
        <w:spacing w:after="0" w:line="63" w:lineRule="exact"/>
        <w:rPr>
          <w:sz w:val="20"/>
          <w:szCs w:val="20"/>
          <w:color w:val="auto"/>
        </w:rPr>
      </w:pPr>
    </w:p>
    <w:p>
      <w:pPr>
        <w:ind w:right="20" w:firstLine="260"/>
        <w:spacing w:after="0" w:line="273"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our expected products. We cannot predict which, if any, of such applications will issue as patents or the claims that might be allowed. We are aware that a number of companies have filed applications relating to stem cells. We are also aware of a number of patent applications and patents claiming use of genetically modified cells to treat disease, disorder or injury. We are aware of two patents issued to a competitor claiming certain methods for treating defective, diseased or damaged cells in the mammalian CNS by grafting genetically modified donor cells from the same mammalian species.</w:t>
      </w:r>
    </w:p>
    <w:p>
      <w:pPr>
        <w:spacing w:after="0" w:line="70"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If third party patents or patent applications contain claims infringed by our technology and such claims or claims in issued patents are ultimately determined to be valid, there can be no assurance that we would be able to obtain licenses to these patents at a reasonable cost, if at all, or be able to develop or obtain alternative technology. If we are unable to obtain such licenses at a reasonable cost, we may not be able to develop certain products commercially. There can be no assurance that we will not be obliged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267"/>
        <w:spacing w:after="0" w:line="269" w:lineRule="auto"/>
        <w:rPr>
          <w:sz w:val="20"/>
          <w:szCs w:val="20"/>
          <w:color w:val="auto"/>
        </w:rPr>
      </w:pPr>
      <w:r>
        <w:rPr>
          <w:rFonts w:ascii="Arial" w:cs="Arial" w:eastAsia="Arial" w:hAnsi="Arial"/>
          <w:sz w:val="17"/>
          <w:szCs w:val="17"/>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lysosomal storage disorders,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75"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Competition for any stem and progenitor cell products that we may develop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79"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We may also face competition from companies that have filed patent applications relating to the use of genetically modified cells to treat disease, disorder or injury. In the event our therapies should require the use of such genetically modified cells, we may be required to seek licenses from these competitors in order to commercialize certain of our proposed products, and such licenses may not be granted.</w:t>
      </w:r>
    </w:p>
    <w:p>
      <w:pPr>
        <w:spacing w:after="0" w:line="73"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If we develop products that receive regulatory approval, they would then have to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80" w:lineRule="exact"/>
        <w:rPr>
          <w:sz w:val="20"/>
          <w:szCs w:val="20"/>
          <w:color w:val="auto"/>
        </w:rPr>
      </w:pPr>
    </w:p>
    <w:p>
      <w:pPr>
        <w:ind w:right="380" w:firstLine="267"/>
        <w:spacing w:after="0" w:line="264" w:lineRule="auto"/>
        <w:rPr>
          <w:sz w:val="20"/>
          <w:szCs w:val="20"/>
          <w:color w:val="auto"/>
        </w:rPr>
      </w:pPr>
      <w:r>
        <w:rPr>
          <w:rFonts w:ascii="Arial" w:cs="Arial" w:eastAsia="Arial" w:hAnsi="Arial"/>
          <w:sz w:val="18"/>
          <w:szCs w:val="18"/>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62" w:lineRule="exact"/>
        <w:rPr>
          <w:sz w:val="20"/>
          <w:szCs w:val="20"/>
          <w:color w:val="auto"/>
        </w:rPr>
      </w:pPr>
    </w:p>
    <w:p>
      <w:pPr>
        <w:ind w:right="300" w:firstLine="270"/>
        <w:spacing w:after="0" w:line="255" w:lineRule="auto"/>
        <w:rPr>
          <w:sz w:val="20"/>
          <w:szCs w:val="20"/>
          <w:color w:val="auto"/>
        </w:rPr>
      </w:pPr>
      <w:r>
        <w:rPr>
          <w:rFonts w:ascii="Arial" w:cs="Arial" w:eastAsia="Arial" w:hAnsi="Arial"/>
          <w:sz w:val="18"/>
          <w:szCs w:val="18"/>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FDA Approval</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steps required before our potential products may be marketed in the United States include:</w:t>
      </w:r>
    </w:p>
    <w:p>
      <w:pPr>
        <w:spacing w:after="0" w:line="122" w:lineRule="exact"/>
        <w:rPr>
          <w:sz w:val="20"/>
          <w:szCs w:val="20"/>
          <w:color w:val="auto"/>
        </w:rPr>
      </w:pPr>
    </w:p>
    <w:p>
      <w:pPr>
        <w:jc w:val="both"/>
        <w:ind w:left="2640"/>
        <w:spacing w:after="0"/>
        <w:tabs>
          <w:tab w:leader="none" w:pos="8200" w:val="left"/>
        </w:tabs>
        <w:rPr>
          <w:sz w:val="20"/>
          <w:szCs w:val="20"/>
          <w:color w:val="auto"/>
        </w:rPr>
      </w:pPr>
      <w:r>
        <w:rPr>
          <w:rFonts w:ascii="Arial" w:cs="Arial" w:eastAsia="Arial" w:hAnsi="Arial"/>
          <w:sz w:val="14"/>
          <w:szCs w:val="14"/>
          <w:b w:val="1"/>
          <w:bCs w:val="1"/>
          <w:color w:val="auto"/>
        </w:rPr>
        <w:t>Steps</w:t>
      </w:r>
      <w:r>
        <w:rPr>
          <w:sz w:val="20"/>
          <w:szCs w:val="20"/>
          <w:color w:val="auto"/>
        </w:rPr>
        <w:tab/>
      </w:r>
      <w:r>
        <w:rPr>
          <w:rFonts w:ascii="Arial" w:cs="Arial" w:eastAsia="Arial" w:hAnsi="Arial"/>
          <w:sz w:val="14"/>
          <w:szCs w:val="14"/>
          <w:b w:val="1"/>
          <w:bCs w:val="1"/>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Preclinical laboratory and animal tests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140" w:right="220" w:hanging="132"/>
        <w:spacing w:after="0" w:line="264"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U.S. human clinical trials may commence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40" w:right="360" w:hanging="132"/>
        <w:spacing w:after="0" w:line="277" w:lineRule="auto"/>
        <w:tabs>
          <w:tab w:leader="none" w:pos="1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Preclinical tests include laboratory evaluation of the cells and the formulation intended for use in humans for quality and consistency.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vivo</w:t>
      </w:r>
      <w:r>
        <w:rPr>
          <w:rFonts w:ascii="Arial" w:cs="Arial" w:eastAsia="Arial" w:hAnsi="Arial"/>
          <w:sz w:val="16"/>
          <w:szCs w:val="16"/>
          <w:color w:val="auto"/>
        </w:rPr>
        <w:t>studies are performed in normal animals and specific disease models to</w:t>
      </w:r>
      <w:r>
        <w:rPr>
          <w:rFonts w:ascii="Arial" w:cs="Arial" w:eastAsia="Arial" w:hAnsi="Arial"/>
          <w:sz w:val="16"/>
          <w:szCs w:val="16"/>
          <w:i w:val="1"/>
          <w:iCs w:val="1"/>
          <w:color w:val="auto"/>
        </w:rPr>
        <w:t xml:space="preserve"> </w:t>
      </w:r>
      <w:r>
        <w:rPr>
          <w:rFonts w:ascii="Arial" w:cs="Arial" w:eastAsia="Arial" w:hAnsi="Arial"/>
          <w:sz w:val="16"/>
          <w:szCs w:val="16"/>
          <w:color w:val="auto"/>
        </w:rPr>
        <w:t>assess the potential safety and efficacy of the cell therapy product.</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IND is submitted to the FDA with the preclinical data, a proposed development plan and a proposed protocol for a study in humans. The IND becomes effective 30 days following receipt by the FDA, provided there are no questions, requests for delay or objections from the FDA. If the FDA has questions or concerns, it notifies the sponsor, and the IND will then be on clinical hold until the sponsor responds satisfactorily.</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Clinical trials involve the evaluation of a potential product under the supervision of a qualified physician, in accordance with a protocol that details the objectives of the study, the parameters to be used to monitor safety and the efficacy criteria to be evaluated. Each protocol is submitted to the FDA as part of the IND. The protocol for each clinical study must be approved by an independent Institutional Review Board (IRB) of the institution at which the study is conducted and the informed consent of all participants must be obtained. The IRB reviews the existing information on the product, considers ethical factors, the safety of human subjects, the potential benefits of the therapy and the possible liability of the institution. The IRB is responsible for ongoing safety assessment of the subjects during the Clinical Investigation.</w:t>
      </w:r>
    </w:p>
    <w:p>
      <w:pPr>
        <w:spacing w:after="0" w:line="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Clinical development is traditionally conducted in three sequential phases, Phase 1, 2 and 3.</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Phase 1 studies for a cell therapy product are designed to evaluate safety in a small number subjects in a selected patient population by assessing adverse effects, and may include multiple dose levels. This study may also gather preliminary evidence of a beneficial effect on the disease.</w:t>
      </w:r>
    </w:p>
    <w:p>
      <w:pPr>
        <w:spacing w:after="0" w:line="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Phase 2 may involve studies in a limited patient population to determine biological and clinical effects of the product and to identify possible adverse effects and safety risks of the product in the selected patient population.</w:t>
      </w:r>
    </w:p>
    <w:p>
      <w:pPr>
        <w:spacing w:after="0" w:line="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Phase 3 trials would be undertaken to conclusively demonstrate clinical benefit or effect and to test further for safety within a broader patient population, generally at multiple study sites.</w:t>
      </w:r>
    </w:p>
    <w:p>
      <w:pPr>
        <w:sectPr>
          <w:pgSz w:w="11900" w:h="16838" w:orient="portrait"/>
          <w:cols w:equalWidth="0" w:num="2">
            <w:col w:w="5800" w:space="160"/>
            <w:col w:w="5460"/>
          </w:cols>
          <w:pgMar w:left="240" w:top="419" w:right="23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19" w:right="259" w:bottom="1440" w:gutter="0" w:footer="0" w:header="0"/>
        </w:sectPr>
      </w:pPr>
    </w:p>
    <w:p>
      <w:pPr>
        <w:spacing w:after="0" w:line="338"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59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marketing authorization applications</w:t>
      </w:r>
    </w:p>
    <w:p>
      <w:pPr>
        <w:spacing w:after="0" w:line="225" w:lineRule="exact"/>
        <w:rPr>
          <w:rFonts w:ascii="Arial" w:cs="Arial" w:eastAsia="Arial" w:hAnsi="Arial"/>
          <w:sz w:val="18"/>
          <w:szCs w:val="18"/>
          <w:color w:val="auto"/>
        </w:rPr>
      </w:pPr>
    </w:p>
    <w:p>
      <w:pPr>
        <w:ind w:left="140" w:right="40" w:hanging="132"/>
        <w:spacing w:after="0" w:line="259" w:lineRule="auto"/>
        <w:tabs>
          <w:tab w:leader="none" w:pos="1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The FDA continually reviews the clinical trial plans and results and may suggest changes or may require discontinuance of the trials at any time if significant safety issues arise.</w:t>
      </w:r>
    </w:p>
    <w:p>
      <w:pPr>
        <w:ind w:right="220"/>
        <w:spacing w:after="0" w:line="287" w:lineRule="auto"/>
        <w:rPr>
          <w:sz w:val="20"/>
          <w:szCs w:val="20"/>
          <w:color w:val="auto"/>
        </w:rPr>
      </w:pPr>
      <w:r>
        <w:rPr>
          <w:rFonts w:ascii="Arial" w:cs="Arial" w:eastAsia="Arial" w:hAnsi="Arial"/>
          <w:sz w:val="16"/>
          <w:szCs w:val="16"/>
          <w:color w:val="auto"/>
        </w:rPr>
        <w:t>The results of the preclinical studies and clinical studies are submitted to the FDA in the form of marketing approval authorization applications. 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62" w:lineRule="exact"/>
        <w:rPr>
          <w:sz w:val="20"/>
          <w:szCs w:val="20"/>
          <w:color w:val="auto"/>
        </w:rPr>
      </w:pPr>
    </w:p>
    <w:p>
      <w:pPr>
        <w:sectPr>
          <w:pgSz w:w="11900" w:h="16838" w:orient="portrait"/>
          <w:cols w:equalWidth="0" w:num="2">
            <w:col w:w="5240" w:space="720"/>
            <w:col w:w="5440"/>
          </w:cols>
          <w:pgMar w:left="240" w:top="419" w:right="259" w:bottom="1440" w:gutter="0" w:footer="0" w:header="0"/>
          <w:type w:val="continuous"/>
        </w:sectPr>
      </w:pPr>
    </w:p>
    <w:p>
      <w:pPr>
        <w:ind w:right="40" w:firstLine="260"/>
        <w:spacing w:after="0" w:line="264" w:lineRule="auto"/>
        <w:rPr>
          <w:sz w:val="20"/>
          <w:szCs w:val="20"/>
          <w:color w:val="auto"/>
        </w:rPr>
      </w:pPr>
      <w:r>
        <w:rPr>
          <w:rFonts w:ascii="Arial" w:cs="Arial" w:eastAsia="Arial" w:hAnsi="Arial"/>
          <w:sz w:val="18"/>
          <w:szCs w:val="18"/>
          <w:color w:val="auto"/>
        </w:rPr>
        <w:t>After FDA approval for the product, the manufacturing and the initial indications,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FDA Manufacturing Requirements</w:t>
      </w:r>
    </w:p>
    <w:p>
      <w:pPr>
        <w:spacing w:after="0" w:line="117" w:lineRule="exact"/>
        <w:rPr>
          <w:sz w:val="20"/>
          <w:szCs w:val="20"/>
          <w:color w:val="auto"/>
        </w:rPr>
      </w:pPr>
    </w:p>
    <w:p>
      <w:pPr>
        <w:ind w:firstLine="260"/>
        <w:spacing w:after="0" w:line="255" w:lineRule="auto"/>
        <w:rPr>
          <w:sz w:val="20"/>
          <w:szCs w:val="20"/>
          <w:color w:val="auto"/>
        </w:rPr>
      </w:pPr>
      <w:r>
        <w:rPr>
          <w:rFonts w:ascii="Arial" w:cs="Arial" w:eastAsia="Arial" w:hAnsi="Arial"/>
          <w:sz w:val="18"/>
          <w:szCs w:val="18"/>
          <w:color w:val="auto"/>
        </w:rPr>
        <w:t>Among the conditions for product licensure is the requirement that the prospective manufacturer’s quality control and manufacturing procedures conform to the FDA’s current good manufacturing practice (cGMP) requirements.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Orphan Drug Act</w:t>
      </w:r>
    </w:p>
    <w:p>
      <w:pPr>
        <w:spacing w:after="0" w:line="117" w:lineRule="exact"/>
        <w:rPr>
          <w:sz w:val="20"/>
          <w:szCs w:val="20"/>
          <w:color w:val="auto"/>
        </w:rPr>
      </w:pPr>
    </w:p>
    <w:p>
      <w:pPr>
        <w:ind w:right="80" w:firstLine="267"/>
        <w:spacing w:after="0" w:line="271" w:lineRule="auto"/>
        <w:rPr>
          <w:sz w:val="20"/>
          <w:szCs w:val="20"/>
          <w:color w:val="auto"/>
        </w:rPr>
      </w:pPr>
      <w:r>
        <w:rPr>
          <w:rFonts w:ascii="Arial" w:cs="Arial" w:eastAsia="Arial" w:hAnsi="Arial"/>
          <w:sz w:val="17"/>
          <w:szCs w:val="17"/>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FDA Human Cell and Tissue Regulations</w:t>
      </w:r>
    </w:p>
    <w:p>
      <w:pPr>
        <w:spacing w:after="0" w:line="117"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Our research and development is based on the use of human stem and progenitor cells. The FDA has initiated a risk-based approach to regulating Human Cell, Tissue and Cellular and Tissue-based products and has published current Good Tissue Practice (cGTP) regulations. As part of this approach, the FDA has published final rules for registration of establishments that engage in the recovery, screening, testing, processing, storage or distribution of human cells, tissues, and cellular and tissue-based products, and for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listing of such products. In addition, the FDA has published rules for making suitability and eligibility determinations for donors of cells and tissue and for current good tissue practice for manufacturers using them, which come into effect in May 2005. We cannot now determine the full effects of this regulatory initiative, including precisely how it may affect the clarity of regulatory obligations and the extent of regulatory burdens associated with multipotent stem cell research (for stem cells that give rise to various tissue types, including blood), and the manufacture and marketing of stem cell products.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firstLine="270"/>
        <w:spacing w:after="0" w:line="308" w:lineRule="auto"/>
        <w:rPr>
          <w:sz w:val="20"/>
          <w:szCs w:val="20"/>
          <w:color w:val="auto"/>
        </w:rPr>
      </w:pPr>
      <w:r>
        <w:rPr>
          <w:rFonts w:ascii="Arial" w:cs="Arial" w:eastAsia="Arial" w:hAnsi="Arial"/>
          <w:sz w:val="17"/>
          <w:szCs w:val="17"/>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38" w:lineRule="exact"/>
        <w:rPr>
          <w:sz w:val="20"/>
          <w:szCs w:val="20"/>
          <w:color w:val="auto"/>
        </w:rPr>
      </w:pPr>
    </w:p>
    <w:p>
      <w:pPr>
        <w:ind w:right="140" w:firstLine="270"/>
        <w:spacing w:after="0" w:line="276" w:lineRule="auto"/>
        <w:rPr>
          <w:sz w:val="20"/>
          <w:szCs w:val="20"/>
          <w:color w:val="auto"/>
        </w:rPr>
      </w:pPr>
      <w:r>
        <w:rPr>
          <w:rFonts w:ascii="Arial" w:cs="Arial" w:eastAsia="Arial" w:hAnsi="Arial"/>
          <w:sz w:val="17"/>
          <w:szCs w:val="17"/>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and Health Care Cost Control</w:t>
      </w:r>
    </w:p>
    <w:p>
      <w:pPr>
        <w:spacing w:after="0" w:line="121"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73" w:lineRule="exact"/>
        <w:rPr>
          <w:sz w:val="20"/>
          <w:szCs w:val="20"/>
          <w:color w:val="auto"/>
        </w:rPr>
      </w:pPr>
    </w:p>
    <w:p>
      <w:pPr>
        <w:ind w:right="80" w:firstLine="267"/>
        <w:spacing w:after="0" w:line="255" w:lineRule="auto"/>
        <w:rPr>
          <w:sz w:val="20"/>
          <w:szCs w:val="20"/>
          <w:color w:val="auto"/>
        </w:rPr>
      </w:pPr>
      <w:r>
        <w:rPr>
          <w:rFonts w:ascii="Arial" w:cs="Arial" w:eastAsia="Arial" w:hAnsi="Arial"/>
          <w:sz w:val="18"/>
          <w:szCs w:val="18"/>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260"/>
        <w:spacing w:after="0" w:line="277" w:lineRule="auto"/>
        <w:rPr>
          <w:sz w:val="20"/>
          <w:szCs w:val="20"/>
          <w:color w:val="auto"/>
        </w:rPr>
      </w:pPr>
      <w:r>
        <w:rPr>
          <w:rFonts w:ascii="Arial" w:cs="Arial" w:eastAsia="Arial" w:hAnsi="Arial"/>
          <w:sz w:val="18"/>
          <w:szCs w:val="18"/>
          <w:color w:val="auto"/>
        </w:rPr>
        <w:t>As of December 31, 2004, we had thirty-six full-time employees, of whom nine have Ph.D. degrees. Twenty-eight full-time employees work in research and development and laboratory support services. No employees are covered by collective bargaining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60" w:firstLine="267"/>
        <w:spacing w:after="0" w:line="255" w:lineRule="auto"/>
        <w:rPr>
          <w:sz w:val="20"/>
          <w:szCs w:val="20"/>
          <w:color w:val="auto"/>
        </w:rPr>
      </w:pPr>
      <w:r>
        <w:rPr>
          <w:rFonts w:ascii="Arial" w:cs="Arial" w:eastAsia="Arial" w:hAnsi="Arial"/>
          <w:sz w:val="18"/>
          <w:szCs w:val="18"/>
          <w:color w:val="auto"/>
        </w:rPr>
        <w:t>We are subject to a number of risks, which you should be aware of before you decide to buy our common stock. These risks are discussed more fully in the “Cautionary Factors Relevant to Forward-Looking Information” attached to this Annual Report on Form 10-K as Exhibit 99. Our approach to drug discovery is unproven and all of our current product candidates are in preclinical development. While we have submitted an IND to the U.S. Food and Drug Administration, that IND is currently on clinical hold. We have not received regulatory approval for, or generated revenues from, any of our product candidates. If we do not successfully commercialize any of our product candidates, we will be unable to generate product revenue or achieve profitability. As of December 31, 2004, we had an accumulated deficit of $174,205,214. We expect to continue to incur significant and increasing losses over the next several years and we may never be profitable.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21"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Members of our Scientific Advisory Board (SAB)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We are entitled to terminate the arrangement if we determine that there is such a conflict.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59" w:lineRule="exact"/>
        <w:rPr>
          <w:sz w:val="20"/>
          <w:szCs w:val="20"/>
          <w:color w:val="auto"/>
        </w:rPr>
      </w:pPr>
    </w:p>
    <w:p>
      <w:pPr>
        <w:ind w:left="460" w:right="380" w:hanging="101"/>
        <w:spacing w:after="0" w:line="29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Irving L. Weissman, M.D., is the Karel and Avice Beekhuis Professor of Cancer Biology, Professor of Pathology and Professor of Developmental Biology at Stanford University, Stanford California, and Director of the Stanford University Institute for Cancer/ Stem Cell Biology and Medicine.</w:t>
      </w:r>
    </w:p>
    <w:p>
      <w:pPr>
        <w:ind w:left="460"/>
        <w:spacing w:after="0" w:line="287" w:lineRule="auto"/>
        <w:rPr>
          <w:rFonts w:ascii="Arial" w:cs="Arial" w:eastAsia="Arial" w:hAnsi="Arial"/>
          <w:sz w:val="16"/>
          <w:szCs w:val="16"/>
          <w:color w:val="auto"/>
        </w:rPr>
      </w:pPr>
      <w:r>
        <w:rPr>
          <w:rFonts w:ascii="Arial" w:cs="Arial" w:eastAsia="Arial" w:hAnsi="Arial"/>
          <w:sz w:val="16"/>
          <w:szCs w:val="16"/>
          <w:color w:val="auto"/>
        </w:rPr>
        <w:t>Dr. Weissman’s lab was responsible for the discovery of the first ever mammalian stem cell, the hematopoietic (blood-forming) stem cell. Dr. Weissman was responsible for the formation of three stem cell companies, SyStemix, Inc., StemCells, Inc., and Cellerant, Inc. He is a member of the Board of Directors and Chairman of the Scientific Advisory Boards of StemCells and Cellerant. Dr. Weissman co-discovered the mammalian and human hematopoietic stem cells and the human neural stem cell. Past achievements of Dr. Weissman’s laboratory include identification of the states of development between stem cells and mature blood cells and identification of the states of thymic lymphocyte development. More recently, his laboratory at Stanford has developed accurate mouse models of human leukemias, and has shown the central role of inhibition of programmed cell death in that process. Dr. Weissman has been elected to the National Academy of Science. He has received the Kaiser Award for Excellence in Preclinical Teaching, the Pasarow Foundation Award, and the Outstanding Investigator Award from the National Institutes of Health.</w:t>
      </w:r>
    </w:p>
    <w:p>
      <w:pPr>
        <w:spacing w:after="0" w:line="75" w:lineRule="exact"/>
        <w:rPr>
          <w:rFonts w:ascii="Arial" w:cs="Arial" w:eastAsia="Arial" w:hAnsi="Arial"/>
          <w:sz w:val="16"/>
          <w:szCs w:val="16"/>
          <w:color w:val="auto"/>
        </w:rPr>
      </w:pPr>
    </w:p>
    <w:p>
      <w:pPr>
        <w:ind w:left="460" w:right="100" w:hanging="101"/>
        <w:spacing w:after="0" w:line="270"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David J. Anderson, Ph.D., is Professor of Biology, California Institute of Technology, Pasadena, California and Investigator, Howard Hughes Medical Institute. His laboratory was the first to isolate a multipotent, self-renewing, stem cell for the peripheral nervous system, the first to identify instructive signals that promote the differentiation of these stem cells along various lineages, and the first to accomplish a direct purification of peripheral neural stem cells from uncultured tissue. Dr. Anderson’s laboratory also was the first to isolate transcription factors that act as master regulators of neuronal fate. More recently, he has identified signals that tell a neural stem cell to differentiate to a glial cell rather than a neuron. Dr. Anderson is a co-founder of StemCells and a member of its SAB. Dr. Anderson also serves on the SAB of Allen Institute for Brain Science. He has held a presidential Young Investigator Award from the National Science Foundation, a Sloan foundation Fellowship in Neuroscience, and has been Donald D. Matson lecturer at Harvard Medical School. He has received the Charles Judson Herrick Award from the American Association of Anatomy, and the 1999 W. Alden Spencer Award in Neurobiology from Columbia University.</w:t>
      </w:r>
    </w:p>
    <w:p>
      <w:pPr>
        <w:spacing w:after="0" w:line="87" w:lineRule="exact"/>
        <w:rPr>
          <w:rFonts w:ascii="Arial" w:cs="Arial" w:eastAsia="Arial" w:hAnsi="Arial"/>
          <w:sz w:val="17"/>
          <w:szCs w:val="17"/>
          <w:color w:val="auto"/>
        </w:rPr>
      </w:pPr>
    </w:p>
    <w:p>
      <w:pPr>
        <w:ind w:left="460" w:right="140" w:hanging="101"/>
        <w:spacing w:after="0" w:line="288"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Fred H. Gage, Ph.D., is Professor, Laboratory of Genetics, The Salk Institute for Biological Studies, La Jolla, California and Adjunct Professor, Department of Neurosciences, University of California, San Diego, California. Dr. Gage’s lab was the first to discover the mammalian central nervous system stem cell. His research focus is on the development of strategies to induce recovery of function following central nervous system</w:t>
      </w:r>
    </w:p>
    <w:p>
      <w:pPr>
        <w:ind w:left="460" w:right="200"/>
        <w:spacing w:after="0" w:line="255" w:lineRule="auto"/>
        <w:rPr>
          <w:rFonts w:ascii="Arial" w:cs="Arial" w:eastAsia="Arial" w:hAnsi="Arial"/>
          <w:sz w:val="16"/>
          <w:szCs w:val="16"/>
          <w:color w:val="auto"/>
        </w:rPr>
      </w:pPr>
      <w:r>
        <w:rPr>
          <w:rFonts w:ascii="Arial" w:cs="Arial" w:eastAsia="Arial" w:hAnsi="Arial"/>
          <w:sz w:val="18"/>
          <w:szCs w:val="18"/>
          <w:color w:val="auto"/>
        </w:rPr>
        <w:t>(CNS) damage. Dr. Gage is a co-founder of StemCells and a member of its SAB. Dr. Gage also serves on the Scientific Advisory Board of Ceregene, Inc. Dr. Gage has been the recipient of numerous awards, including the 1993 Charles A. Dana Award for Pioneering Achievements in Health and Education, the Christopher Reeves Medal, the Decade of the Brain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Medal, the Max-Planck research Prize, and the Pasarow Foundation Award. In 2003, Professor Gage was elected to the National Academy of Science.</w:t>
      </w:r>
    </w:p>
    <w:p>
      <w:pPr>
        <w:spacing w:after="0" w:line="248"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Consultants to our SAB include William C. Mobley, M.D., Ph.D., Maria Millan, M.D., Ben Barres, Ph.D., and Seung Kim, M.D., Ph.D., all of Stanford University and Stephen Back, M.D., of the Oregon Health Science University.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60" w:firstLine="270"/>
        <w:spacing w:after="0" w:line="293" w:lineRule="auto"/>
        <w:rPr>
          <w:sz w:val="20"/>
          <w:szCs w:val="20"/>
          <w:color w:val="auto"/>
        </w:rPr>
      </w:pPr>
      <w:r>
        <w:rPr>
          <w:rFonts w:ascii="Arial" w:cs="Arial" w:eastAsia="Arial" w:hAnsi="Arial"/>
          <w:sz w:val="16"/>
          <w:szCs w:val="16"/>
          <w:color w:val="auto"/>
        </w:rPr>
        <w:t>Our principal executive offices are located at 3155 Porter Drive, Palo Alto, CA 94304, and our main telephone number is (650) 475-3100. Investors can obtain access to this annual report on Form 10-K, our quarterly reports on Form 10-Q, our current reports on Form 8-K and all amendments to these reports, free of charge, on our website at http://www.stemcellsinc.com as soon as reasonably practicable after such filings are electronically filed with the SEC. The public may read and copy any material we file with the SEC at the SEC’s Public Reference Room at 450 Fifth Street, N.W., Washington D.C., 20549. The public may obtain information on the operations of the Public Reference Room by calling the SEC at 1-800-SEC-0330. The SEC maintains an Internet site, http://www.sec.gov, which contains reports, proxy and information statements and other information regarding issuers that file electronically with the SEC.</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ind w:right="60" w:firstLine="267"/>
        <w:spacing w:after="0" w:line="302" w:lineRule="auto"/>
        <w:rPr>
          <w:sz w:val="20"/>
          <w:szCs w:val="20"/>
          <w:color w:val="auto"/>
        </w:rPr>
      </w:pPr>
      <w:r>
        <w:rPr>
          <w:rFonts w:ascii="Arial" w:cs="Arial" w:eastAsia="Arial" w:hAnsi="Arial"/>
          <w:sz w:val="16"/>
          <w:szCs w:val="16"/>
          <w:color w:val="auto"/>
        </w:rPr>
        <w:t>We entered into a 5-year lease, as of February 1, 2001, for a 40,000 square foot facility, located in the Stanford Research Park in Palo Alto, California. This facility includes space for animals as well as laboratories, offices, and a suite designed to be used to manufacture materials for clinical trials. The facility will better enable us to achieve our goal of utilizing genetically unmodified human stem cells for the treatment of disorders of the nervous system, liver, and pancreas. We have space-sharing agreements for part of the animal facility not needed for our own use, including one with Stanford University.</w:t>
      </w:r>
    </w:p>
    <w:p>
      <w:pPr>
        <w:spacing w:after="0" w:line="46"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We continue to lease the following facilities in Lincoln, Rhode Island obtained in connection with our former encapsulated cell technology: our former research laboratory and corporate headquarters building which contains 62,500 square feet of wet labs, specialty research areas and administrative offices held on a lease agreement that goes through June 2013, as well as a 21,000 square-foot pilot manufacturing facility and a 3,000 square-foot cell processing facility financed by bonds issued by the Rhode Island Industrial Facilities Corporation. We have subleased the 21,000 square-foot and the 3,000 square foot facility. We have also subleased approximately one-fourth of the 62,500 square foot facility. We are actively seeking to sublease, assign or sell our remaining interests in these properties.</w:t>
      </w:r>
    </w:p>
    <w:p>
      <w:pPr>
        <w:spacing w:after="0" w:line="1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1" w:lineRule="exact"/>
        <w:rPr>
          <w:sz w:val="20"/>
          <w:szCs w:val="20"/>
          <w:color w:val="auto"/>
        </w:rPr>
      </w:pPr>
    </w:p>
    <w:p>
      <w:pPr>
        <w:jc w:val="both"/>
        <w:ind w:right="140" w:firstLine="270"/>
        <w:spacing w:after="0" w:line="264" w:lineRule="auto"/>
        <w:rPr>
          <w:sz w:val="20"/>
          <w:szCs w:val="20"/>
          <w:color w:val="auto"/>
        </w:rPr>
      </w:pPr>
      <w:r>
        <w:rPr>
          <w:rFonts w:ascii="Arial" w:cs="Arial" w:eastAsia="Arial" w:hAnsi="Arial"/>
          <w:sz w:val="18"/>
          <w:szCs w:val="18"/>
          <w:color w:val="auto"/>
        </w:rPr>
        <w:t>Geron Corporation has opposed two of our European patents that relate to neural stem cells and their uses. The oppositions were filed with the European Patent Office on December 11, 2003 (Patent No. EP-B-0594669) and February 13, 2004 (Patent No. EP-B-0669973). We filed responses to both oppositions on September 23, 2004. Geron alleges that each patent should be revoked on multiple grounds.</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SUBMISSION OF MATTERS TO A VOTE OF SECURITY HOLDERS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40" w:right="520" w:hanging="1039"/>
        <w:spacing w:after="0" w:line="277"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STOCKHOLDERS MATTERS AND ISSUER PURCHASES OF EQUITY SECURITIES</w:t>
      </w:r>
    </w:p>
    <w:p>
      <w:pPr>
        <w:spacing w:after="0" w:line="66" w:lineRule="exact"/>
        <w:rPr>
          <w:sz w:val="20"/>
          <w:szCs w:val="20"/>
          <w:color w:val="auto"/>
        </w:rPr>
      </w:pPr>
    </w:p>
    <w:p>
      <w:pPr>
        <w:ind w:right="520" w:firstLine="267"/>
        <w:spacing w:after="0" w:line="277" w:lineRule="auto"/>
        <w:rPr>
          <w:sz w:val="20"/>
          <w:szCs w:val="20"/>
          <w:color w:val="auto"/>
        </w:rPr>
      </w:pPr>
      <w:r>
        <w:rPr>
          <w:rFonts w:ascii="Arial" w:cs="Arial" w:eastAsia="Arial" w:hAnsi="Arial"/>
          <w:sz w:val="18"/>
          <w:szCs w:val="18"/>
          <w:color w:val="auto"/>
        </w:rPr>
        <w:t>The common stock of StemCells is traded on the SmallCap Market System of NASDAQ under the Symbol STEM. Prior to December 23, 2002 our common stock was traded on the NASDAQ National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Market. The quarterly ranges of high and low bid prices for the last two fiscal years as reported by NASDAQ are shown below:</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8360" w:type="dxa"/>
            <w:vAlign w:val="bottom"/>
            <w:tcBorders>
              <w:top w:val="single" w:sz="8" w:color="auto"/>
              <w:left w:val="single" w:sz="8" w:color="auto"/>
              <w:right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ind w:right="1140"/>
              <w:spacing w:after="0"/>
              <w:rPr>
                <w:sz w:val="20"/>
                <w:szCs w:val="20"/>
                <w:color w:val="auto"/>
              </w:rPr>
            </w:pPr>
            <w:r>
              <w:rPr>
                <w:rFonts w:ascii="Arial" w:cs="Arial" w:eastAsia="Arial" w:hAnsi="Arial"/>
                <w:sz w:val="14"/>
                <w:szCs w:val="14"/>
                <w:b w:val="1"/>
                <w:bCs w:val="1"/>
                <w:color w:val="auto"/>
                <w:w w:val="92"/>
              </w:rPr>
              <w:t>Low</w:t>
            </w:r>
          </w:p>
        </w:tc>
      </w:tr>
      <w:tr>
        <w:trPr>
          <w:trHeight w:val="216"/>
        </w:trPr>
        <w:tc>
          <w:tcPr>
            <w:tcW w:w="8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2004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First Quarter</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0"/>
              <w:spacing w:after="0"/>
              <w:rPr>
                <w:sz w:val="20"/>
                <w:szCs w:val="20"/>
                <w:color w:val="auto"/>
              </w:rPr>
            </w:pPr>
            <w:r>
              <w:rPr>
                <w:rFonts w:ascii="Arial" w:cs="Arial" w:eastAsia="Arial" w:hAnsi="Arial"/>
                <w:sz w:val="18"/>
                <w:szCs w:val="18"/>
                <w:color w:val="auto"/>
              </w:rPr>
              <w:t>1.56</w:t>
            </w:r>
          </w:p>
        </w:tc>
      </w:tr>
      <w:tr>
        <w:trPr>
          <w:trHeight w:val="216"/>
        </w:trPr>
        <w:tc>
          <w:tcPr>
            <w:tcW w:w="8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1.30</w:t>
            </w:r>
          </w:p>
        </w:tc>
      </w:tr>
      <w:tr>
        <w:trPr>
          <w:trHeight w:val="216"/>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Third Quarter</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0"/>
              <w:spacing w:after="0"/>
              <w:rPr>
                <w:sz w:val="20"/>
                <w:szCs w:val="20"/>
                <w:color w:val="auto"/>
              </w:rPr>
            </w:pPr>
            <w:r>
              <w:rPr>
                <w:rFonts w:ascii="Arial" w:cs="Arial" w:eastAsia="Arial" w:hAnsi="Arial"/>
                <w:sz w:val="18"/>
                <w:szCs w:val="18"/>
                <w:color w:val="auto"/>
              </w:rPr>
              <w:t>1.25</w:t>
            </w:r>
          </w:p>
        </w:tc>
      </w:tr>
      <w:tr>
        <w:trPr>
          <w:trHeight w:val="216"/>
        </w:trPr>
        <w:tc>
          <w:tcPr>
            <w:tcW w:w="8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1.52</w:t>
            </w:r>
          </w:p>
        </w:tc>
      </w:tr>
      <w:tr>
        <w:trPr>
          <w:trHeight w:val="216"/>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0.85</w:t>
            </w:r>
          </w:p>
        </w:tc>
      </w:tr>
      <w:tr>
        <w:trPr>
          <w:trHeight w:val="216"/>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0"/>
              <w:spacing w:after="0"/>
              <w:rPr>
                <w:sz w:val="20"/>
                <w:szCs w:val="20"/>
                <w:color w:val="auto"/>
              </w:rPr>
            </w:pPr>
            <w:r>
              <w:rPr>
                <w:rFonts w:ascii="Arial" w:cs="Arial" w:eastAsia="Arial" w:hAnsi="Arial"/>
                <w:sz w:val="18"/>
                <w:szCs w:val="18"/>
                <w:color w:val="auto"/>
              </w:rPr>
              <w:t>0.65</w:t>
            </w:r>
          </w:p>
        </w:tc>
      </w:tr>
      <w:tr>
        <w:trPr>
          <w:trHeight w:val="216"/>
        </w:trPr>
        <w:tc>
          <w:tcPr>
            <w:tcW w:w="8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1.17</w:t>
            </w:r>
          </w:p>
        </w:tc>
      </w:tr>
      <w:tr>
        <w:trPr>
          <w:trHeight w:val="216"/>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Fourth Quarter</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3.10</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ind w:right="1000"/>
              <w:spacing w:after="0"/>
              <w:rPr>
                <w:sz w:val="20"/>
                <w:szCs w:val="20"/>
                <w:color w:val="auto"/>
              </w:rPr>
            </w:pPr>
            <w:r>
              <w:rPr>
                <w:rFonts w:ascii="Arial" w:cs="Arial" w:eastAsia="Arial" w:hAnsi="Arial"/>
                <w:sz w:val="18"/>
                <w:szCs w:val="18"/>
                <w:color w:val="auto"/>
              </w:rPr>
              <w:t>1.70</w:t>
            </w: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 cash dividends have been declared on the Company common stock since the Company’s inception.</w:t>
      </w:r>
    </w:p>
    <w:p>
      <w:pPr>
        <w:spacing w:after="0" w:line="117" w:lineRule="exact"/>
        <w:rPr>
          <w:sz w:val="20"/>
          <w:szCs w:val="20"/>
          <w:color w:val="auto"/>
        </w:rPr>
      </w:pPr>
    </w:p>
    <w:p>
      <w:pPr>
        <w:ind w:right="420" w:firstLine="260"/>
        <w:spacing w:after="0" w:line="277" w:lineRule="auto"/>
        <w:rPr>
          <w:sz w:val="20"/>
          <w:szCs w:val="20"/>
          <w:color w:val="auto"/>
        </w:rPr>
      </w:pPr>
      <w:r>
        <w:rPr>
          <w:rFonts w:ascii="Arial" w:cs="Arial" w:eastAsia="Arial" w:hAnsi="Arial"/>
          <w:sz w:val="18"/>
          <w:szCs w:val="18"/>
          <w:color w:val="auto"/>
        </w:rPr>
        <w:t>As of March 9, 2005, there were approximately 538 holders of record of the common stock, and as of the same date the closing price per share of the common stock on the NASDAQ SmallCap Market was $4.55.</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issued the following unregistered securities in 2004:</w:t>
      </w:r>
    </w:p>
    <w:p>
      <w:pPr>
        <w:spacing w:after="0" w:line="117" w:lineRule="exact"/>
        <w:rPr>
          <w:sz w:val="20"/>
          <w:szCs w:val="20"/>
          <w:color w:val="auto"/>
        </w:rPr>
      </w:pPr>
    </w:p>
    <w:p>
      <w:pPr>
        <w:ind w:left="460" w:right="160" w:hanging="101"/>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August 2004, StemCells issued 9,535 shares of common stock to the California Institute of Technology (Cal Tech) as payment for fees of $10,000 and $5,000 that were due on the issuance of two patents to which StemCells holds a license from Cal Tech that were payable in cash or stock at the Company’s option. The shares were issued in a transaction not involving any public offering pursuant to Section 4(2) of the Securities Act of 1933, as amended.</w:t>
      </w:r>
    </w:p>
    <w:p>
      <w:pPr>
        <w:spacing w:after="0" w:line="92" w:lineRule="exact"/>
        <w:rPr>
          <w:rFonts w:ascii="Arial" w:cs="Arial" w:eastAsia="Arial" w:hAnsi="Arial"/>
          <w:sz w:val="18"/>
          <w:szCs w:val="18"/>
          <w:color w:val="auto"/>
        </w:rPr>
      </w:pPr>
    </w:p>
    <w:p>
      <w:pPr>
        <w:ind w:left="460" w:right="100" w:hanging="101"/>
        <w:spacing w:after="0" w:line="31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December 2004, StemCells issued 1,816 shares of common stock to inventors of a technology as part payment for approximately $2,800 of the total option fee of $25,000 to acquire an exclusive license to the technology from the Board of Trustees of The Leland Stanford Junior University. The shares were issued in a transaction not involving any public offering pursuant to Section 4(2) of the Securities Act of 1933, as amended.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 Information</w:t>
      </w:r>
    </w:p>
    <w:p>
      <w:pPr>
        <w:spacing w:after="0" w:line="117"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following table provides certain information with respect to all of the Company’s equity compensation plans in effect as of the end of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57150</wp:posOffset>
            </wp:positionV>
            <wp:extent cx="171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57150</wp:posOffset>
            </wp:positionV>
            <wp:extent cx="17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2060" w:type="dxa"/>
            <w:vAlign w:val="bottom"/>
            <w:tcBorders>
              <w:left w:val="single" w:sz="8" w:color="auto"/>
            </w:tcBorders>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60" w:type="dxa"/>
            <w:vAlign w:val="bottom"/>
            <w:tcBorders>
              <w:left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7"/>
          </w:tcPr>
          <w:p>
            <w:pPr>
              <w:ind w:left="40"/>
              <w:spacing w:after="0" w:line="155" w:lineRule="exact"/>
              <w:rPr>
                <w:sz w:val="20"/>
                <w:szCs w:val="20"/>
                <w:color w:val="auto"/>
              </w:rPr>
            </w:pPr>
            <w:r>
              <w:rPr>
                <w:rFonts w:ascii="Arial" w:cs="Arial" w:eastAsia="Arial" w:hAnsi="Arial"/>
                <w:sz w:val="14"/>
                <w:szCs w:val="14"/>
                <w:b w:val="1"/>
                <w:bCs w:val="1"/>
                <w:color w:val="auto"/>
              </w:rPr>
              <w:t>Equity Compensation Plan Information</w:t>
            </w:r>
          </w:p>
        </w:tc>
        <w:tc>
          <w:tcPr>
            <w:tcW w:w="192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60" w:type="dxa"/>
            <w:vAlign w:val="bottom"/>
            <w:tcBorders>
              <w:left w:val="single" w:sz="8" w:color="auto"/>
            </w:tcBorders>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tcPr>
          <w:p>
            <w:pPr>
              <w:jc w:val="center"/>
              <w:ind w:right="224"/>
              <w:spacing w:after="0" w:line="133" w:lineRule="exact"/>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tcBorders>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tcBorders>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tcBorders>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1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3"/>
              </w:rPr>
              <w:t>for Issuance Under</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tcBorders>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Price of</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tcBorders>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tcBorders>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Options,</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3880" w:type="dxa"/>
            <w:vAlign w:val="bottom"/>
            <w:tcBorders>
              <w:left w:val="single" w:sz="8" w:color="auto"/>
            </w:tcBorders>
            <w:gridSpan w:val="2"/>
            <w:vMerge w:val="restart"/>
          </w:tcPr>
          <w:p>
            <w:pPr>
              <w:ind w:left="1520"/>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Borders>
              <w:right w:val="single" w:sz="8" w:color="auto"/>
            </w:tcBorders>
            <w:vMerge w:val="restart"/>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Securities Reflected</w:t>
            </w:r>
          </w:p>
        </w:tc>
        <w:tc>
          <w:tcPr>
            <w:tcW w:w="0" w:type="dxa"/>
            <w:vAlign w:val="bottom"/>
          </w:tcPr>
          <w:p>
            <w:pPr>
              <w:spacing w:after="0"/>
              <w:rPr>
                <w:sz w:val="1"/>
                <w:szCs w:val="1"/>
                <w:color w:val="auto"/>
              </w:rPr>
            </w:pPr>
          </w:p>
        </w:tc>
      </w:tr>
      <w:tr>
        <w:trPr>
          <w:trHeight w:val="178"/>
        </w:trPr>
        <w:tc>
          <w:tcPr>
            <w:tcW w:w="3880" w:type="dxa"/>
            <w:vAlign w:val="bottom"/>
            <w:tcBorders>
              <w:left w:val="single" w:sz="8" w:color="auto"/>
              <w:bottom w:val="single" w:sz="8" w:color="auto"/>
            </w:tcBorders>
            <w:gridSpan w:val="2"/>
            <w:vMerge w:val="continue"/>
          </w:tcPr>
          <w:p>
            <w:pPr>
              <w:spacing w:after="0"/>
              <w:rPr>
                <w:sz w:val="15"/>
                <w:szCs w:val="15"/>
                <w:color w:val="auto"/>
              </w:rPr>
            </w:pPr>
          </w:p>
        </w:tc>
        <w:tc>
          <w:tcPr>
            <w:tcW w:w="180" w:type="dxa"/>
            <w:vAlign w:val="bottom"/>
            <w:tcBorders>
              <w:right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Rights (a)</w:t>
            </w:r>
          </w:p>
        </w:tc>
        <w:tc>
          <w:tcPr>
            <w:tcW w:w="16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 (b)</w:t>
            </w:r>
          </w:p>
        </w:tc>
        <w:tc>
          <w:tcPr>
            <w:tcW w:w="26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5"/>
              </w:rPr>
              <w:t>in Column (a)) (c)</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60" w:type="dxa"/>
            <w:vAlign w:val="bottom"/>
            <w:tcBorders>
              <w:left w:val="single" w:sz="8" w:color="auto"/>
              <w:right w:val="single" w:sz="8" w:color="auto"/>
            </w:tcBorders>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Borders>
              <w:left w:val="single" w:sz="8" w:color="auto"/>
              <w:right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80" w:type="dxa"/>
            <w:vAlign w:val="bottom"/>
            <w:shd w:val="clear" w:color="auto" w:fill="CCEEFF"/>
          </w:tcPr>
          <w:p>
            <w:pPr>
              <w:spacing w:after="0"/>
              <w:rPr>
                <w:sz w:val="20"/>
                <w:szCs w:val="20"/>
                <w:color w:val="auto"/>
              </w:rPr>
            </w:pPr>
          </w:p>
        </w:tc>
        <w:tc>
          <w:tcPr>
            <w:tcW w:w="2040" w:type="dxa"/>
            <w:vAlign w:val="bottom"/>
            <w:shd w:val="clear" w:color="auto" w:fill="CCEEFF"/>
          </w:tcPr>
          <w:p>
            <w:pPr>
              <w:jc w:val="right"/>
              <w:ind w:right="363"/>
              <w:spacing w:after="0"/>
              <w:rPr>
                <w:sz w:val="20"/>
                <w:szCs w:val="20"/>
                <w:color w:val="auto"/>
              </w:rPr>
            </w:pPr>
            <w:r>
              <w:rPr>
                <w:rFonts w:ascii="Arial" w:cs="Arial" w:eastAsia="Arial" w:hAnsi="Arial"/>
                <w:sz w:val="18"/>
                <w:szCs w:val="18"/>
                <w:color w:val="auto"/>
              </w:rPr>
              <w:t>6,682,201(1)</w:t>
            </w:r>
          </w:p>
        </w:tc>
        <w:tc>
          <w:tcPr>
            <w:tcW w:w="16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$2.67</w:t>
            </w:r>
          </w:p>
        </w:tc>
        <w:tc>
          <w:tcPr>
            <w:tcW w:w="26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$2,057,440</w:t>
            </w: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tcBorders>
              <w:left w:val="single" w:sz="8" w:color="auto"/>
              <w:right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w w:val="95"/>
              </w:rPr>
              <w:t>Equity compensation arrangements not approved by</w:t>
            </w: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Borders>
              <w:left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security holders</w:t>
            </w:r>
          </w:p>
        </w:tc>
        <w:tc>
          <w:tcPr>
            <w:tcW w:w="180" w:type="dxa"/>
            <w:vAlign w:val="bottom"/>
          </w:tcPr>
          <w:p>
            <w:pPr>
              <w:spacing w:after="0"/>
              <w:rPr>
                <w:sz w:val="20"/>
                <w:szCs w:val="20"/>
                <w:color w:val="auto"/>
              </w:rPr>
            </w:pPr>
          </w:p>
        </w:tc>
        <w:tc>
          <w:tcPr>
            <w:tcW w:w="2040" w:type="dxa"/>
            <w:vAlign w:val="bottom"/>
          </w:tcPr>
          <w:p>
            <w:pPr>
              <w:jc w:val="right"/>
              <w:ind w:right="363"/>
              <w:spacing w:after="0"/>
              <w:rPr>
                <w:sz w:val="20"/>
                <w:szCs w:val="20"/>
                <w:color w:val="auto"/>
              </w:rPr>
            </w:pPr>
            <w:r>
              <w:rPr>
                <w:rFonts w:ascii="Arial" w:cs="Arial" w:eastAsia="Arial" w:hAnsi="Arial"/>
                <w:sz w:val="18"/>
                <w:szCs w:val="18"/>
                <w:color w:val="auto"/>
              </w:rPr>
              <w:t>346,199(2)</w:t>
            </w:r>
          </w:p>
        </w:tc>
        <w:tc>
          <w:tcPr>
            <w:tcW w:w="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$2.14</w:t>
            </w:r>
          </w:p>
        </w:tc>
        <w:tc>
          <w:tcPr>
            <w:tcW w:w="2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2"/>
          </w:tcPr>
          <w:p>
            <w:pPr>
              <w:jc w:val="right"/>
              <w:ind w:right="13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tcBorders>
              <w:left w:val="single" w:sz="8" w:color="auto"/>
              <w:bottom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18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8"/>
                <w:szCs w:val="18"/>
                <w:color w:val="auto"/>
              </w:rPr>
              <w:t>7,028,400</w:t>
            </w: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900" w:type="dxa"/>
            <w:vAlign w:val="bottom"/>
            <w:tcBorders>
              <w:bottom w:val="single" w:sz="8" w:color="auto"/>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$2.64</w:t>
            </w: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8"/>
                <w:szCs w:val="18"/>
                <w:color w:val="auto"/>
              </w:rPr>
              <w:t>$2,057,440</w:t>
            </w:r>
          </w:p>
        </w:tc>
        <w:tc>
          <w:tcPr>
            <w:tcW w:w="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60" w:type="dxa"/>
            <w:vAlign w:val="bottom"/>
            <w:tcBorders>
              <w:bottom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32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Incentive Stock Options issued to employees and options issued as compensation to consultants for consultation services. These options were issued under the Company’s 1992 Equity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Plan, its Directors’ Stock Option Plan, its StemCells, Inc. Stock Option Plan, or its 2001 and 2004 Equity Incentive Plans.</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warrants outstanding that are fully vested to purchase:</w:t>
      </w:r>
    </w:p>
    <w:p>
      <w:pPr>
        <w:spacing w:after="0" w:line="225" w:lineRule="exact"/>
        <w:rPr>
          <w:rFonts w:ascii="Arial" w:cs="Arial" w:eastAsia="Arial" w:hAnsi="Arial"/>
          <w:sz w:val="18"/>
          <w:szCs w:val="18"/>
          <w:color w:val="auto"/>
        </w:rPr>
      </w:pPr>
    </w:p>
    <w:p>
      <w:pPr>
        <w:ind w:left="460" w:right="120" w:hanging="101"/>
        <w:spacing w:after="0" w:line="277"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146,199 shares of our common stock that was issued in December 2001 for external services fully vested with an exercise price of $3.42 per share and exercisable, in whole or in part, for four years from the date of issuance.</w:t>
      </w:r>
    </w:p>
    <w:p>
      <w:pPr>
        <w:spacing w:after="0" w:line="75" w:lineRule="exact"/>
        <w:rPr>
          <w:rFonts w:ascii="Arial" w:cs="Arial" w:eastAsia="Arial" w:hAnsi="Arial"/>
          <w:sz w:val="18"/>
          <w:szCs w:val="18"/>
          <w:color w:val="auto"/>
        </w:rPr>
      </w:pPr>
    </w:p>
    <w:p>
      <w:pPr>
        <w:ind w:left="460" w:right="300" w:hanging="101"/>
        <w:spacing w:after="0" w:line="277"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200,000 shares of our common stock that was issued in January 2003 for external services fully vested with an exercise price of $1.20 per share and exercisable, in whole or in part, for five years from the date of issuance.</w:t>
      </w:r>
    </w:p>
    <w:p>
      <w:pPr>
        <w:spacing w:after="0" w:line="75" w:lineRule="exact"/>
        <w:rPr>
          <w:rFonts w:ascii="Arial" w:cs="Arial" w:eastAsia="Arial" w:hAnsi="Arial"/>
          <w:sz w:val="18"/>
          <w:szCs w:val="18"/>
          <w:color w:val="auto"/>
        </w:rPr>
      </w:pPr>
    </w:p>
    <w:p>
      <w:pPr>
        <w:ind w:left="460" w:right="380" w:hanging="101"/>
        <w:spacing w:after="0" w:line="277"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These warrants, which constitute the equity compensation arrangements not approved by security holders, were all issued in exchange for advisory services by non-employees.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jc w:val="both"/>
        <w:ind w:right="400" w:firstLine="267"/>
        <w:spacing w:after="0" w:line="264" w:lineRule="auto"/>
        <w:rPr>
          <w:sz w:val="20"/>
          <w:szCs w:val="20"/>
          <w:color w:val="auto"/>
        </w:rPr>
      </w:pPr>
      <w:r>
        <w:rPr>
          <w:rFonts w:ascii="Arial" w:cs="Arial" w:eastAsia="Arial" w:hAnsi="Arial"/>
          <w:sz w:val="18"/>
          <w:szCs w:val="18"/>
          <w:color w:val="auto"/>
        </w:rPr>
        <w:t>The following selected historical information has been derived from the audited financial statements of the Company. The financial information as of December 2004 and 2003 and for each of the three years in the period ended December 31, 2004 are derived from audited financial statements included elsewhere in this Form 10-K.</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2"/>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39"/>
              <w:spacing w:after="0" w:line="155" w:lineRule="exact"/>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bottom w:val="single" w:sz="8" w:color="auto"/>
            </w:tcBorders>
            <w:gridSpan w:val="3"/>
          </w:tcPr>
          <w:p>
            <w:pPr>
              <w:jc w:val="right"/>
              <w:ind w:right="231"/>
              <w:spacing w:after="0" w:line="155" w:lineRule="exact"/>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251"/>
              <w:spacing w:after="0" w:line="155"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13"/>
          </w:tcPr>
          <w:p>
            <w:pPr>
              <w:jc w:val="right"/>
              <w:ind w:right="380"/>
              <w:spacing w:after="0" w:line="155" w:lineRule="exact"/>
              <w:rPr>
                <w:sz w:val="20"/>
                <w:szCs w:val="20"/>
                <w:color w:val="auto"/>
              </w:rPr>
            </w:pPr>
            <w:r>
              <w:rPr>
                <w:rFonts w:ascii="Arial" w:cs="Arial" w:eastAsia="Arial" w:hAnsi="Arial"/>
                <w:sz w:val="14"/>
                <w:szCs w:val="14"/>
                <w:b w:val="1"/>
                <w:bCs w:val="1"/>
                <w:color w:val="auto"/>
                <w:w w:val="92"/>
              </w:rPr>
              <w:t>(In thousands, except per share amounts)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Operations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60"/>
              <w:spacing w:after="0"/>
              <w:rPr>
                <w:sz w:val="20"/>
                <w:szCs w:val="20"/>
                <w:color w:val="auto"/>
              </w:rPr>
            </w:pPr>
            <w:r>
              <w:rPr>
                <w:rFonts w:ascii="Arial" w:cs="Arial" w:eastAsia="Arial" w:hAnsi="Arial"/>
                <w:sz w:val="18"/>
                <w:szCs w:val="18"/>
                <w:color w:val="auto"/>
              </w:rPr>
              <w:t>Revenue from collaborative and licensing agreements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59"/>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Revenue from grants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60"/>
              <w:spacing w:after="0"/>
              <w:rPr>
                <w:sz w:val="20"/>
                <w:szCs w:val="20"/>
                <w:color w:val="auto"/>
              </w:rPr>
            </w:pPr>
            <w:r>
              <w:rPr>
                <w:rFonts w:ascii="Arial" w:cs="Arial" w:eastAsia="Arial" w:hAnsi="Arial"/>
                <w:sz w:val="18"/>
                <w:szCs w:val="18"/>
                <w:color w:val="auto"/>
              </w:rPr>
              <w:t>Revenue from assignment of rights to technology</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8,760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59"/>
              <w:spacing w:after="0"/>
              <w:rPr>
                <w:sz w:val="20"/>
                <w:szCs w:val="20"/>
                <w:color w:val="auto"/>
              </w:rPr>
            </w:pPr>
            <w:r>
              <w:rPr>
                <w:rFonts w:ascii="Arial" w:cs="Arial" w:eastAsia="Arial" w:hAnsi="Arial"/>
                <w:sz w:val="18"/>
                <w:szCs w:val="18"/>
                <w:color w:val="auto"/>
                <w:w w:val="88"/>
              </w:rPr>
              <w:t>6,144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w w:val="88"/>
              </w:rPr>
              <w:t>3,391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Encapsulated Cell Technology (ECT) wind-down and corporate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relocation(1)</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2,827</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59"/>
              <w:spacing w:after="0"/>
              <w:rPr>
                <w:sz w:val="20"/>
                <w:szCs w:val="20"/>
                <w:color w:val="auto"/>
              </w:rPr>
            </w:pPr>
            <w:r>
              <w:rPr>
                <w:rFonts w:ascii="Arial" w:cs="Arial" w:eastAsia="Arial" w:hAnsi="Arial"/>
                <w:sz w:val="18"/>
                <w:szCs w:val="18"/>
                <w:color w:val="auto"/>
                <w:w w:val="88"/>
              </w:rPr>
              <w:t>2,885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Loss before deemed dividends and cumulative effect of change in</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accounting principle</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(15,330)</w:t>
            </w:r>
          </w:p>
        </w:tc>
        <w:tc>
          <w:tcPr>
            <w:tcW w:w="60" w:type="dxa"/>
            <w:vAlign w:val="bottom"/>
            <w:shd w:val="clear" w:color="auto" w:fill="CCEEFF"/>
          </w:tcPr>
          <w:p>
            <w:pPr>
              <w:spacing w:after="0"/>
              <w:rPr>
                <w:sz w:val="20"/>
                <w:szCs w:val="20"/>
                <w:color w:val="auto"/>
              </w:rPr>
            </w:pPr>
          </w:p>
        </w:tc>
        <w:tc>
          <w:tcPr>
            <w:tcW w:w="1320" w:type="dxa"/>
            <w:vAlign w:val="bottom"/>
            <w:gridSpan w:val="5"/>
            <w:shd w:val="clear" w:color="auto" w:fill="CCEEFF"/>
          </w:tcPr>
          <w:p>
            <w:pPr>
              <w:jc w:val="right"/>
              <w:ind w:right="99"/>
              <w:spacing w:after="0"/>
              <w:rPr>
                <w:sz w:val="20"/>
                <w:szCs w:val="20"/>
                <w:color w:val="auto"/>
              </w:rPr>
            </w:pPr>
            <w:r>
              <w:rPr>
                <w:rFonts w:ascii="Arial" w:cs="Arial" w:eastAsia="Arial" w:hAnsi="Arial"/>
                <w:sz w:val="18"/>
                <w:szCs w:val="18"/>
                <w:color w:val="auto"/>
              </w:rPr>
              <w:t>(12,291)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(11,644)</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230"/>
              <w:spacing w:after="0"/>
              <w:rPr>
                <w:sz w:val="20"/>
                <w:szCs w:val="20"/>
                <w:color w:val="auto"/>
              </w:rPr>
            </w:pPr>
            <w:r>
              <w:rPr>
                <w:rFonts w:ascii="Arial" w:cs="Arial" w:eastAsia="Arial" w:hAnsi="Arial"/>
                <w:sz w:val="18"/>
                <w:szCs w:val="18"/>
                <w:color w:val="auto"/>
              </w:rPr>
              <w:t>(15,330)</w:t>
            </w:r>
          </w:p>
        </w:tc>
        <w:tc>
          <w:tcPr>
            <w:tcW w:w="60" w:type="dxa"/>
            <w:vAlign w:val="bottom"/>
          </w:tcPr>
          <w:p>
            <w:pPr>
              <w:spacing w:after="0"/>
              <w:rPr>
                <w:sz w:val="18"/>
                <w:szCs w:val="18"/>
                <w:color w:val="auto"/>
              </w:rPr>
            </w:pPr>
          </w:p>
        </w:tc>
        <w:tc>
          <w:tcPr>
            <w:tcW w:w="1320" w:type="dxa"/>
            <w:vAlign w:val="bottom"/>
            <w:gridSpan w:val="5"/>
          </w:tcPr>
          <w:p>
            <w:pPr>
              <w:jc w:val="right"/>
              <w:ind w:right="99"/>
              <w:spacing w:after="0"/>
              <w:rPr>
                <w:sz w:val="20"/>
                <w:szCs w:val="20"/>
                <w:color w:val="auto"/>
              </w:rPr>
            </w:pPr>
            <w:r>
              <w:rPr>
                <w:rFonts w:ascii="Arial" w:cs="Arial" w:eastAsia="Arial" w:hAnsi="Arial"/>
                <w:sz w:val="18"/>
                <w:szCs w:val="18"/>
                <w:color w:val="auto"/>
              </w:rPr>
              <w:t>(14,425)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(13,276)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loss per share applicable to common stockholders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(0.31)</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w w:val="97"/>
              </w:rPr>
              <w:t>(0.45)</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6"/>
              </w:rPr>
              <w:t>Shares used in computing basic and diluted loss per share amounts</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290"/>
              <w:spacing w:after="0"/>
              <w:rPr>
                <w:sz w:val="20"/>
                <w:szCs w:val="20"/>
                <w:color w:val="auto"/>
              </w:rPr>
            </w:pPr>
            <w:r>
              <w:rPr>
                <w:rFonts w:ascii="Arial" w:cs="Arial" w:eastAsia="Arial" w:hAnsi="Arial"/>
                <w:sz w:val="18"/>
                <w:szCs w:val="18"/>
                <w:color w:val="auto"/>
              </w:rPr>
              <w:t>49,606</w:t>
            </w:r>
          </w:p>
        </w:tc>
        <w:tc>
          <w:tcPr>
            <w:tcW w:w="60" w:type="dxa"/>
            <w:vAlign w:val="bottom"/>
          </w:tcPr>
          <w:p>
            <w:pPr>
              <w:spacing w:after="0"/>
              <w:rPr>
                <w:sz w:val="20"/>
                <w:szCs w:val="20"/>
                <w:color w:val="auto"/>
              </w:rPr>
            </w:pPr>
          </w:p>
        </w:tc>
        <w:tc>
          <w:tcPr>
            <w:tcW w:w="1320" w:type="dxa"/>
            <w:vAlign w:val="bottom"/>
            <w:gridSpan w:val="5"/>
          </w:tcPr>
          <w:p>
            <w:pPr>
              <w:jc w:val="right"/>
              <w:ind w:right="159"/>
              <w:spacing w:after="0"/>
              <w:rPr>
                <w:sz w:val="20"/>
                <w:szCs w:val="20"/>
                <w:color w:val="auto"/>
              </w:rPr>
            </w:pPr>
            <w:r>
              <w:rPr>
                <w:rFonts w:ascii="Arial" w:cs="Arial" w:eastAsia="Arial" w:hAnsi="Arial"/>
                <w:sz w:val="18"/>
                <w:szCs w:val="18"/>
                <w:color w:val="auto"/>
              </w:rPr>
              <w:t>32,080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25,096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22,242</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98"/>
              </w:rPr>
              <w:t>December 31,</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auto"/>
            </w:tcBorders>
          </w:tcPr>
          <w:p>
            <w:pPr>
              <w:spacing w:after="0"/>
              <w:rPr>
                <w:sz w:val="13"/>
                <w:szCs w:val="13"/>
                <w:color w:val="auto"/>
              </w:rPr>
            </w:pPr>
          </w:p>
        </w:tc>
        <w:tc>
          <w:tcPr>
            <w:tcW w:w="6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74"/>
              </w:rPr>
              <w:t>thousands)</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   41,060</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108"/>
              <w:spacing w:after="0"/>
              <w:rPr>
                <w:sz w:val="20"/>
                <w:szCs w:val="20"/>
                <w:color w:val="auto"/>
              </w:rPr>
            </w:pPr>
            <w:r>
              <w:rPr>
                <w:rFonts w:ascii="Arial" w:cs="Arial" w:eastAsia="Arial" w:hAnsi="Arial"/>
                <w:sz w:val="18"/>
                <w:szCs w:val="18"/>
                <w:color w:val="auto"/>
              </w:rPr>
              <w:t>13,082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4,236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investments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47,627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08"/>
              <w:spacing w:after="0"/>
              <w:rPr>
                <w:sz w:val="20"/>
                <w:szCs w:val="20"/>
                <w:color w:val="auto"/>
              </w:rPr>
            </w:pPr>
            <w:r>
              <w:rPr>
                <w:rFonts w:ascii="Arial" w:cs="Arial" w:eastAsia="Arial" w:hAnsi="Arial"/>
                <w:sz w:val="18"/>
                <w:szCs w:val="18"/>
                <w:color w:val="auto"/>
              </w:rPr>
              <w:t>19,786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11,329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wind-down expenses and deferred rent(1)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5,528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80"/>
              <w:spacing w:after="0"/>
              <w:rPr>
                <w:sz w:val="20"/>
                <w:szCs w:val="20"/>
                <w:color w:val="auto"/>
              </w:rPr>
            </w:pPr>
            <w:r>
              <w:rPr>
                <w:rFonts w:ascii="Arial" w:cs="Arial" w:eastAsia="Arial" w:hAnsi="Arial"/>
                <w:sz w:val="18"/>
                <w:szCs w:val="18"/>
                <w:color w:val="auto"/>
              </w:rPr>
              <w:t>Long-term debt, including capital leases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1,646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2,087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Redeemable preferred stock(2)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280"/>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36,950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08"/>
              <w:spacing w:after="0"/>
              <w:rPr>
                <w:sz w:val="20"/>
                <w:szCs w:val="20"/>
                <w:color w:val="auto"/>
              </w:rPr>
            </w:pPr>
            <w:r>
              <w:rPr>
                <w:rFonts w:ascii="Arial" w:cs="Arial" w:eastAsia="Arial" w:hAnsi="Arial"/>
                <w:sz w:val="18"/>
                <w:szCs w:val="18"/>
                <w:color w:val="auto"/>
              </w:rPr>
              <w:t>10,964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1,933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12,633</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Relates to wind-down expenses in respect of the Company’s Rhode Island facility. See footnote 7 in the consolidated financial statements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footnote 9 in the consolidated financial statements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260" w:firstLine="267"/>
        <w:spacing w:after="0" w:line="277"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the accompanying financial statements and the related footnotes thereto.</w:t>
      </w:r>
    </w:p>
    <w:p>
      <w:pPr>
        <w:spacing w:after="0" w:line="62" w:lineRule="exact"/>
        <w:rPr>
          <w:sz w:val="20"/>
          <w:szCs w:val="20"/>
          <w:color w:val="auto"/>
        </w:rPr>
      </w:pPr>
    </w:p>
    <w:p>
      <w:pPr>
        <w:ind w:firstLine="267"/>
        <w:spacing w:after="0" w:line="267"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will remove the clinical hold on our proposed initial clinical trial and permit us to proceed to clinical testing despite the novel and unproven nature of the Company’s technology; the risk that, even if approved, our initial clinical trial could be substantially delayed beyond its expected dates or cause us to incur substantial unanticipated costs; uncertainties regarding the our ability to obtain the capital resources needed to continue our current research and development operations and to conduct the research, preclinical development and clinical trials necessary for regulatory approvals; failure to obtain a corporate partner or partners to support the development of our stem cell programs, the uncertainty regarding the outcome of the Phase I clinical trial and any other trials the Company may conduct in the future; the uncertainty regarding the validity and enforceability of issued patents; the uncertainty whether any products that may be generated in the Company’s stem cell programs will prove clinically effective and not cause tumors or other side effects; the uncertainty whether the Company will achieve revenues from product sales or become profitable; uncertainties regarding the Company’s obligations in regard to its former encapsulated cell therapy facilities in Rhode Island; obsolescence of our technology; competition from third parties; intellectual property rights of third parties; litigation and other risks to which we are subject. See “Cautionary Factors Relevant to Forward-Looking-Information” filed herewith as Exhibit 99 and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Since our inception in 1988, we have been primarily engaged in research and development of human therapeutic products. Since the second half of 1999, our sole focus has been on our stem cell technology. In the last quarter of 2004 we filed the first in a planned series of INDs for CNS diseases or conditions with the FDA. This IND, which is for a Phase I clinical trial of our human neural stem cells in Batten disease, is currently on clinical hold until questions and issues raised by the FDA have been resolved.</w:t>
      </w:r>
    </w:p>
    <w:p>
      <w:pPr>
        <w:spacing w:after="0" w:line="79" w:lineRule="exact"/>
        <w:rPr>
          <w:sz w:val="20"/>
          <w:szCs w:val="20"/>
          <w:color w:val="auto"/>
        </w:rPr>
      </w:pPr>
    </w:p>
    <w:p>
      <w:pPr>
        <w:ind w:right="40" w:firstLine="267"/>
        <w:spacing w:after="0" w:line="291" w:lineRule="auto"/>
        <w:rPr>
          <w:sz w:val="20"/>
          <w:szCs w:val="20"/>
          <w:color w:val="auto"/>
        </w:rPr>
      </w:pPr>
      <w:r>
        <w:rPr>
          <w:rFonts w:ascii="Arial" w:cs="Arial" w:eastAsia="Arial" w:hAnsi="Arial"/>
          <w:sz w:val="16"/>
          <w:szCs w:val="16"/>
          <w:color w:val="auto"/>
        </w:rPr>
        <w:t>We have not derived any revenues from the sale of any products apart from license revenue for the research use of our human neural stem cells and other patented cells and media,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had expenditures for toxicology and other studies in preparation for submitting the Batten disease IND to the FDA, and will incur more such expenditures for any future INDs.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time and there can be no assurance that such financing or partnering revenues will be available when needed or on terms acceptable to us.</w:t>
      </w:r>
    </w:p>
    <w:p>
      <w:pPr>
        <w:spacing w:after="0" w:line="117"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In June 2004, the Company entered into an agreement with institutional and other accredited investors with respect to the private placement of approximately 13,160,000 shares of its common stock at a purchase price of $1.52 per share, for gross proceeds of approximately $20,000,000. Investors also received warrants exercisable for five years to purchase approximately 3.3 million shares of common stock at an exercise price of $1.90 per share. C.E. Unterberg, Towbin LLC (Unterberg) served as placement agent for the transaction. For acting as the Company’s placement agent, Unterberg received fees totaling $1,200,000, expense reimbursement of approximately $25,000 and a five year warrant to purchase 526,400 shares of the Company’s common stock at an exercise price of $1.89 per share. (See “Liquidity and Capital Resources” below for further detail on these transactions.)</w:t>
      </w:r>
    </w:p>
    <w:p>
      <w:pPr>
        <w:spacing w:after="0" w:line="57" w:lineRule="exact"/>
        <w:rPr>
          <w:sz w:val="20"/>
          <w:szCs w:val="20"/>
          <w:color w:val="auto"/>
        </w:rPr>
      </w:pPr>
    </w:p>
    <w:p>
      <w:pPr>
        <w:ind w:right="20" w:firstLine="270"/>
        <w:spacing w:after="0" w:line="302" w:lineRule="auto"/>
        <w:rPr>
          <w:sz w:val="20"/>
          <w:szCs w:val="20"/>
          <w:color w:val="auto"/>
        </w:rPr>
      </w:pPr>
      <w:r>
        <w:rPr>
          <w:rFonts w:ascii="Arial" w:cs="Arial" w:eastAsia="Arial" w:hAnsi="Arial"/>
          <w:sz w:val="16"/>
          <w:szCs w:val="16"/>
          <w:color w:val="auto"/>
        </w:rPr>
        <w:t>In October 2004, the Company entered into agreements with institutional investors with respect to the direct placement of 7,500,000 shares of its registered common stock at a purchase price of $3.00 per share, for gross proceeds of $22,500,000. Unterberg and Shoreline Pacific, LLC (Shoreline) served as placement agents for the transaction. For acting as the Company’s placement agent, Unterberg and Shoreline received fees totaling $1,350,000 and expense reimbursement of approximately $40,000. (See “Liquidity and Capital Resources” below for further detail on these transactions.)</w:t>
      </w:r>
    </w:p>
    <w:p>
      <w:pPr>
        <w:spacing w:after="0" w:line="46"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In September 2004, the National Institutes of Health (NIH) awarded the Company a Small Business Technology Transfer grant of $464,000 for studies in Alzheimer’s disease, consisting of $308,000 for the first year and $156,000 for the remainder of the grant term, September 30, 2004 through March 31, 2006. The studies will be conducted by Dr. George A. Carlson of the McLaughlin Research Institute (MRI) in Great Falls, Montana, which will receive approximately $222,000 of the total award. A multi-year grant was awarded by the NIH to the Reeve-Irvine Center at the University of California-Irvine to fund new studies by Drs. Aileen J. Anderson and Brian J. Cummings of the human central nervous system stem cell (hCNS-SC) grafts in the treatment of spinal cord injuries. The Company will not receive any funds from this grant, but will collaborate with Drs. Anderson and Cummings by providing its proprietary cells for the studies. In October 2004, the Company also entered a long-term license agreement with R&amp;D Systems, authorizing it to manufacture, use and sell certain kits for the expansion of neural stem cells, for educational and research purposes worldwide.</w:t>
      </w:r>
    </w:p>
    <w:p>
      <w:pPr>
        <w:spacing w:after="0" w:line="58" w:lineRule="exact"/>
        <w:rPr>
          <w:sz w:val="20"/>
          <w:szCs w:val="20"/>
          <w:color w:val="auto"/>
        </w:rPr>
      </w:pPr>
    </w:p>
    <w:p>
      <w:pPr>
        <w:ind w:right="160" w:firstLine="270"/>
        <w:spacing w:after="0" w:line="293" w:lineRule="auto"/>
        <w:rPr>
          <w:sz w:val="20"/>
          <w:szCs w:val="20"/>
          <w:color w:val="auto"/>
        </w:rPr>
      </w:pPr>
      <w:r>
        <w:rPr>
          <w:rFonts w:ascii="Arial" w:cs="Arial" w:eastAsia="Arial" w:hAnsi="Arial"/>
          <w:sz w:val="16"/>
          <w:szCs w:val="16"/>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facility in California. To expand and provide high quality systems and support to our Research and Development programs, as well as to enhance our internal controls over financial reporting, we will need to hire more personnel, which will lead to higher operating expenses. We hired a Vice President of Development and contracted with an Acting Chief Medical Officer in 2003, and have hired a Chief Financial Officer in 2004.</w:t>
      </w:r>
    </w:p>
    <w:p>
      <w:pPr>
        <w:spacing w:after="0" w:line="57"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 xml:space="preserve">Our program in neural stem and progenitor cells ranges from the preclinical stage, as we focus increasingly on testing human neural stem cells in small animal models of human diseases, both in-house and through external academic collaborators, through the development phase with respect to the planned clinical trial in Batten disease mentioned above. In our liver stem cell program, we are engaged in evaluating our proprietary liver engrafting cell in various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assays. Our pancreas program research will focus on the candidate human pancreatic stem/progenitor cell. Our key focus will be to demonstrate the in</w:t>
      </w:r>
      <w:r>
        <w:rPr>
          <w:rFonts w:ascii="Arial" w:cs="Arial" w:eastAsia="Arial" w:hAnsi="Arial"/>
          <w:sz w:val="17"/>
          <w:szCs w:val="17"/>
          <w:i w:val="1"/>
          <w:iCs w:val="1"/>
          <w:color w:val="auto"/>
        </w:rPr>
        <w:t xml:space="preserve"> </w:t>
      </w:r>
      <w:r>
        <w:rPr>
          <w:rFonts w:ascii="Arial" w:cs="Arial" w:eastAsia="Arial" w:hAnsi="Arial"/>
          <w:sz w:val="17"/>
          <w:szCs w:val="17"/>
          <w:color w:val="auto"/>
        </w:rPr>
        <w:t>vivo engraftment and biological activity of the cells in an appropriate animal model after expansion in culture.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80" w:firstLine="267"/>
        <w:spacing w:after="0" w:line="277" w:lineRule="auto"/>
        <w:rPr>
          <w:sz w:val="20"/>
          <w:szCs w:val="20"/>
          <w:color w:val="auto"/>
        </w:rPr>
      </w:pPr>
      <w:r>
        <w:rPr>
          <w:rFonts w:ascii="Arial" w:cs="Arial" w:eastAsia="Arial" w:hAnsi="Arial"/>
          <w:sz w:val="18"/>
          <w:szCs w:val="18"/>
          <w:color w:val="auto"/>
        </w:rPr>
        <w:t>The Company believes the following critical accounting policies affect its more significant judgments and estimates used in the preparation of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firstLine="267"/>
        <w:spacing w:after="0" w:line="312"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are the accrued wind-down expenses (Note 7) and valuation allowance against net deferred tax assets (Note 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firstLine="260"/>
        <w:spacing w:after="0" w:line="254" w:lineRule="auto"/>
        <w:rPr>
          <w:sz w:val="20"/>
          <w:szCs w:val="20"/>
          <w:color w:val="auto"/>
        </w:rPr>
      </w:pPr>
      <w:r>
        <w:rPr>
          <w:rFonts w:ascii="Arial" w:cs="Arial" w:eastAsia="Arial" w:hAnsi="Arial"/>
          <w:sz w:val="18"/>
          <w:szCs w:val="18"/>
          <w:color w:val="auto"/>
        </w:rPr>
        <w:t xml:space="preserve">As permitted by the provisions of Statement of Financial Accounting Standards (SFAS) No. 148, </w:t>
      </w:r>
      <w:r>
        <w:rPr>
          <w:rFonts w:ascii="Arial" w:cs="Arial" w:eastAsia="Arial" w:hAnsi="Arial"/>
          <w:sz w:val="18"/>
          <w:szCs w:val="18"/>
          <w:i w:val="1"/>
          <w:iCs w:val="1"/>
          <w:color w:val="auto"/>
        </w:rPr>
        <w:t>“Accounting for Stock-Based 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Transition and Disclosure,” </w:t>
      </w:r>
      <w:r>
        <w:rPr>
          <w:rFonts w:ascii="Arial" w:cs="Arial" w:eastAsia="Arial" w:hAnsi="Arial"/>
          <w:sz w:val="18"/>
          <w:szCs w:val="18"/>
          <w:color w:val="auto"/>
        </w:rPr>
        <w:t>and SFAS No. 123,</w:t>
      </w:r>
      <w:r>
        <w:rPr>
          <w:rFonts w:ascii="Arial" w:cs="Arial" w:eastAsia="Arial" w:hAnsi="Arial"/>
          <w:sz w:val="18"/>
          <w:szCs w:val="18"/>
          <w:i w:val="1"/>
          <w:iCs w:val="1"/>
          <w:color w:val="auto"/>
        </w:rPr>
        <w:t xml:space="preserve"> “Accounting for Stock-Based Compensation,” </w:t>
      </w:r>
      <w:r>
        <w:rPr>
          <w:rFonts w:ascii="Arial" w:cs="Arial" w:eastAsia="Arial" w:hAnsi="Arial"/>
          <w:sz w:val="18"/>
          <w:szCs w:val="18"/>
          <w:color w:val="auto"/>
        </w:rPr>
        <w:t>the Company’s employee stock option plan is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Accounting Principles Board Opinion No. 25 (APB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The Company grants qualified stock options for a fixed number of shares to employees with an exercise price equal to the fair market value of the shares at the date of grant. In these circumstances and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at date of grant as compensation expense in accordance with APB 25.</w:t>
      </w:r>
    </w:p>
    <w:p>
      <w:pPr>
        <w:spacing w:after="0" w:line="84"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Company accounts for certain stock options granted to non-employees, in accordance with FAS No. 123 and Emerging Issues Task Force (EITF) 96-18</w:t>
      </w:r>
      <w:r>
        <w:rPr>
          <w:rFonts w:ascii="Arial" w:cs="Arial" w:eastAsia="Arial" w:hAnsi="Arial"/>
          <w:sz w:val="18"/>
          <w:szCs w:val="18"/>
          <w:i w:val="1"/>
          <w:iCs w:val="1"/>
          <w:color w:val="auto"/>
        </w:rPr>
        <w:t>, “Accounting for equity instruments that are issued to other than employees for acquiring, or in conjunction with selling, goods or services”</w:t>
      </w:r>
      <w:r>
        <w:rPr>
          <w:rFonts w:ascii="Arial" w:cs="Arial" w:eastAsia="Arial" w:hAnsi="Arial"/>
          <w:sz w:val="18"/>
          <w:szCs w:val="18"/>
          <w:color w:val="auto"/>
        </w:rPr>
        <w:t>, and accordingly, recognizes as expense the estimated fair value of such options as calculated using the Black-Scholes valuation model. The calculated value is re-measured during the service period. Fair value is determined using methodologies allowable by FAS No. 123. The cost is amortized over the vesting period of each option or the recipient’s contractual arrangement, if shorter.</w:t>
      </w:r>
    </w:p>
    <w:p>
      <w:pPr>
        <w:spacing w:after="0" w:line="80"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 xml:space="preserve">In December 2004, the Financial Accounting Standards Board (FASB) issued SFAS No. 123R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This statement revises SFAS No. 123, Accounting for Stock-Based Compensation, and requires companies to expense the value of employee stock options and similar awards. The effective date of this standard is interim and annual periods beginning after June 15, 2005. Upon the adoption of SFAS No. 123R the Company will be required to expense stock options in its Statement of Operations. Note 9 of the Notes to the Consolidated Financial Statements describes our equity compensation plans, and Note 1 of the Notes to the Consolidated Financial Statements contains a summary of the pro forma effects to reported net (loss) and (loss) per share for 2004, 2003, and 2002 as if we had elected to recognize compensation cost based on the fair value of the options granted at grant date, as prescribed by FAS No. 123R.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right="40" w:firstLine="267"/>
        <w:spacing w:after="0" w:line="255" w:lineRule="auto"/>
        <w:rPr>
          <w:sz w:val="20"/>
          <w:szCs w:val="20"/>
          <w:color w:val="auto"/>
        </w:rPr>
      </w:pPr>
      <w:r>
        <w:rPr>
          <w:rFonts w:ascii="Arial" w:cs="Arial" w:eastAsia="Arial" w:hAnsi="Arial"/>
          <w:sz w:val="18"/>
          <w:szCs w:val="18"/>
          <w:color w:val="auto"/>
        </w:rPr>
        <w:t xml:space="preserve">The Company adopted 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at the beginning of 2002. As permitted by the transition rules of FAS No. 144, long-lived assets classified as held for sale as a result of activities that were initiated prior to this Statement’s initial application shall continue to be accounted for in accordance with FAS No. 121. If however, the criteria for classifying long-lived assets held for sale under FAS No. 144 are not met by the end of the fiscal year in which this Statement is initially applied, the related long-lived assets shall be reclassified as held and used. At December 31, 2002, the criteria under FAS No. 144 for classifying the Company’s long-lived assets held for sale were not met and accordingly, such assets were reclassified as held and used on the balance sheet.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240" w:firstLine="267"/>
        <w:spacing w:after="0" w:line="277" w:lineRule="auto"/>
        <w:rPr>
          <w:sz w:val="20"/>
          <w:szCs w:val="20"/>
          <w:color w:val="auto"/>
        </w:rPr>
      </w:pPr>
      <w:r>
        <w:rPr>
          <w:rFonts w:ascii="Arial" w:cs="Arial" w:eastAsia="Arial" w:hAnsi="Arial"/>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121"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In connection with the Company’s wind-down of its Encapsulated Cell Therapy (ECT) operations, its research and manufacturing operations in Lincoln, Rhode Island, and the relocation of its remaining research and development activities and corporate headquarters, to California, in October 1999, the Company has provided its estimate of the exit cost obligation in accordance with EITF 94-3, “Other Cost to Exit an Activity.” On an ongoing basis the Company will re-evaluate such estimate.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Years Ended December 31, 2004, 2003 and 2002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Revenues totaled $141,000, $273,000, and $415,000 for the years ending December 31, 2004, 2003 and 2002, respectively.</w:t>
      </w:r>
    </w:p>
    <w:p>
      <w:pPr>
        <w:spacing w:after="0" w:line="113" w:lineRule="exact"/>
        <w:rPr>
          <w:sz w:val="20"/>
          <w:szCs w:val="20"/>
          <w:color w:val="auto"/>
        </w:rPr>
      </w:pPr>
    </w:p>
    <w:p>
      <w:pPr>
        <w:ind w:firstLine="270"/>
        <w:spacing w:after="0" w:line="258" w:lineRule="auto"/>
        <w:rPr>
          <w:sz w:val="20"/>
          <w:szCs w:val="20"/>
          <w:color w:val="auto"/>
        </w:rPr>
      </w:pPr>
      <w:r>
        <w:rPr>
          <w:rFonts w:ascii="Arial" w:cs="Arial" w:eastAsia="Arial" w:hAnsi="Arial"/>
          <w:sz w:val="18"/>
          <w:szCs w:val="18"/>
          <w:b w:val="1"/>
          <w:bCs w:val="1"/>
          <w:color w:val="auto"/>
        </w:rPr>
        <w:t xml:space="preserve">2004 versus 2003. </w:t>
      </w:r>
      <w:r>
        <w:rPr>
          <w:rFonts w:ascii="Arial" w:cs="Arial" w:eastAsia="Arial" w:hAnsi="Arial"/>
          <w:sz w:val="18"/>
          <w:szCs w:val="18"/>
          <w:color w:val="auto"/>
        </w:rPr>
        <w:t>Revenues for 2004 include $93,000 that is part of a one-year Small Business Innovation Research grant of $342,000 from the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Institute of Neurological Disease and Stroke (NINDS) received at the end of 2003, and $26,000 which is part of a Small Business Technology Transfer (STTR) grant received in 2004 for approximately $464,000 over one and one half years for studies in Alzheimer’s disease. The STTR grant will support joint work with the McLaughlin Research Institute (MRI) in Great Falls, Montana. We will retain $243,000 and the remaining $221,000 will be disbursed to MRI. Revenues for 2004 also include $22,000 in licensing revenue.</w:t>
      </w:r>
    </w:p>
    <w:p>
      <w:pPr>
        <w:spacing w:after="0" w:line="8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Revenues for 2003 include $143,000, which was part of the $342,000 NINDS grant and $112,000 from the grant awarded by the National Institute of Diabetes &amp; Digestive &amp; Kidney Disorders (NIDDKD) of the National Institutes of Health. In addition, revenues for 2003 include $18,000 in licensing revenue. The decrease from 2003 to 2004 was primarily attributable to the NIDDKD grant, for which, in 2003 the draw down was $112,000 but we did not, and shall not, draw further funds from the grant since we are no longer pursuing the particular research that the grant covered. The decrease was also attributable to the completed draw down of the $342,000 NINDS grant. The draw down was $143,000 in 2003 and $93,000 in 2004. The remaining $106,000 was paid to a subcontractor.</w:t>
      </w:r>
    </w:p>
    <w:p>
      <w:pPr>
        <w:spacing w:after="0" w:line="81" w:lineRule="exact"/>
        <w:rPr>
          <w:sz w:val="20"/>
          <w:szCs w:val="20"/>
          <w:color w:val="auto"/>
        </w:rPr>
      </w:pPr>
    </w:p>
    <w:p>
      <w:pPr>
        <w:ind w:firstLine="270"/>
        <w:spacing w:after="0" w:line="266" w:lineRule="auto"/>
        <w:rPr>
          <w:sz w:val="20"/>
          <w:szCs w:val="20"/>
          <w:color w:val="auto"/>
        </w:rPr>
      </w:pPr>
      <w:r>
        <w:rPr>
          <w:rFonts w:ascii="Arial" w:cs="Arial" w:eastAsia="Arial" w:hAnsi="Arial"/>
          <w:sz w:val="18"/>
          <w:szCs w:val="18"/>
          <w:b w:val="1"/>
          <w:bCs w:val="1"/>
          <w:color w:val="auto"/>
        </w:rPr>
        <w:t xml:space="preserve">2003 versus 2002. </w:t>
      </w:r>
      <w:r>
        <w:rPr>
          <w:rFonts w:ascii="Arial" w:cs="Arial" w:eastAsia="Arial" w:hAnsi="Arial"/>
          <w:sz w:val="18"/>
          <w:szCs w:val="18"/>
          <w:color w:val="auto"/>
        </w:rPr>
        <w:t>Revenues for 2002 include $150,000 that was part of a 2001 SBIR grant from the National Institute of Allergy and Infectious Diseases</w:t>
      </w:r>
      <w:r>
        <w:rPr>
          <w:rFonts w:ascii="Arial" w:cs="Arial" w:eastAsia="Arial" w:hAnsi="Arial"/>
          <w:sz w:val="18"/>
          <w:szCs w:val="18"/>
          <w:b w:val="1"/>
          <w:bCs w:val="1"/>
          <w:color w:val="auto"/>
        </w:rPr>
        <w:t xml:space="preserve"> </w:t>
      </w:r>
      <w:r>
        <w:rPr>
          <w:rFonts w:ascii="Arial" w:cs="Arial" w:eastAsia="Arial" w:hAnsi="Arial"/>
          <w:sz w:val="18"/>
          <w:szCs w:val="18"/>
          <w:color w:val="auto"/>
        </w:rPr>
        <w:t>(NIAID), $225,000 from the NIDDKD grant, and $40,000 in licensing revenue. The decrease in revenue from 2002 to 2003 was primarily due to the completion of the NIAID grant in 2002, and to a partial draw down in 2003 from the $225,000 NIDDKD grant.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Research &amp; development expenses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Research and development expenses totaled $8,760,000 in 2004, as compared to $6,144,000 in 2003 and $7,382,000 in 2002.</w:t>
      </w:r>
    </w:p>
    <w:p>
      <w:pPr>
        <w:spacing w:after="0" w:line="113" w:lineRule="exact"/>
        <w:rPr>
          <w:sz w:val="20"/>
          <w:szCs w:val="20"/>
          <w:color w:val="auto"/>
        </w:rPr>
      </w:pPr>
    </w:p>
    <w:p>
      <w:pPr>
        <w:ind w:right="180" w:firstLine="270"/>
        <w:spacing w:after="0" w:line="266" w:lineRule="auto"/>
        <w:rPr>
          <w:sz w:val="20"/>
          <w:szCs w:val="20"/>
          <w:color w:val="auto"/>
        </w:rPr>
      </w:pPr>
      <w:r>
        <w:rPr>
          <w:rFonts w:ascii="Arial" w:cs="Arial" w:eastAsia="Arial" w:hAnsi="Arial"/>
          <w:sz w:val="18"/>
          <w:szCs w:val="18"/>
          <w:b w:val="1"/>
          <w:bCs w:val="1"/>
          <w:color w:val="auto"/>
        </w:rPr>
        <w:t xml:space="preserve">2004 versus 2003. </w:t>
      </w:r>
      <w:r>
        <w:rPr>
          <w:rFonts w:ascii="Arial" w:cs="Arial" w:eastAsia="Arial" w:hAnsi="Arial"/>
          <w:sz w:val="18"/>
          <w:szCs w:val="18"/>
          <w:color w:val="auto"/>
        </w:rPr>
        <w:t>The increase of $2,616,000 or 43% from 2003 to 2004 was primarily due to the expenditures required for pre-clinical pharmacology</w:t>
      </w:r>
      <w:r>
        <w:rPr>
          <w:rFonts w:ascii="Arial" w:cs="Arial" w:eastAsia="Arial" w:hAnsi="Arial"/>
          <w:sz w:val="18"/>
          <w:szCs w:val="18"/>
          <w:b w:val="1"/>
          <w:bCs w:val="1"/>
          <w:color w:val="auto"/>
        </w:rPr>
        <w:t xml:space="preserve"> </w:t>
      </w:r>
      <w:r>
        <w:rPr>
          <w:rFonts w:ascii="Arial" w:cs="Arial" w:eastAsia="Arial" w:hAnsi="Arial"/>
          <w:sz w:val="18"/>
          <w:szCs w:val="18"/>
          <w:color w:val="auto"/>
        </w:rPr>
        <w:t>and toxicology studies, supplies, personnel and other external services in preparation for submitting our first IND to the FDA. The increase was also attributable to</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 higher valuation in 2004 of stock options granted as compensation to non-employees as compared to the valuation in 2003. The valuation — computed by the Black Scholes Method — is dependant on variable factors at the time of such valuation such as stock price, stock price volatility, interest rate and remaining life of the option. Our stock price at December 31, 2004 was $4.23 as compared to $1.98 at December 31, 2003. In addition, the increase reflects higher patent fees and costs than incurred in the same period in 2003. At December 31, 2004, we had twenty-eight full-time employees working in research and development and laboratory support services as compared to twenty-one at December 31, 2003.</w:t>
      </w:r>
    </w:p>
    <w:p>
      <w:pPr>
        <w:spacing w:after="0" w:line="60" w:lineRule="exact"/>
        <w:rPr>
          <w:sz w:val="20"/>
          <w:szCs w:val="20"/>
          <w:color w:val="auto"/>
        </w:rPr>
      </w:pPr>
    </w:p>
    <w:p>
      <w:pPr>
        <w:ind w:right="120" w:firstLine="270"/>
        <w:spacing w:after="0" w:line="256" w:lineRule="auto"/>
        <w:rPr>
          <w:sz w:val="20"/>
          <w:szCs w:val="20"/>
          <w:color w:val="auto"/>
        </w:rPr>
      </w:pPr>
      <w:r>
        <w:rPr>
          <w:rFonts w:ascii="Arial" w:cs="Arial" w:eastAsia="Arial" w:hAnsi="Arial"/>
          <w:sz w:val="18"/>
          <w:szCs w:val="18"/>
          <w:b w:val="1"/>
          <w:bCs w:val="1"/>
          <w:color w:val="auto"/>
        </w:rPr>
        <w:t xml:space="preserve">2003 versus 2002. </w:t>
      </w:r>
      <w:r>
        <w:rPr>
          <w:rFonts w:ascii="Arial" w:cs="Arial" w:eastAsia="Arial" w:hAnsi="Arial"/>
          <w:sz w:val="18"/>
          <w:szCs w:val="18"/>
          <w:color w:val="auto"/>
        </w:rPr>
        <w:t>The decrease of $1,238,000 or 17% from 2002 to 2003, was primarily attributable to the cost reduction program initiated in the last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2002 which resulted in a reduction in personnel and related expenses, reduction in expenditure on supplies and outside services, and a reduction in rent expense as a result of an amendment to the lease on our current facilities in California. This decrease in expenses in 2003 relative to 2002 was offset by the effect of a lower valuation in 2002 of stock options granted as compensation to non-employees as compared to the valuation in 2003. At December 31, 2003, we had twenty-one full-time employees working in research and development and laboratory support services as compared to twenty-eight at December 31, 2002.</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 &amp; administrative expenses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General and administrative expenses were $3,954,000 in 2004, compared with $3,391,000 in 2003 and $3,359,000 in 2002.</w:t>
      </w:r>
    </w:p>
    <w:p>
      <w:pPr>
        <w:spacing w:after="0" w:line="113" w:lineRule="exact"/>
        <w:rPr>
          <w:sz w:val="20"/>
          <w:szCs w:val="20"/>
          <w:color w:val="auto"/>
        </w:rPr>
      </w:pPr>
    </w:p>
    <w:p>
      <w:pPr>
        <w:ind w:right="120" w:firstLine="270"/>
        <w:spacing w:after="0" w:line="298" w:lineRule="auto"/>
        <w:rPr>
          <w:sz w:val="20"/>
          <w:szCs w:val="20"/>
          <w:color w:val="auto"/>
        </w:rPr>
      </w:pPr>
      <w:r>
        <w:rPr>
          <w:rFonts w:ascii="Arial" w:cs="Arial" w:eastAsia="Arial" w:hAnsi="Arial"/>
          <w:sz w:val="16"/>
          <w:szCs w:val="16"/>
          <w:b w:val="1"/>
          <w:bCs w:val="1"/>
          <w:color w:val="auto"/>
        </w:rPr>
        <w:t xml:space="preserve">2004 versus 2003. </w:t>
      </w:r>
      <w:r>
        <w:rPr>
          <w:rFonts w:ascii="Arial" w:cs="Arial" w:eastAsia="Arial" w:hAnsi="Arial"/>
          <w:sz w:val="16"/>
          <w:szCs w:val="16"/>
          <w:color w:val="auto"/>
        </w:rPr>
        <w:t>The increase of $563,000 or 17% from 2003 to 2004 was primarily attributable to, the cost of external services incurred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evaluation and testing of our internal financial control systems so as to meet the requirements of and be in compliance with the new Securities and Exchange Commission rules issued under section 404 of the Sarbanes-Oxley Act. The increase in general and administrative expenses was also attributable to the separate printing of our proxy statement and our Form 10-K and the effect of a greater number of shareholders in 2004 when compared to 2003 on these costs. In addition, we incurred an increase in the external auditor fees in the first quarter of 2004 as a result of the restatement of our prior year financials.</w:t>
      </w:r>
    </w:p>
    <w:p>
      <w:pPr>
        <w:spacing w:after="0" w:line="46"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b w:val="1"/>
          <w:bCs w:val="1"/>
          <w:color w:val="auto"/>
        </w:rPr>
        <w:t xml:space="preserve">2003 versus 2002. </w:t>
      </w:r>
      <w:r>
        <w:rPr>
          <w:rFonts w:ascii="Arial" w:cs="Arial" w:eastAsia="Arial" w:hAnsi="Arial"/>
          <w:sz w:val="18"/>
          <w:szCs w:val="18"/>
          <w:color w:val="auto"/>
        </w:rPr>
        <w:t>The increase of $32,000 or 1%, from 2002 to 2003 was primarily attributable to the depreciation expense of our Rhode Island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(Pilot plant building related to our former ECT research). No depreciation expense was recorded in 2002, as the assets were classified as held for sale. At December 31, 2002, the criteria under FAS No. 144 for classifying the Company’s long-lived assets held for sale were not met and accordingly, such assets with a fair value of $3,203,491 at December 31, 2002 were reclassified as held and used on the balance sheet for all periods presented and are included in building and improvements. We resumed depreciating these assets effective January 2003. This increase in expense relative to 2002 was offset by a decrease in other expenses such as external services, facilities, information technology related expenses, all of which resulted from a cost reduction program initiated in the last quarter of 2002.</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Wind-down expenses</w:t>
      </w:r>
    </w:p>
    <w:p>
      <w:pPr>
        <w:spacing w:after="0" w:line="117"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In 1999 we created a reserve for the estimated lease payments and operating costs of the Rhode Island facilities through June 30, 2000, when we expected to full sublease, assign or sell our remaining interests in the property. We did not fully sublet the Rhode Island facilities in 2000 and therefore made a change in estimate to accrue additional expenses of $3,327,000 to cover operating lease payments, utilities, taxes, insurance, maintenance, interest and other non-employee expenses through 2001. In the year 2001 we paid $1,780,000 of lease payments and operating expenses net of subtenant income which were recorded against the reserve. At December 31, 2001 we revised our estimate and recorded an additional reserve of $575,000 as operating expenses net of subtenant income for our former corporate headquarters in Rhode Island. This reserve was based on information provided by our broker/realtor that estimated, based on assumptions relevant to the real estate market conditions as of the end of 2001, the time it would be likely to take until the facility would be fully sub-leased. In 2002, we incurred $964,000 in lease payments and operating expenses, net of subtenant income for this facility, of which $575,000 was booked against the reserve created at the end of 2001 and the remainder recorded as wind-down expenses. At the end of December 2002, based on an analysis of the real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estate market conditions at that time, we revised the reserve to $775,000. In 2003 we incurred $984,000 in lease payments and operating expenses, net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subtenant income for this facility of which $775,000 was recorded against the reserve and the remainder recorded as wind-down expenses. At the end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after considering various factors such as the Company’s lease payments through to the end of the lease, operating expenses, the current real estate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in Rhode Island, and estimated subtenant income based on occupancy both actual and projected, we revised the reserve at December 31, 2003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$2,676,000. In 2004, we recorded $1,152,000 in operating expenses against this reserve. In 2004, after evaluating the afore-mention factors, at the end of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 March 31, 2004, June 30, 2004 and September 30, 2004 and December 31, 2004 — we re-evaluated our estimate and adjusted the reserve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$2,510,000, $2,680,000, $3,743,000 and $4,350,000 respectively, by recording an additional $130,000 at March 31, 2004, $468,000 at June 30, 2004,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$1,345,000 at September 30, 2004 and $883,000 at December 31, 2004 as wind-down expenses. Even though it is the intent of the Company to sublease,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assign or sell our interests in the facility at the earliest possible time, we cannot determine with certainty a fixed date by which such events will occur. In light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this uncertainty, based on estimates, we will periodically re-evaluate and adjust the reserve, as necessary.</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jc w:val="both"/>
        <w:ind w:right="240" w:firstLine="270"/>
        <w:spacing w:after="0" w:line="259" w:lineRule="auto"/>
        <w:rPr>
          <w:sz w:val="20"/>
          <w:szCs w:val="20"/>
          <w:color w:val="auto"/>
        </w:rPr>
      </w:pPr>
      <w:r>
        <w:rPr>
          <w:rFonts w:ascii="Arial" w:cs="Arial" w:eastAsia="Arial" w:hAnsi="Arial"/>
          <w:sz w:val="18"/>
          <w:szCs w:val="18"/>
          <w:color w:val="auto"/>
        </w:rPr>
        <w:t>Interest income for the years ended December 31, 2004, 2003 and 2002 totaled $322,000, $39,000 and $109,000, respectively. The increase in interest income from 2003 to 2004 was primarily attributable to a higher average bank balance as a result of our financing transactions in 2004 (See “Liquidity and Capital Resources” below for further detail on these transactions.). Our decrease in interest income from 2002 to 2003 was attributable to the lower interest rate on overnight and money market funds and a lower average bank balance.</w:t>
      </w:r>
    </w:p>
    <w:p>
      <w:pPr>
        <w:spacing w:after="0" w:line="79"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In 2004, interest expense was $191,000, compared to $207,000 in 2003 and $227,000 in 2002. The decrease from 2002 to 2004 was attributable to lower outstanding debt and capital lease balances.</w:t>
      </w:r>
    </w:p>
    <w:p>
      <w:pPr>
        <w:spacing w:after="0" w:line="6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Other expenses for 2004 include a loss of $56,000 resulting from a write-off of obsolete lab equipment and $6,000 in state franchise taxes. For 2003, other income net of other expenses was $24,000, consisting of income received from the leasing of equipment to subtenants and state franchise taxes paid. For 2002 other expenses includes $34,000 paid in state franchise taxes and a $3,000 loss in disposal of equipment.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Deemed Dividends Related to Convertible Preferred Stock</w:t>
      </w:r>
    </w:p>
    <w:p>
      <w:pPr>
        <w:spacing w:after="0" w:line="117" w:lineRule="exact"/>
        <w:rPr>
          <w:sz w:val="20"/>
          <w:szCs w:val="20"/>
          <w:color w:val="auto"/>
        </w:rPr>
      </w:pPr>
    </w:p>
    <w:p>
      <w:pPr>
        <w:ind w:right="100" w:firstLine="267"/>
        <w:spacing w:after="0" w:line="279" w:lineRule="auto"/>
        <w:rPr>
          <w:sz w:val="20"/>
          <w:szCs w:val="20"/>
          <w:color w:val="auto"/>
        </w:rPr>
      </w:pPr>
      <w:r>
        <w:rPr>
          <w:rFonts w:ascii="Arial" w:cs="Arial" w:eastAsia="Arial" w:hAnsi="Arial"/>
          <w:sz w:val="17"/>
          <w:szCs w:val="17"/>
          <w:color w:val="auto"/>
        </w:rPr>
        <w:t>We recorded deemed dividends of $2,066,000 and $1,280,000 for 2003 and 2002 respectively. The dividends are related to the 3% Cumulative Convertible Preferred Stock (see note 9 to the consolidated financial statements) which includes the accretion of common stock warrants, the accretion of the beneficial conversion feature and the accretion of related issuance costs. The aggregate accretion value associated with the warrants, beneficial conversion feature and issuance costs were included in the calculation of net loss applicable to common stockholders.</w:t>
      </w:r>
    </w:p>
    <w:p>
      <w:pPr>
        <w:spacing w:after="0" w:line="63"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There is no longer any preferred stock outstanding, as all of the Company’s previously outstanding 3% and 6% cumulative convertible preferred stock was converted to the Company’s common stock prior to the end of 2003.</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62" w:lineRule="exact"/>
        <w:rPr>
          <w:sz w:val="20"/>
          <w:szCs w:val="20"/>
          <w:color w:val="auto"/>
        </w:rPr>
      </w:pPr>
    </w:p>
    <w:p>
      <w:pPr>
        <w:jc w:val="both"/>
        <w:ind w:right="300" w:firstLine="267"/>
        <w:spacing w:after="0" w:line="259" w:lineRule="auto"/>
        <w:rPr>
          <w:sz w:val="20"/>
          <w:szCs w:val="20"/>
          <w:color w:val="auto"/>
        </w:rPr>
      </w:pPr>
      <w:r>
        <w:rPr>
          <w:rFonts w:ascii="Arial" w:cs="Arial" w:eastAsia="Arial" w:hAnsi="Arial"/>
          <w:sz w:val="18"/>
          <w:szCs w:val="18"/>
          <w:color w:val="auto"/>
        </w:rPr>
        <w:t>We had cash and cash equivalents totaling $41,060,000 at December 31, 2004. Cash equivalents are invested in U.S. Treasuries with maturities of less than 90 days. We used $11,274,000, $8,543,000, and $10,087,000 of cash, in 2004, 2003 and 2002 respectively, in our operating activities. The increase in cash used in 2004 in comparison to 2003 was primarily attributable to the expenses incurred in preparing to submit our first IND to the FDA, for a clinical trial of our human neural stem cells as a treatment for Batten disease.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decrease in cash used in operating activities from 2002 to 2003 was primarily due to a cost reduction program initiated in the last quarter of 2002 which included a reduction in head count and other operating expenses. In addition, we negotiated an amendment in our rent obligations under the lease on our current facilities in California which reduced our average annual rent over the remaining term of the lease from approximately $3.7 million to $2.0 million.</w:t>
      </w:r>
    </w:p>
    <w:p>
      <w:pPr>
        <w:spacing w:after="0" w:line="39"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On June 16, 2004, we entered into an agreement with institutional and other accredited investors with respect to the private placement of approximately 13,160,000 shares of our common stock at a purchase price of $1.52 per share, for gross proceeds of approximately $20,000,000. Investors also received warrants exercisable for five years to purchase approximately 3,290,000 shares of common stock at an exercise price of $1.90 per share. During the period October 2004 to December 2004, 306,525 of these warrants were exercised to purchase an aggregate of 306,525 shares of the Company’s common stock at $1.90 per share. The Company received proceeds of $582,000 on issuance of the shares. C.E. Unterberg, Towbin LLC (Unterberg) served as placement agent for the private placement. For acting as our placement agent, Unterberg received fees of approximately $1,200,000, expense reimbursement of approximately $25,000 and a five year warrant to purchase 526,400 shares of our common stock at an exercise price of $1.89 per share.</w:t>
      </w:r>
    </w:p>
    <w:p>
      <w:pPr>
        <w:spacing w:after="0" w:line="59" w:lineRule="exact"/>
        <w:rPr>
          <w:sz w:val="20"/>
          <w:szCs w:val="20"/>
          <w:color w:val="auto"/>
        </w:rPr>
      </w:pPr>
    </w:p>
    <w:p>
      <w:pPr>
        <w:ind w:right="440" w:firstLine="270"/>
        <w:spacing w:after="0" w:line="297" w:lineRule="auto"/>
        <w:rPr>
          <w:sz w:val="20"/>
          <w:szCs w:val="20"/>
          <w:color w:val="auto"/>
        </w:rPr>
      </w:pPr>
      <w:r>
        <w:rPr>
          <w:rFonts w:ascii="Arial" w:cs="Arial" w:eastAsia="Arial" w:hAnsi="Arial"/>
          <w:sz w:val="16"/>
          <w:szCs w:val="16"/>
          <w:color w:val="auto"/>
        </w:rPr>
        <w:t>On October 26, 2004, the Company entered into an agreement with institutional investors with respect to the registered direct placement of 7,500,000 shares of its common stock at a purchase price of $3.00 per share, for gross proceeds of $22,500,000. Unterberg and Shoreline Pacific, LLC (Shoreline) served as placement agents for the transaction. The Company sold these shares under a shelf registration statement previously filed with and declared effective by the U.S. Securities and Exchange Commission. For acting as our placement agent Unterberg and Shoreline received fees of approximately $1,350,000 and expense reimbursement of approximately $40,000. No warrants were issued as part of this financing transaction.</w:t>
      </w:r>
    </w:p>
    <w:p>
      <w:pPr>
        <w:spacing w:after="0" w:line="50" w:lineRule="exact"/>
        <w:rPr>
          <w:sz w:val="20"/>
          <w:szCs w:val="20"/>
          <w:color w:val="auto"/>
        </w:rPr>
      </w:pPr>
    </w:p>
    <w:p>
      <w:pPr>
        <w:ind w:right="500" w:firstLine="270"/>
        <w:spacing w:after="0" w:line="342" w:lineRule="auto"/>
        <w:rPr>
          <w:sz w:val="20"/>
          <w:szCs w:val="20"/>
          <w:color w:val="auto"/>
        </w:rPr>
      </w:pPr>
      <w:r>
        <w:rPr>
          <w:rFonts w:ascii="Arial" w:cs="Arial" w:eastAsia="Arial" w:hAnsi="Arial"/>
          <w:sz w:val="16"/>
          <w:szCs w:val="16"/>
          <w:color w:val="auto"/>
        </w:rPr>
        <w:t>On December 10, 2003 the Company completed a $9.5 million financing transaction with Riverview Group L.L.C. (Riverview), through the sale of 5 million shares of common stock at a price of $1.90 per share. The closing price of the Company’s common stock on that date was $2.00 per share.</w:t>
      </w:r>
    </w:p>
    <w:p>
      <w:pPr>
        <w:spacing w:after="0" w:line="16"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On May 7, 2003, the Company entered into a stock purchase agreement with Riverview under which Riverview agreed to purchase 4 million shares of the Company’s common stock for $6.5 million, or $1.625 per share. On the date of the agreement, the sale price was above the trading price of the Company’s common stock, which closed at $1.43 per share on that date. The Company also agreed to issue a 2-year warrant to Riverview to purchase 1,898,000 shares of common stock at $1.50 per share. The exercise price is subject to adjustment for stock splits, dividends, distributions, reclassifications and similar events. In the event that certain conditions are met, including the closing sale price of the Common Stock remaining at or above $2.50 per share for 10 consecutive trading days, the Company may require Riverview to exercise the warrant for any remaining shares or to relinquish any unexercised portion. On November 11, 2003, Riverview exercised part of the warrant acquiring 1,098,000 shares at $1.50 per share. The proceeds to the Company from this warrant exercise totaled $1,647,000. The warrant is exercisable for the remaining 800,000 shares until April 8, 2005, subject to our right to require exercise or forfeiture as described above.</w:t>
      </w:r>
    </w:p>
    <w:p>
      <w:pPr>
        <w:spacing w:after="0" w:line="89"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On August 23, 2002, we entered into an agreement with Triton West Group, Inc. (Triton) pursuant to which we sold 1,028,038 shares of common stock to Triton for aggregate proceeds of $1,100,000, or approximately $1.07 per share.</w:t>
      </w:r>
    </w:p>
    <w:p>
      <w:pPr>
        <w:spacing w:after="0" w:line="62"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On December 4, 2001, we issued 5,000 shares of 3% cumulative convertible preferred stock to Riverview. We received total proceeds of $4,728,000 net of the fee to Cantor Fitzgerald and other associated costs. This preferred stock is convertible into shares of our common stock at a current conversion price of $2.00 per share of common stock. There was a mandatory redemption provision in the preferred stock under which any preferred stock remaining on December 4, 2003, was to be redeemed on that date. In connection with the preferred stock agreement, we issued to Riverview Group a warrant to purchase 350,877 shares of our common stock at a price of $3.42 per share. We paid Cantor Fitzgerald &amp; Co., our financial advisor in connection with the transaction, a fee of $200,000 and issued them a warrant for 146,199 shares exercisable at $3.42 per share. Both warrants expire on December 4, 2005. On December 7, 2001, Riverview converted 1,000 shares of its 3% cumulative convertible preferred stock for 500,125 shares of the Company’s common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91" w:lineRule="auto"/>
        <w:rPr>
          <w:sz w:val="20"/>
          <w:szCs w:val="20"/>
          <w:color w:val="auto"/>
        </w:rPr>
      </w:pPr>
      <w:r>
        <w:rPr>
          <w:rFonts w:ascii="Arial" w:cs="Arial" w:eastAsia="Arial" w:hAnsi="Arial"/>
          <w:sz w:val="16"/>
          <w:szCs w:val="16"/>
          <w:color w:val="auto"/>
        </w:rPr>
        <w:t>stock. On April 9, 2003, the Company agreed with Riverview to reduce the conversion price to $0.80 per share for a period of 20 trading days. The inducement resulted in a deemed dividend of approximately $1,000,000. Riverview immediately agreed to convert 2,000 shares with a face value of</w:t>
      </w:r>
    </w:p>
    <w:p>
      <w:pPr>
        <w:ind w:right="140"/>
        <w:spacing w:after="0" w:line="281" w:lineRule="auto"/>
        <w:rPr>
          <w:sz w:val="20"/>
          <w:szCs w:val="20"/>
          <w:color w:val="auto"/>
        </w:rPr>
      </w:pPr>
      <w:r>
        <w:rPr>
          <w:rFonts w:ascii="Arial" w:cs="Arial" w:eastAsia="Arial" w:hAnsi="Arial"/>
          <w:sz w:val="16"/>
          <w:szCs w:val="16"/>
          <w:color w:val="auto"/>
        </w:rPr>
        <w:t>$2 million, at the reduced price. Riverview received 2,521,041 shares of common stock upon conversion, which includes 21,041 shares valued at $16,833 as accrued dividends. On November 11, 2003, Riverview converted the remaining 2,000 shares of its 3% cumulative convertible preferred stock for</w:t>
      </w:r>
    </w:p>
    <w:p>
      <w:pPr>
        <w:spacing w:after="0" w:line="1"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1,010,833 shares of the Company’s common stock, which includes 10,833 shares valued at $21,666 as accrued dividends. As a result of the above transactions all of the 3% cumulative convertible preferred stock were fully converted into our common stock before the mandatory redemption date of December 4, 2003.</w:t>
      </w:r>
    </w:p>
    <w:p>
      <w:pPr>
        <w:spacing w:after="0" w:line="82"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color w:val="auto"/>
        </w:rPr>
        <w:t>On May 10, 2001, we entered into a common stock purchase agreement with Sativum Investments Limited for the potential future issuance and sale of up to $30,000,000 of our common stock, subject to restrictions and other obligations. The agreement expired in January 2004. We had the right to draw down on this facility, sometimes termed an equity line, from time to time, and Sativum was obligated to purchase shares of our common stock at a 6% discount to a volume weighted average market price over the 20 trading days following the draw-down notice. We were limited with respect to how often we could exercise a draw down and the amount of each draw down. The Company did draw down $4,000,000 by issuance of 707,947 shares in July of 2001, $118,000 by issuance of 107,812 shares in December of 2002, $66,000 by issuance of 58,516 shares in January of 2003, and $375,000 by issuance of 245,472 shares in May of 2003, before applicable fees. In connection with our execution of the common stock purchase agreement with Sativum, we issued three-year warrants to purchase an aggregate of 350,000 shares of our common stock at $2.38 per share to Sativum (250,000 shares) and our placement agents (Pacific Crest Securities Inc., 75,000 shares and Granite Financial Group, Inc., 25,000 shares). Our placement agents exercised their warrants in full in July 2001, and we received payment of $238,050 for the shares issued to them.</w:t>
      </w:r>
    </w:p>
    <w:p>
      <w:pPr>
        <w:spacing w:after="0" w:line="70" w:lineRule="exact"/>
        <w:rPr>
          <w:sz w:val="20"/>
          <w:szCs w:val="20"/>
          <w:color w:val="auto"/>
        </w:rPr>
      </w:pPr>
    </w:p>
    <w:p>
      <w:pPr>
        <w:ind w:firstLine="267"/>
        <w:spacing w:after="0" w:line="287" w:lineRule="auto"/>
        <w:rPr>
          <w:sz w:val="20"/>
          <w:szCs w:val="20"/>
          <w:color w:val="auto"/>
        </w:rPr>
      </w:pPr>
      <w:r>
        <w:rPr>
          <w:rFonts w:ascii="Arial" w:cs="Arial" w:eastAsia="Arial" w:hAnsi="Arial"/>
          <w:sz w:val="16"/>
          <w:szCs w:val="16"/>
          <w:color w:val="auto"/>
        </w:rPr>
        <w:t>We continue to have outstanding obligations in regard to our former facilities in Lincoln, Rhode Island. In 1997, we had entered into a fifteen-year lease for a scientific and administrative facility (the SAF) in a sale and leaseback arrangement. The lease includes escalating rent payments. For the year 2005, we expect to pay $938,000 as an operating lease payment and in addition, based on our 2004 expenses, approximately $500,000 as operating expenses. In 1992 and 1994 we had undertaken direct financing transactions with the State of Rhode Island and received proceeds from the issuance of industrial revenue bonds totaling $5,000,000 to finance the construction of a pilot manufacturing facility and a related cell processing facility. The related leases are structured such that lease payments will fully fund all semiannual interest payments and annual principal payments through maturity in August 2014. For these related facilities we expect to pay approximately $460,000 in principal, interest and related expenses in 2005. In addition based on 2004 expenses we expect to incur approximately $40,000 in expenses common to both facilities such as property management and legal fees. We have subleased the pilot manufacturing facility and the cell processing facility, as well as a portion (approximately one-fourth) of the SAF. We expect to receive, in aggregate, approximately $708,000 in sub-tenant rent for all of the Rhode Island facilities. As a result of the above transactions, our estimated costs net of sub-tenant rent for the Rhode Island facilities will be approximately $1,230,000 for 2005. We are actively seeking to sublease, assign or sell our remaining interests in these facilities. Failure to do so within a reasonable period of time will have a material adverse effect on our liquidity and capital resources.</w:t>
      </w:r>
    </w:p>
    <w:p>
      <w:pPr>
        <w:spacing w:after="0" w:line="61"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 with respect to the Rhode Island properties):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8"/>
              <w:spacing w:after="0"/>
              <w:rPr>
                <w:sz w:val="20"/>
                <w:szCs w:val="20"/>
                <w:color w:val="auto"/>
              </w:rPr>
            </w:pPr>
            <w:r>
              <w:rPr>
                <w:rFonts w:ascii="Arial" w:cs="Arial" w:eastAsia="Arial" w:hAnsi="Arial"/>
                <w:sz w:val="13"/>
                <w:szCs w:val="13"/>
                <w:b w:val="1"/>
                <w:bCs w:val="1"/>
                <w:color w:val="auto"/>
                <w:w w:val="89"/>
              </w:rPr>
              <w:t>Total</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Payable in</w:t>
            </w: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7"/>
              </w:rPr>
              <w:t>Obligations at</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Payable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Payable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Payable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Payable in</w:t>
            </w:r>
          </w:p>
        </w:tc>
        <w:tc>
          <w:tcPr>
            <w:tcW w:w="12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87"/>
              </w:rPr>
              <w:t>Payable in</w:t>
            </w:r>
          </w:p>
        </w:tc>
        <w:tc>
          <w:tcPr>
            <w:tcW w:w="14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2010 and</w:t>
            </w:r>
          </w:p>
        </w:tc>
      </w:tr>
      <w:tr>
        <w:trPr>
          <w:trHeight w:val="160"/>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6"/>
              </w:rPr>
              <w:t>12/31/04</w:t>
            </w:r>
          </w:p>
        </w:tc>
        <w:tc>
          <w:tcPr>
            <w:tcW w:w="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2005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6"/>
              <w:spacing w:after="0"/>
              <w:rPr>
                <w:sz w:val="20"/>
                <w:szCs w:val="20"/>
                <w:color w:val="auto"/>
              </w:rPr>
            </w:pPr>
            <w:r>
              <w:rPr>
                <w:rFonts w:ascii="Arial" w:cs="Arial" w:eastAsia="Arial" w:hAnsi="Arial"/>
                <w:sz w:val="13"/>
                <w:szCs w:val="13"/>
                <w:b w:val="1"/>
                <w:bCs w:val="1"/>
                <w:color w:val="auto"/>
              </w:rPr>
              <w:t>2007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2008</w:t>
            </w: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6"/>
              <w:spacing w:after="0"/>
              <w:rPr>
                <w:sz w:val="20"/>
                <w:szCs w:val="20"/>
                <w:color w:val="auto"/>
              </w:rPr>
            </w:pPr>
            <w:r>
              <w:rPr>
                <w:rFonts w:ascii="Arial" w:cs="Arial" w:eastAsia="Arial" w:hAnsi="Arial"/>
                <w:sz w:val="13"/>
                <w:szCs w:val="13"/>
                <w:b w:val="1"/>
                <w:bCs w:val="1"/>
                <w:color w:val="auto"/>
              </w:rPr>
              <w:t>2009</w:t>
            </w: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8"/>
              <w:spacing w:after="0"/>
              <w:rPr>
                <w:sz w:val="20"/>
                <w:szCs w:val="20"/>
                <w:color w:val="auto"/>
              </w:rPr>
            </w:pPr>
            <w:r>
              <w:rPr>
                <w:rFonts w:ascii="Arial" w:cs="Arial" w:eastAsia="Arial" w:hAnsi="Arial"/>
                <w:sz w:val="13"/>
                <w:szCs w:val="13"/>
                <w:b w:val="1"/>
                <w:bCs w:val="1"/>
                <w:color w:val="auto"/>
                <w:w w:val="88"/>
              </w:rPr>
              <w:t>Beyond</w:t>
            </w:r>
          </w:p>
        </w:tc>
        <w:tc>
          <w:tcPr>
            <w:tcW w:w="2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Capital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2,839,805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472,680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445,486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332,545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244,531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244,572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1,099,991</w:t>
            </w:r>
          </w:p>
        </w:tc>
        <w:tc>
          <w:tcPr>
            <w:tcW w:w="2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6"/>
                <w:szCs w:val="16"/>
                <w:color w:val="auto"/>
              </w:rPr>
              <w:t>Operating lease payments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11,652,113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3,007,630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1,115,186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937,500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1,171,875</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1,171,875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4,248,047</w:t>
            </w:r>
          </w:p>
        </w:tc>
        <w:tc>
          <w:tcPr>
            <w:tcW w:w="2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Total contractual cash</w:t>
            </w: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14,491,918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3,480,310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1,560,672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1,270,045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1,416,406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1,416,447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5,348,038</w:t>
            </w:r>
          </w:p>
        </w:tc>
        <w:tc>
          <w:tcPr>
            <w:tcW w:w="220" w:type="dxa"/>
            <w:vAlign w:val="bottom"/>
            <w:shd w:val="clear" w:color="auto" w:fill="CCEEFF"/>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balances and are unable to realize adequate financing, we may be unable to meet operating obligations and be required to initiate bankruptcy proceedings.</w:t>
      </w:r>
    </w:p>
    <w:p>
      <w:pPr>
        <w:spacing w:after="0" w:line="74" w:lineRule="exact"/>
        <w:rPr>
          <w:sz w:val="20"/>
          <w:szCs w:val="20"/>
          <w:color w:val="auto"/>
        </w:rPr>
      </w:pPr>
    </w:p>
    <w:p>
      <w:pPr>
        <w:ind w:firstLine="267"/>
        <w:spacing w:after="0" w:line="276"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to delay, scale back or eliminate some or all of our research and product development programs, planned clinical trials, and/or our capital expenditures or to license our potential products or technologies to third parties.</w:t>
      </w:r>
    </w:p>
    <w:p>
      <w:pPr>
        <w:spacing w:after="0" w:line="64" w:lineRule="exact"/>
        <w:rPr>
          <w:sz w:val="20"/>
          <w:szCs w:val="20"/>
          <w:color w:val="auto"/>
        </w:rPr>
      </w:pPr>
    </w:p>
    <w:p>
      <w:pPr>
        <w:ind w:right="60" w:firstLine="267"/>
        <w:spacing w:after="0" w:line="253" w:lineRule="auto"/>
        <w:rPr>
          <w:sz w:val="20"/>
          <w:szCs w:val="20"/>
          <w:color w:val="auto"/>
        </w:rPr>
      </w:pPr>
      <w:r>
        <w:rPr>
          <w:rFonts w:ascii="Arial" w:cs="Arial" w:eastAsia="Arial" w:hAnsi="Arial"/>
          <w:sz w:val="18"/>
          <w:szCs w:val="18"/>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 During 2001, we were party to a space-sharing agreement entered into between us and Celtrans, LLC. (now Cellerant, Inc.). Dr. Irving Weissman, a member of our Board of Directors and Chairman of our Scientific Advisory Board, is the founder and Chairman of Cellerant, a privately-owned biotechnology company that is a subtenant in the building in which the Company is located. Under the agreement, which was effective as of September 1, 2001, Cellerant or, with our approval, a subtenant of Cellerant, may use certain animal space in our facility, which we do not currently require for our own use. That agreement was partially in abeyance until February 2005, since the animal space was used by a third party by agreement with us and with Cellerant. We also provide certain services to Cellerant with respect to animal care for mice housed in Cellerant’s own space. In addition, Dr. Weissman remains a consultant to us under an agreement entered in 1997.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In December 2004, FASB issued SFAS No. 123R (revised 2004), Share-Based Payment. This Statement is a revision of SFAS No. 123, Accounting for Stock-Based Compensation and amends SFAS No. 95, Statement of Cash Flows This Statement supersedes APB Opinion No. 25, Accounting for Stock Issued to Employees, and its related implementation guidance. . Upon the adoption of SFAS No. 123R the Company will be required to expense stock options in its Statement of Operations. Among other items, the new standard would require the expensing of stock options issued by the Company in the financial statements using a fair-value-based method. The provisions of SFAS 123R are effective for the first interim or annual reporting period that begins after June 15, 2005; the Company will therefore adopt the new requirements no later than the beginning of its third quarter of fiscal 2005. Adoption of the expensing requirements will reduce the Company’s reported earnings. See ‘Stock-based Compensation‘ in Note 1 for dis closures regarding the effect on net earnings and earnings per share if we had applied the fair value recognition provisions of SFAS No. 123R.</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for Costs Associated with Exit or Disposal Activities</w:t>
      </w:r>
    </w:p>
    <w:p>
      <w:pPr>
        <w:spacing w:after="0" w:line="117"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In June 2002, the FASB issued SFAS No. 146, Accounting for Costs Associated with Exit or Disposal Activities. SFAS No. 146 provides guidance related to accounting for costs associated with disposal activities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covered by SFAS No. 144 and with one-time termination benefits and other exit or restructuring activities previously covered by Emerging Issues Task Force (EITF) Issue No. 94-3, Liability Recognition for Certain Employee Termination Benefits and Other Costs to Exit an Activity (including Certain Costs Incurred in a Restructuring). SFAS No. 146 supersedes EITF Issue No. 94-3 in its entirety. Under SFAS No. 146, the following conditions must be met for an action to qualify as an exit or disposal plan: management having the authority to approve the action commits to a plan of termination; the plan identifies the number of employees to be terminated, their job classifications or functions and their locations, and the expected completion date; the plan establishes the terms of the benefit arrangement including the benefits that employees will receive upon termination (including but not limited to cash payments) in sufficient detail to enable employees to determine the type and amount of benefits they will receive if they are involuntarily terminated; and actions required to complete the plan indicate that it is unlikely that significant changes to the plan will be made or that the plan will be withdrawn. SFAS No. 146 was effective in 2003 and will be applied prospectively to qualifying exit or disposal activities initiated after December 31, 2002.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FACTORS RELEVANT TO FORWARD-LOOKING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03" w:lineRule="exact"/>
        <w:rPr>
          <w:sz w:val="20"/>
          <w:szCs w:val="20"/>
          <w:color w:val="auto"/>
        </w:rPr>
      </w:pPr>
    </w:p>
    <w:p>
      <w:pPr>
        <w:jc w:val="both"/>
        <w:ind w:right="260" w:firstLine="263"/>
        <w:spacing w:after="0" w:line="264" w:lineRule="auto"/>
        <w:rPr>
          <w:sz w:val="20"/>
          <w:szCs w:val="20"/>
          <w:color w:val="auto"/>
        </w:rPr>
      </w:pPr>
      <w:r>
        <w:rPr>
          <w:rFonts w:ascii="Arial" w:cs="Arial" w:eastAsia="Arial" w:hAnsi="Arial"/>
          <w:sz w:val="18"/>
          <w:szCs w:val="18"/>
          <w:color w:val="auto"/>
        </w:rPr>
        <w:t>YOU SHOULD CAREFULLY CONSIDER THE RISKS DESCRIBED BELOW BEFORE MAKING AN INVESTMENT DECISION REGARDING STEMCELLS, INC. Any of the following risks could materially adversely affect our business, financial conditions or results of operation. Additional risks and uncertainties not known to us or that we currently deem immaterial may also impair our business operations.</w:t>
      </w:r>
    </w:p>
    <w:p>
      <w:pPr>
        <w:spacing w:after="0" w:line="73"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360" w:right="300"/>
        <w:spacing w:after="0" w:line="277" w:lineRule="auto"/>
        <w:rPr>
          <w:sz w:val="20"/>
          <w:szCs w:val="20"/>
          <w:color w:val="auto"/>
        </w:rPr>
      </w:pPr>
      <w:r>
        <w:rPr>
          <w:rFonts w:ascii="Arial" w:cs="Arial" w:eastAsia="Arial" w:hAnsi="Arial"/>
          <w:sz w:val="18"/>
          <w:szCs w:val="18"/>
          <w:b w:val="1"/>
          <w:bCs w:val="1"/>
          <w:i w:val="1"/>
          <w:iCs w:val="1"/>
          <w:color w:val="auto"/>
        </w:rPr>
        <w:t>Our financial situation is precarious and, based on currently estimated operating expenses, our existing capital resources may not be sufficient to fund our operations beyond 2006</w:t>
      </w:r>
    </w:p>
    <w:p>
      <w:pPr>
        <w:spacing w:after="0" w:line="62" w:lineRule="exact"/>
        <w:rPr>
          <w:sz w:val="20"/>
          <w:szCs w:val="20"/>
          <w:color w:val="auto"/>
        </w:rPr>
      </w:pPr>
    </w:p>
    <w:p>
      <w:pPr>
        <w:ind w:firstLine="267"/>
        <w:spacing w:after="0" w:line="287" w:lineRule="auto"/>
        <w:rPr>
          <w:sz w:val="20"/>
          <w:szCs w:val="20"/>
          <w:color w:val="auto"/>
        </w:rPr>
      </w:pPr>
      <w:r>
        <w:rPr>
          <w:rFonts w:ascii="Arial" w:cs="Arial" w:eastAsia="Arial" w:hAnsi="Arial"/>
          <w:sz w:val="16"/>
          <w:szCs w:val="16"/>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and for acquisition of technologies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may not be sufficient to fund our operations beyond 2006. These conditions raise doubt about our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65" w:lineRule="exact"/>
        <w:rPr>
          <w:sz w:val="20"/>
          <w:szCs w:val="20"/>
          <w:color w:val="auto"/>
        </w:rPr>
      </w:pPr>
    </w:p>
    <w:p>
      <w:pPr>
        <w:ind w:firstLine="267"/>
        <w:spacing w:after="0" w:line="276"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173" w:lineRule="exact"/>
        <w:rPr>
          <w:sz w:val="20"/>
          <w:szCs w:val="20"/>
          <w:color w:val="auto"/>
        </w:rPr>
      </w:pPr>
    </w:p>
    <w:p>
      <w:pPr>
        <w:ind w:left="360" w:right="40"/>
        <w:spacing w:after="0" w:line="375" w:lineRule="auto"/>
        <w:rPr>
          <w:sz w:val="20"/>
          <w:szCs w:val="20"/>
          <w:color w:val="auto"/>
        </w:rPr>
      </w:pPr>
      <w:r>
        <w:rPr>
          <w:rFonts w:ascii="Arial" w:cs="Arial" w:eastAsia="Arial" w:hAnsi="Arial"/>
          <w:sz w:val="15"/>
          <w:szCs w:val="15"/>
          <w:b w:val="1"/>
          <w:bCs w:val="1"/>
          <w:i w:val="1"/>
          <w:iCs w:val="1"/>
          <w:color w:val="auto"/>
        </w:rPr>
        <w:t>The FDA may fail to approve our Investigational New Drug Application for our proposed Phase I clinical trial of our proprietary neural cell therapy product in Batten disease, and the Institutional Review Board (IRB) at the clinical site may fail to approve the clinical protocol for the trial.</w:t>
      </w:r>
    </w:p>
    <w:p>
      <w:pPr>
        <w:spacing w:after="0" w:line="1" w:lineRule="exact"/>
        <w:rPr>
          <w:sz w:val="20"/>
          <w:szCs w:val="20"/>
          <w:color w:val="auto"/>
        </w:rPr>
      </w:pPr>
    </w:p>
    <w:p>
      <w:pPr>
        <w:ind w:right="140" w:firstLine="267"/>
        <w:spacing w:after="0" w:line="291" w:lineRule="auto"/>
        <w:rPr>
          <w:sz w:val="20"/>
          <w:szCs w:val="20"/>
          <w:color w:val="auto"/>
        </w:rPr>
      </w:pPr>
      <w:r>
        <w:rPr>
          <w:rFonts w:ascii="Arial" w:cs="Arial" w:eastAsia="Arial" w:hAnsi="Arial"/>
          <w:sz w:val="16"/>
          <w:szCs w:val="16"/>
          <w:color w:val="auto"/>
        </w:rPr>
        <w:t>We filed our first Investigational New Drug, or IND, application to the U.S. Food and Drug Administration (FDA) in late December, 2004, for our proposed Phase I clinical trial of our proprietary neural cell therapy product — HuCNS SC — in Batten disease. The FDA has informed us that it has suggestions and questions related to the proposed trial that require additional information and has placed our proposed trial on hold. We cannot be certain whether the FDA will remove the clinical hold on the Company’s proposed initial clinical trial and permit the Company to proceed to clinical testing despite the novel and unproven nature of our technology. We may not be able to satisfy the FDA’s concerns without conducting extensive and time consuming additional preclinical studies, if at all. Even if approved, our clinical trial could be substantially delayed beyond its expected dates. In addition to requiring FDA approval, the trial cannot go forward until the IRB of the trial site has approved the proposed clinical protocol. The IRB for Stanford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University, theproposed site of the trial, has not yet acted on the protocol. Should it fail to approve the trial, or require modifications to the protocol that are not acceptable to the Company, the Company would need to find another trial site.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technology is at an early stage of discovery and development, and we may fail to develop any commercially acceptable products.</w:t>
      </w:r>
    </w:p>
    <w:p>
      <w:pPr>
        <w:spacing w:after="0" w:line="129" w:lineRule="exact"/>
        <w:rPr>
          <w:sz w:val="20"/>
          <w:szCs w:val="20"/>
          <w:color w:val="auto"/>
        </w:rPr>
      </w:pPr>
    </w:p>
    <w:p>
      <w:pPr>
        <w:ind w:right="20" w:firstLine="267"/>
        <w:spacing w:after="0" w:line="279" w:lineRule="auto"/>
        <w:rPr>
          <w:sz w:val="20"/>
          <w:szCs w:val="20"/>
          <w:color w:val="auto"/>
        </w:rPr>
      </w:pPr>
      <w:r>
        <w:rPr>
          <w:rFonts w:ascii="Arial" w:cs="Arial" w:eastAsia="Arial" w:hAnsi="Arial"/>
          <w:sz w:val="17"/>
          <w:szCs w:val="17"/>
          <w:color w:val="auto"/>
        </w:rPr>
        <w:t>We have yet to develop any products. Our stem cell technology is still at the discovery phase for the liver and pancreas stem cells and, while we have filed an IND with respect to our human neural (brain) stem cells, the U.S. Food and Drug Administration (FDA) has placed a clinical hold on our proposed clinical trial pending the Company’s response to its concerns. We may fail to discover the stem cells we are seeking, to develop any products, to obtain regulatory approvals, to enter clinical trials, or to commercialize any products. Any product using stem cell technology may fail to:</w:t>
      </w:r>
    </w:p>
    <w:p>
      <w:pPr>
        <w:spacing w:after="0" w:line="63" w:lineRule="exact"/>
        <w:rPr>
          <w:sz w:val="20"/>
          <w:szCs w:val="20"/>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survive and persist in the desired location;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the intended therapeutic benefits;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properly integrate into existing tissue in the desired manner;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85" w:lineRule="exact"/>
        <w:rPr>
          <w:sz w:val="20"/>
          <w:szCs w:val="20"/>
          <w:color w:val="auto"/>
        </w:rPr>
      </w:pPr>
    </w:p>
    <w:p>
      <w:pPr>
        <w:ind w:right="120" w:firstLine="270"/>
        <w:spacing w:after="0" w:line="297" w:lineRule="auto"/>
        <w:rPr>
          <w:sz w:val="20"/>
          <w:szCs w:val="20"/>
          <w:color w:val="auto"/>
        </w:rPr>
      </w:pPr>
      <w:r>
        <w:rPr>
          <w:rFonts w:ascii="Arial" w:cs="Arial" w:eastAsia="Arial" w:hAnsi="Arial"/>
          <w:sz w:val="16"/>
          <w:szCs w:val="16"/>
          <w:color w:val="auto"/>
        </w:rPr>
        <w:t>Moreover, because our cell therapy treatments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 infection, cancer, cardiovascular disease, renal dysfunction and other side effects depending upon which immunosuppressive regimen is employed. Immunosuppression has not been tested with our therapies since we have not yet conducted any clinical trials.</w:t>
      </w:r>
    </w:p>
    <w:p>
      <w:pPr>
        <w:spacing w:after="0" w:line="50" w:lineRule="exact"/>
        <w:rPr>
          <w:sz w:val="20"/>
          <w:szCs w:val="20"/>
          <w:color w:val="auto"/>
        </w:rPr>
      </w:pPr>
    </w:p>
    <w:p>
      <w:pPr>
        <w:ind w:right="20" w:firstLine="260"/>
        <w:spacing w:after="0" w:line="297" w:lineRule="auto"/>
        <w:rPr>
          <w:sz w:val="20"/>
          <w:szCs w:val="20"/>
          <w:color w:val="auto"/>
        </w:rPr>
      </w:pPr>
      <w:r>
        <w:rPr>
          <w:rFonts w:ascii="Arial" w:cs="Arial" w:eastAsia="Arial" w:hAnsi="Arial"/>
          <w:sz w:val="16"/>
          <w:szCs w:val="16"/>
          <w:color w:val="auto"/>
        </w:rPr>
        <w:t>As noted above, we filed an IND with the FDA earlier this year which is currently on clinical hold. Before we are permitted to move forward, as part of the IND process, the FDA will need to be satisfied that the cell bank to be used in these trials qualifies as a suitable source of the cells for the proposed clinical trial, and that the pre-clinical safety testing (i.e., pharmacology and toxicology studies) we conducted in various animal models is adequate. We must also obtain the approval of the internal review board at the medical institution where the clinical trial would be conducted. We may not be able to satisfy all of the requirements to move the Batten disease program into clinical trials, which could have a material adverse effect on our product development timeline.</w:t>
      </w:r>
    </w:p>
    <w:p>
      <w:pPr>
        <w:spacing w:after="0" w:line="158" w:lineRule="exact"/>
        <w:rPr>
          <w:sz w:val="20"/>
          <w:szCs w:val="20"/>
          <w:color w:val="auto"/>
        </w:rPr>
      </w:pPr>
    </w:p>
    <w:p>
      <w:pPr>
        <w:ind w:left="360" w:right="100"/>
        <w:spacing w:after="0" w:line="277"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stem cell research and development.</w:t>
      </w:r>
    </w:p>
    <w:p>
      <w:pPr>
        <w:spacing w:after="0" w:line="62"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on average, lease payments and payments for operating costs of approximately $1,450,000 per year before sub-tenant rent income for our former science and administrative facility, which we have leased through June 30, 2013,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debt service payments and payments for operating costs of approximately $500,000 per year for our former encapsulated cell therapy pilot manufacturing facility, which we own. We have currently subleased a portion of the science and administrative facility, and are seeking to sublease the remaining portion, but we cannot be sure that we will be able to keep any part of the facility subleased for the duration of our obligation. We have currently subleased the entire pilot manufacturing facility to a privately-held biotechnology company, but may not be able to sublease or sell the facility in the future once the current sublease agreements expire. These continuing costs significantly reduce our cash resources and adversely affect our ability to fund further development of our stem cell technology.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2004, the reserve was $5,528,000. In 2004, we incurred $1,152,000 in operating expenses net of sub-tenant income for this facility. In 2004 and 2003 respectively, we incurred $1,152,000 and $984,000 in lease payments and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need but fail to obtain partners to support our stem cell development efforts and to commercialize our technology.</w:t>
      </w:r>
    </w:p>
    <w:p>
      <w:pPr>
        <w:spacing w:after="0" w:line="117"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a history of operating losses, and we may fail to obtain revenues or become profitable.</w:t>
      </w:r>
    </w:p>
    <w:p>
      <w:pPr>
        <w:spacing w:after="0" w:line="117" w:lineRule="exact"/>
        <w:rPr>
          <w:sz w:val="20"/>
          <w:szCs w:val="20"/>
          <w:color w:val="auto"/>
        </w:rPr>
      </w:pPr>
    </w:p>
    <w:p>
      <w:pPr>
        <w:ind w:right="20" w:firstLine="267"/>
        <w:spacing w:after="0" w:line="293" w:lineRule="auto"/>
        <w:rPr>
          <w:sz w:val="20"/>
          <w:szCs w:val="20"/>
          <w:color w:val="auto"/>
        </w:rPr>
      </w:pPr>
      <w:r>
        <w:rPr>
          <w:rFonts w:ascii="Arial" w:cs="Arial" w:eastAsia="Arial" w:hAnsi="Arial"/>
          <w:sz w:val="16"/>
          <w:szCs w:val="16"/>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we have only one current research grant for our stem cell technology, and we may not obtain any such agreements or additional grants in the future or receive any revenues from them.</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If we are unable to protect our patents and proprietary rights, our business, financial condition and results of operations will be harmed.</w:t>
      </w:r>
    </w:p>
    <w:p>
      <w:pPr>
        <w:spacing w:after="0" w:line="129" w:lineRule="exact"/>
        <w:rPr>
          <w:sz w:val="20"/>
          <w:szCs w:val="20"/>
          <w:color w:val="auto"/>
        </w:rPr>
      </w:pPr>
    </w:p>
    <w:p>
      <w:pPr>
        <w:ind w:right="40" w:firstLine="267"/>
        <w:spacing w:after="0" w:line="285" w:lineRule="auto"/>
        <w:rPr>
          <w:sz w:val="20"/>
          <w:szCs w:val="20"/>
          <w:color w:val="auto"/>
        </w:rPr>
      </w:pPr>
      <w:r>
        <w:rPr>
          <w:rFonts w:ascii="Arial" w:cs="Arial" w:eastAsia="Arial" w:hAnsi="Arial"/>
          <w:sz w:val="16"/>
          <w:szCs w:val="16"/>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if any existing or future patents will provide sufficient protection or significant commercial advantage or if others will circumvent these patents. We cannot be certain that we were the first to discover the inventions covered by each of our pending 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 commercial benefit to us. In addition, our patents may not afford us adequate protection from competing products.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 Under the procedures of the European Patent Office, third parties may oppose our issued European patents during the relevant opposition period. Such oppositions could result in substantial uncertainties and cost for us, even if the eventual outcome is favorable to us, and the outcome might not be favorable to us. One party has opposed two of our granted European patents. While we are confident in our position, there is no guarantee that we will prevail. If we are unsuccessful in our defense of the opposed patents, all claimed rights in the opposed patents will be lost in Europe.</w:t>
      </w:r>
    </w:p>
    <w:p>
      <w:pPr>
        <w:spacing w:after="0" w:line="6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If others are first to discover and patent the stem cells we are seeking to discover, we could be blocked from further work on those stem cells.</w:t>
      </w:r>
    </w:p>
    <w:p>
      <w:pPr>
        <w:spacing w:after="0" w:line="140"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81" w:lineRule="exact"/>
        <w:rPr>
          <w:sz w:val="20"/>
          <w:szCs w:val="20"/>
          <w:color w:val="auto"/>
        </w:rPr>
      </w:pPr>
    </w:p>
    <w:p>
      <w:pPr>
        <w:ind w:left="360" w:right="600"/>
        <w:spacing w:after="0" w:line="277" w:lineRule="auto"/>
        <w:rPr>
          <w:sz w:val="20"/>
          <w:szCs w:val="20"/>
          <w:color w:val="auto"/>
        </w:rPr>
      </w:pPr>
      <w:r>
        <w:rPr>
          <w:rFonts w:ascii="Arial" w:cs="Arial" w:eastAsia="Arial" w:hAnsi="Arial"/>
          <w:sz w:val="18"/>
          <w:szCs w:val="18"/>
          <w:b w:val="1"/>
          <w:bCs w:val="1"/>
          <w:i w:val="1"/>
          <w:iCs w:val="1"/>
          <w:color w:val="auto"/>
        </w:rPr>
        <w:t>If we are unable to obtain necessary licenses to third-party patents and other rights, we may not be able to commercially develop our expected products.</w:t>
      </w:r>
    </w:p>
    <w:p>
      <w:pPr>
        <w:spacing w:after="0" w:line="62" w:lineRule="exact"/>
        <w:rPr>
          <w:sz w:val="20"/>
          <w:szCs w:val="20"/>
          <w:color w:val="auto"/>
        </w:rPr>
      </w:pPr>
    </w:p>
    <w:p>
      <w:pPr>
        <w:ind w:right="240" w:firstLine="260"/>
        <w:spacing w:after="0" w:line="257" w:lineRule="auto"/>
        <w:rPr>
          <w:sz w:val="20"/>
          <w:szCs w:val="20"/>
          <w:color w:val="auto"/>
        </w:rPr>
      </w:pPr>
      <w:r>
        <w:rPr>
          <w:rFonts w:ascii="Arial" w:cs="Arial" w:eastAsia="Arial" w:hAnsi="Arial"/>
          <w:sz w:val="18"/>
          <w:szCs w:val="18"/>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valid claims that our technology infringes upon their technology, we may be unable to obtain licenses to these patents at a reasonable cost, if at all, and may also be unable to develop or obtain alternative technology. If we are unable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obtain such licenses at a reasonable cost, our business could be significantly harmed. 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risks of third-party patents and/or technology. We can give no assurance that any of these licenses will provide effective protection against our competitors.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17" w:lineRule="exact"/>
        <w:rPr>
          <w:sz w:val="20"/>
          <w:szCs w:val="20"/>
          <w:color w:val="auto"/>
        </w:rPr>
      </w:pPr>
    </w:p>
    <w:p>
      <w:pPr>
        <w:ind w:right="40" w:firstLine="267"/>
        <w:spacing w:after="0" w:line="291" w:lineRule="auto"/>
        <w:rPr>
          <w:sz w:val="20"/>
          <w:szCs w:val="20"/>
          <w:color w:val="auto"/>
        </w:rPr>
      </w:pPr>
      <w:r>
        <w:rPr>
          <w:rFonts w:ascii="Arial" w:cs="Arial" w:eastAsia="Arial" w:hAnsi="Arial"/>
          <w:sz w:val="16"/>
          <w:szCs w:val="16"/>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 of biotechnology companies with resources far greater than ours may also emerge as competitors. These include Genzyme, Amgen, Cephalon, Transkaryotic Therapies, BioMarin, Celgene, Biogen, and Titan Pharmaceuticals. Finally, we also expect to compete with smaller biotechnology companies, some of which are privately owned, such as Neuralstem, Geron, NeuroNova, ReNeuron, ES Cell International, and CellFactors/ Diacrin.</w:t>
      </w:r>
    </w:p>
    <w:p>
      <w:pPr>
        <w:spacing w:after="0" w:line="59" w:lineRule="exact"/>
        <w:rPr>
          <w:sz w:val="20"/>
          <w:szCs w:val="20"/>
          <w:color w:val="auto"/>
        </w:rPr>
      </w:pPr>
    </w:p>
    <w:p>
      <w:pPr>
        <w:ind w:right="120" w:firstLine="267"/>
        <w:spacing w:after="0" w:line="276" w:lineRule="auto"/>
        <w:rPr>
          <w:sz w:val="20"/>
          <w:szCs w:val="20"/>
          <w:color w:val="auto"/>
        </w:rPr>
      </w:pPr>
      <w:r>
        <w:rPr>
          <w:rFonts w:ascii="Arial" w:cs="Arial" w:eastAsia="Arial" w:hAnsi="Arial"/>
          <w:sz w:val="17"/>
          <w:szCs w:val="17"/>
          <w:color w:val="auto"/>
        </w:rPr>
        <w:t>We believe that our human neural stem cells may have application to many or most of the Lysosomal Storage Diseases (“LSDs”) with CNS involvement. We have submitted our first IND for Batten Disease, which is one of the LSDs that affect the CNS; that IND is currently on clinical hold, and we have no assurance as to when or whether the FDA will release the hold and permit the clinical trial to begin. There are, so far as we know, no approved therapies for Batten’s or any of the other CNS-specific LSDs, but other companies, including Genzyme, BioMarin, and Transkaryotic Therapies, have products approved to treat peripheral aspects of some of the other LSDs, and other products are in clinical trials.</w:t>
      </w:r>
    </w:p>
    <w:p>
      <w:pPr>
        <w:spacing w:after="0" w:line="64"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In the field of diabetes, a number of major companies currently market products for the treatment of diabetes and are also engaged in the research and development of new therapies. Such companies include Eli Lilly, Novo Nordisk, J&amp;J, Amylin, Serono. Consequently, should we successfully develop a cell-based therapy for diabetes, we would expect to face severe competition from these and similar companies.</w:t>
      </w:r>
    </w:p>
    <w:p>
      <w:pPr>
        <w:spacing w:after="0" w:line="73"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Development of our technology is subject to and restricted by extensive government regulation, which could impede our business.</w:t>
      </w:r>
    </w:p>
    <w:p>
      <w:pPr>
        <w:spacing w:after="0" w:line="129"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70"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 — that is, sources that follow all state and federal guidelines for cell procurement. Further, we may not be able to obtain such cells 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quantity or quality sufficient to satisfy the commercial requirements of our potential products. As a result, we may be unable to develop or produce our products in a profitable manner.</w:t>
      </w:r>
    </w:p>
    <w:p>
      <w:pPr>
        <w:spacing w:after="0" w:line="62" w:lineRule="exact"/>
        <w:rPr>
          <w:sz w:val="20"/>
          <w:szCs w:val="20"/>
          <w:color w:val="auto"/>
        </w:rPr>
      </w:pPr>
    </w:p>
    <w:p>
      <w:pPr>
        <w:ind w:firstLine="260"/>
        <w:spacing w:after="0" w:line="272" w:lineRule="auto"/>
        <w:rPr>
          <w:sz w:val="20"/>
          <w:szCs w:val="20"/>
          <w:color w:val="auto"/>
        </w:rPr>
      </w:pPr>
      <w:r>
        <w:rPr>
          <w:rFonts w:ascii="Arial" w:cs="Arial" w:eastAsia="Arial" w:hAnsi="Arial"/>
          <w:sz w:val="17"/>
          <w:szCs w:val="17"/>
          <w:color w:val="auto"/>
        </w:rPr>
        <w:t>Although we do not use embryonic stem cells, government regulation and threatened regulation of embryonic tissue may lead top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the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70"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We may apply for status under the Orphan Drug Act for some of our therapies to gain a seven-year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are dependent on the services of key personnel.</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need to improve our financial control procedures.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Management’s Annual Report on Internal Controls Over Financial Reporting found deficiencies in the operating effectiveness of its internal controls over financial reporting that collectively constitute significant deficiencies and a material weakness under standards established by the American Institute of Certified Public Accountants, resulting in more than a remote likelihood that a material misstatement of the annual or interim financial statements of the Company will not be prevented or detected. In the opinion of Grant Thornton LLP, the Company’s independent auditors, Management’s assessment that that StemCells Inc. did not maintain effective internal control over financial reporting as of December 31, 2004, is fairly stated, in all material respects. It is also the opinion of Grant Thornton that because of the effect of the material weakness identified by management (i.e., instances where both the preparation and review of general journal entries were performed by the same individual) on the achievement of the objectives of the control criteria, StemCells Inc. has not maintained effective internal control over financial reporting as of December 31, 2004, based on criteria established in Internal Control — Integrated Framework issued by the Committee of Sponsoring Organizations of the Treadway Commission. The Company has already taken remedial steps, and will continue its on-going evaluation of internal controls and attempts to improve its internal controls over financial reporting as necessary to assure their effectiveness, but there can be no assurance that it will succeed or that other deficiencies will not be identified.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380"/>
        <w:spacing w:after="0" w:line="277" w:lineRule="auto"/>
        <w:rPr>
          <w:sz w:val="20"/>
          <w:szCs w:val="20"/>
          <w:color w:val="auto"/>
        </w:rPr>
      </w:pPr>
      <w:r>
        <w:rPr>
          <w:rFonts w:ascii="Arial" w:cs="Arial" w:eastAsia="Arial" w:hAnsi="Arial"/>
          <w:sz w:val="18"/>
          <w:szCs w:val="18"/>
          <w:b w:val="1"/>
          <w:bCs w:val="1"/>
          <w:i w:val="1"/>
          <w:iCs w:val="1"/>
          <w:color w:val="auto"/>
        </w:rPr>
        <w:t>Since health care insurers and other organizations may not pay for our products or may impose limits on reimbursements, our ability to become profitable could be reduced.</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or novel therapies such as ours.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72" w:lineRule="exact"/>
        <w:rPr>
          <w:sz w:val="20"/>
          <w:szCs w:val="20"/>
          <w:color w:val="auto"/>
        </w:rPr>
      </w:pPr>
    </w:p>
    <w:p>
      <w:pPr>
        <w:ind w:left="360" w:right="660"/>
        <w:spacing w:after="0" w:line="277" w:lineRule="auto"/>
        <w:rPr>
          <w:sz w:val="20"/>
          <w:szCs w:val="20"/>
          <w:color w:val="auto"/>
        </w:rPr>
      </w:pPr>
      <w:r>
        <w:rPr>
          <w:rFonts w:ascii="Arial" w:cs="Arial" w:eastAsia="Arial" w:hAnsi="Arial"/>
          <w:sz w:val="18"/>
          <w:szCs w:val="18"/>
          <w:b w:val="1"/>
          <w:bCs w:val="1"/>
          <w:i w:val="1"/>
          <w:iCs w:val="1"/>
          <w:color w:val="auto"/>
        </w:rPr>
        <w:t>We have limited liquidity and capital resources and may not obtain the significant capital resources we will need to sustain our research and development efforts.</w:t>
      </w:r>
    </w:p>
    <w:p>
      <w:pPr>
        <w:spacing w:after="0" w:line="62" w:lineRule="exact"/>
        <w:rPr>
          <w:sz w:val="20"/>
          <w:szCs w:val="20"/>
          <w:color w:val="auto"/>
        </w:rPr>
      </w:pPr>
    </w:p>
    <w:p>
      <w:pPr>
        <w:ind w:right="40" w:firstLine="267"/>
        <w:spacing w:after="0" w:line="253" w:lineRule="auto"/>
        <w:rPr>
          <w:sz w:val="20"/>
          <w:szCs w:val="20"/>
          <w:color w:val="auto"/>
        </w:rPr>
      </w:pPr>
      <w:r>
        <w:rPr>
          <w:rFonts w:ascii="Arial" w:cs="Arial" w:eastAsia="Arial" w:hAnsi="Arial"/>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commercialize them ourselves.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in our research and development efforts.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229" w:lineRule="exact"/>
        <w:rPr>
          <w:sz w:val="20"/>
          <w:szCs w:val="20"/>
          <w:color w:val="auto"/>
        </w:rPr>
      </w:pPr>
    </w:p>
    <w:p>
      <w:pPr>
        <w:ind w:left="360" w:right="140"/>
        <w:spacing w:after="0" w:line="277" w:lineRule="auto"/>
        <w:rPr>
          <w:sz w:val="20"/>
          <w:szCs w:val="20"/>
          <w:color w:val="auto"/>
        </w:rPr>
      </w:pPr>
      <w:r>
        <w:rPr>
          <w:rFonts w:ascii="Arial" w:cs="Arial" w:eastAsia="Arial" w:hAnsi="Arial"/>
          <w:sz w:val="18"/>
          <w:szCs w:val="18"/>
          <w:b w:val="1"/>
          <w:bCs w:val="1"/>
          <w:i w:val="1"/>
          <w:iCs w:val="1"/>
          <w:color w:val="auto"/>
        </w:rPr>
        <w:t>Our stock price has been, and will likely continue to be, highly volatile, which may negatively affect our ability to obtain additional financing in the future.</w:t>
      </w:r>
    </w:p>
    <w:p>
      <w:pPr>
        <w:spacing w:after="0" w:line="62" w:lineRule="exact"/>
        <w:rPr>
          <w:sz w:val="20"/>
          <w:szCs w:val="20"/>
          <w:color w:val="auto"/>
        </w:rPr>
      </w:pPr>
    </w:p>
    <w:p>
      <w:pPr>
        <w:ind w:right="400" w:firstLine="267"/>
        <w:spacing w:after="0" w:line="277" w:lineRule="auto"/>
        <w:rPr>
          <w:sz w:val="20"/>
          <w:szCs w:val="20"/>
          <w:color w:val="auto"/>
        </w:rPr>
      </w:pPr>
      <w:r>
        <w:rPr>
          <w:rFonts w:ascii="Arial" w:cs="Arial" w:eastAsia="Arial" w:hAnsi="Arial"/>
          <w:sz w:val="18"/>
          <w:szCs w:val="18"/>
          <w:color w:val="auto"/>
        </w:rPr>
        <w:t>The market price of our stock has been and is likely to continue to be highly volatile due to the risks and uncertainties described in this section of the prospectus, as well as other factors, including:</w:t>
      </w:r>
    </w:p>
    <w:p>
      <w:pPr>
        <w:spacing w:after="0" w:line="62" w:lineRule="exact"/>
        <w:rPr>
          <w:sz w:val="20"/>
          <w:szCs w:val="20"/>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and test our technology;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patent or obtain licenses to necessary technology;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and publicity regarding the industry in which we operate, as well as the specific areas our product candidates seek to address;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comments by securities analysts, or our failure to meet market expectations.</w:t>
      </w:r>
    </w:p>
    <w:p>
      <w:pPr>
        <w:spacing w:after="0" w:line="117"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Over the two-year period ended December 31, 2004, the closing price of our common stock as reported on the Nasdaq SmallCap Market ranged from a high of $4.48 to a low of $.66. As a result of this volatility, your investment in our stock is subject to substantial risk. Furthermore, the volatility of our stock price could negatively impact our ability to raise capital in the future.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your interest in us.</w:t>
      </w:r>
    </w:p>
    <w:p>
      <w:pPr>
        <w:spacing w:after="0" w:line="117" w:lineRule="exact"/>
        <w:rPr>
          <w:sz w:val="20"/>
          <w:szCs w:val="20"/>
          <w:color w:val="auto"/>
        </w:rPr>
      </w:pPr>
    </w:p>
    <w:p>
      <w:pPr>
        <w:ind w:right="40" w:firstLine="260"/>
        <w:spacing w:after="0" w:line="255" w:lineRule="auto"/>
        <w:rPr>
          <w:sz w:val="20"/>
          <w:szCs w:val="20"/>
          <w:color w:val="auto"/>
        </w:rPr>
      </w:pPr>
      <w:r>
        <w:rPr>
          <w:rFonts w:ascii="Arial" w:cs="Arial" w:eastAsia="Arial" w:hAnsi="Arial"/>
          <w:sz w:val="18"/>
          <w:szCs w:val="18"/>
          <w:color w:val="auto"/>
        </w:rPr>
        <w:t>As of December 31, 2004, there were outstanding and exercisable warrants to purchase 5,490,285 shares of our common stock, at a weighted average exercise price of $2.08 per share. As of December 31, 2004, there were also outstanding and exercisable options to purchase 6,682,201 shares of our common stock, at a weighted average exercise price of $2.67 per share.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further diluting the interest of the purchasers of the securities being sold in this offering.</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Management’s Annual Report on Internal Controls Over Financial Reporting</w:t>
      </w:r>
    </w:p>
    <w:p>
      <w:pPr>
        <w:spacing w:after="0" w:line="117"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color w:val="auto"/>
        </w:rPr>
        <w:t>StemCells, Inc., is responsible for establishing and maintaining adequate internal control over financial reporting. StemCells’ internal control system was designed to provide reasonable assurance to the Company’s management and board of directors regarding the preparation and fair presentation of published financial statements.</w:t>
      </w:r>
    </w:p>
    <w:p>
      <w:pPr>
        <w:spacing w:after="0" w:line="73"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StemCells’ management assessed the effectiveness of the Company’s internal control over financial reporting as of December 31, 2004. In making its assessment of internal control over financial reporting, management used the criteria set forth by the Committee of Sponsoring Organizations of the Treadway Commission (COSO) in Internal Control — Integrated Framework.</w:t>
      </w:r>
    </w:p>
    <w:p>
      <w:pPr>
        <w:spacing w:after="0" w:line="73" w:lineRule="exact"/>
        <w:rPr>
          <w:sz w:val="20"/>
          <w:szCs w:val="20"/>
          <w:color w:val="auto"/>
        </w:rPr>
      </w:pPr>
    </w:p>
    <w:p>
      <w:pPr>
        <w:ind w:right="140" w:firstLine="270"/>
        <w:spacing w:after="0" w:line="273" w:lineRule="auto"/>
        <w:rPr>
          <w:sz w:val="20"/>
          <w:szCs w:val="20"/>
          <w:color w:val="auto"/>
        </w:rPr>
      </w:pPr>
      <w:r>
        <w:rPr>
          <w:rFonts w:ascii="Arial" w:cs="Arial" w:eastAsia="Arial" w:hAnsi="Arial"/>
          <w:sz w:val="17"/>
          <w:szCs w:val="17"/>
          <w:color w:val="auto"/>
        </w:rPr>
        <w:t>Management’s assessment identified the following material weakness in the Company’s internal control over financial reporting: significant deficiencies were identified in the Company’s general ledger process as a result of the fact that some journal entries and reports were both prepared and reviewed by the same individual and not reviewed by another individual; management has determined that these significant deficiencies, in the aggregate, constituted a material weakness in the design and operation of the Company’s internal controls in effect prior to December 31, 2004. Although the Company hired a separate chief financial officer in November 2004, the new controls this addition allowed had not been in operation for a sufficient period of time to enable management to obtain sufficient evidence about their operating effectiveness.</w:t>
      </w:r>
    </w:p>
    <w:p>
      <w:pPr>
        <w:spacing w:after="0" w:line="70"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Because of the material weakness described in the preceding paragraph, management believes that, as of December 31, 2004, the company’s internal control over financial reporting was not effective based on the COSO criteria.</w:t>
      </w:r>
    </w:p>
    <w:p>
      <w:pPr>
        <w:spacing w:after="0" w:line="62"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StemCells’ independent auditors have issued an audit report on our assessment of the Company’s internal control over financial reporting. This report appears below.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03" w:lineRule="exact"/>
        <w:rPr>
          <w:sz w:val="20"/>
          <w:szCs w:val="20"/>
          <w:color w:val="auto"/>
        </w:rPr>
      </w:pPr>
    </w:p>
    <w:p>
      <w:pPr>
        <w:ind w:firstLine="267"/>
        <w:spacing w:after="0" w:line="293" w:lineRule="auto"/>
        <w:rPr>
          <w:sz w:val="20"/>
          <w:szCs w:val="20"/>
          <w:color w:val="auto"/>
        </w:rPr>
      </w:pPr>
      <w:r>
        <w:rPr>
          <w:rFonts w:ascii="Arial" w:cs="Arial" w:eastAsia="Arial" w:hAnsi="Arial"/>
          <w:sz w:val="16"/>
          <w:szCs w:val="16"/>
          <w:color w:val="auto"/>
        </w:rPr>
        <w:t>We have audited management’s assessment, included in the accompanying StemCells Inc. Management’s Report on Internal Control Over Financial Reporting, that StemCells Inc. did not maintain effective internal control over financial reporting as of December 31, 2004, because of the effect of the material weakness identified in management’s assessment, based on criteria established in Internal Control — Integrated Framework issued by the Committee of Sponsoring Organizations of the Treadway Commission (COSO). StemCells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5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0" w:lineRule="exact"/>
        <w:rPr>
          <w:sz w:val="20"/>
          <w:szCs w:val="20"/>
          <w:color w:val="auto"/>
        </w:rPr>
      </w:pPr>
    </w:p>
    <w:p>
      <w:pPr>
        <w:ind w:right="60" w:firstLine="2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60" w:firstLine="260"/>
        <w:spacing w:after="0" w:line="297" w:lineRule="auto"/>
        <w:rPr>
          <w:sz w:val="20"/>
          <w:szCs w:val="20"/>
          <w:color w:val="auto"/>
        </w:rPr>
      </w:pPr>
      <w:r>
        <w:rPr>
          <w:rFonts w:ascii="Arial" w:cs="Arial" w:eastAsia="Arial" w:hAnsi="Arial"/>
          <w:sz w:val="16"/>
          <w:szCs w:val="16"/>
          <w:color w:val="auto"/>
        </w:rPr>
        <w:t>A material weakness is a control deficiency, or combination of control deficiencies, that results in a more than remote likelihood that a material misstatement of the annual or interim financial statements will not be prevented or detected. The following material weakness has been identified and included in management’s assessment. The company identified instances where both the preparation and review of general journal entries were performed by the same individual. This material weakness was considered in determining the nature, timing, and extent of audit tests applied in our audit of the 2004 consolidated financial statements, and this report does not affect our report dated March 4, 2005, on those consolidated financial statements.</w:t>
      </w:r>
    </w:p>
    <w:p>
      <w:pPr>
        <w:spacing w:after="0" w:line="50"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In our opinion, management’s assessment that StemCells Inc. did not maintain effective internal control over financial reporting as of December 31, 2004, is fairly stated, in all material respects, based on criteria established in Internal Control — Integrated Framework issued by the Committee of Sponsoring Organizations of the Treadway Commission. Also in our opinion, because of the effect of the material weakness described above on the achievement of the objectives of the control criteria, StemCells Inc. has not maintained effective internal control over financial reporting as of December 31, 2004, based on criteria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established in Internal Control — Integrated Framework issued by the Committee of Sponsoring Organizations of the Treadway Commission.</w:t>
      </w:r>
    </w:p>
    <w:p>
      <w:pPr>
        <w:spacing w:after="0" w:line="117"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sheets of StemCells Inc. as of December 31, 2004 and 2003, and the related consolidated statements of operations, changes in redeemable preferred stock and stockholders’ equity, and cash flows for each of the two years in the period ended December 31, 2004 and our report dated March 4, 2005 expressed an unqualified opinion on those financial statements.</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RANT</w:t>
      </w:r>
      <w:r>
        <w:rPr>
          <w:rFonts w:ascii="Arial" w:cs="Arial" w:eastAsia="Arial" w:hAnsi="Arial"/>
          <w:sz w:val="18"/>
          <w:szCs w:val="18"/>
          <w:color w:val="auto"/>
        </w:rPr>
        <w:t xml:space="preserve"> T</w:t>
      </w:r>
      <w:r>
        <w:rPr>
          <w:rFonts w:ascii="Arial" w:cs="Arial" w:eastAsia="Arial" w:hAnsi="Arial"/>
          <w:sz w:val="12"/>
          <w:szCs w:val="12"/>
          <w:color w:val="auto"/>
        </w:rPr>
        <w:t>HORNTON</w:t>
      </w:r>
      <w:r>
        <w:rPr>
          <w:rFonts w:ascii="Arial" w:cs="Arial" w:eastAsia="Arial" w:hAnsi="Arial"/>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2005</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has no financial instruments that are sensitive to market risk.</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060" w:type="dxa"/>
            <w:vAlign w:val="bottom"/>
            <w:gridSpan w:val="8"/>
          </w:tcPr>
          <w:p>
            <w:pPr>
              <w:ind w:left="18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rPr>
              <w:t>STEMCELLS, INC.</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rPr>
              <w:t>INDEX TO CONSOLIDATED FINANCIAL STATEMENTS</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5780" w:type="dxa"/>
            <w:vAlign w:val="bottom"/>
            <w:gridSpan w:val="7"/>
            <w:vMerge w:val="restart"/>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Report of Grant Thornton LLP, Independent Registered Public Accounting Firm</w:t>
              </w:r>
            </w:hyperlink>
          </w:p>
        </w:tc>
        <w:tc>
          <w:tcPr>
            <w:tcW w:w="3080" w:type="dxa"/>
            <w:vAlign w:val="bottom"/>
            <w:gridSpan w:val="2"/>
            <w:vMerge w:val="restart"/>
          </w:tcPr>
          <w:p>
            <w:pPr>
              <w:spacing w:after="0"/>
              <w:rPr>
                <w:sz w:val="24"/>
                <w:szCs w:val="24"/>
                <w:color w:val="auto"/>
              </w:rPr>
            </w:pPr>
          </w:p>
        </w:tc>
        <w:tc>
          <w:tcPr>
            <w:tcW w:w="2500" w:type="dxa"/>
            <w:vAlign w:val="bottom"/>
            <w:gridSpan w:val="2"/>
          </w:tcPr>
          <w:p>
            <w:pPr>
              <w:ind w:left="5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5"/>
                <w:szCs w:val="15"/>
                <w:color w:val="auto"/>
              </w:rPr>
            </w:pPr>
          </w:p>
        </w:tc>
        <w:tc>
          <w:tcPr>
            <w:tcW w:w="5780" w:type="dxa"/>
            <w:vAlign w:val="bottom"/>
            <w:tcBorders>
              <w:bottom w:val="single" w:sz="8" w:color="0000EE"/>
            </w:tcBorders>
            <w:gridSpan w:val="7"/>
            <w:vMerge w:val="continue"/>
          </w:tcPr>
          <w:p>
            <w:pPr>
              <w:spacing w:after="0"/>
              <w:rPr>
                <w:sz w:val="15"/>
                <w:szCs w:val="15"/>
                <w:color w:val="auto"/>
              </w:rPr>
            </w:pPr>
          </w:p>
        </w:tc>
        <w:tc>
          <w:tcPr>
            <w:tcW w:w="3080" w:type="dxa"/>
            <w:vAlign w:val="bottom"/>
            <w:gridSpan w:val="2"/>
            <w:vMerge w:val="continue"/>
          </w:tcPr>
          <w:p>
            <w:pPr>
              <w:spacing w:after="0"/>
              <w:rPr>
                <w:sz w:val="15"/>
                <w:szCs w:val="15"/>
                <w:color w:val="auto"/>
              </w:rPr>
            </w:pPr>
          </w:p>
        </w:tc>
        <w:tc>
          <w:tcPr>
            <w:tcW w:w="14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50</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860" w:type="dxa"/>
            <w:vAlign w:val="bottom"/>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Report of Ernst &amp; Young LLP, Independent Registered Public Accounting Firm</w:t>
              </w:r>
            </w:hyperlink>
          </w:p>
        </w:tc>
        <w:tc>
          <w:tcPr>
            <w:tcW w:w="2500" w:type="dxa"/>
            <w:vAlign w:val="bottom"/>
            <w:gridSpan w:val="2"/>
          </w:tcPr>
          <w:p>
            <w:pPr>
              <w:jc w:val="right"/>
              <w:ind w:right="10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Balance Sheets</w:t>
              </w:r>
            </w:hyperlink>
          </w:p>
        </w:tc>
        <w:tc>
          <w:tcPr>
            <w:tcW w:w="3140" w:type="dxa"/>
            <w:vAlign w:val="bottom"/>
            <w:gridSpan w:val="3"/>
          </w:tcPr>
          <w:p>
            <w:pPr>
              <w:spacing w:after="0"/>
              <w:rPr>
                <w:sz w:val="17"/>
                <w:szCs w:val="17"/>
                <w:color w:val="auto"/>
              </w:rPr>
            </w:pPr>
          </w:p>
        </w:tc>
        <w:tc>
          <w:tcPr>
            <w:tcW w:w="2500" w:type="dxa"/>
            <w:vAlign w:val="bottom"/>
            <w:gridSpan w:val="2"/>
          </w:tcPr>
          <w:p>
            <w:pPr>
              <w:jc w:val="right"/>
              <w:ind w:right="10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860" w:type="dxa"/>
            <w:vAlign w:val="bottom"/>
            <w:gridSpan w:val="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Operations</w:t>
              </w:r>
            </w:hyperlink>
          </w:p>
        </w:tc>
        <w:tc>
          <w:tcPr>
            <w:tcW w:w="2500" w:type="dxa"/>
            <w:vAlign w:val="bottom"/>
            <w:gridSpan w:val="2"/>
          </w:tcPr>
          <w:p>
            <w:pPr>
              <w:jc w:val="right"/>
              <w:ind w:right="10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860" w:type="dxa"/>
            <w:vAlign w:val="bottom"/>
            <w:gridSpan w:val="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Redeemable Convertible Preferred Stock and Stockholders’ Equity</w:t>
              </w:r>
            </w:hyperlink>
          </w:p>
        </w:tc>
        <w:tc>
          <w:tcPr>
            <w:tcW w:w="2500" w:type="dxa"/>
            <w:vAlign w:val="bottom"/>
            <w:gridSpan w:val="2"/>
          </w:tcPr>
          <w:p>
            <w:pPr>
              <w:jc w:val="right"/>
              <w:ind w:right="10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w:t>
              </w:r>
            </w:hyperlink>
          </w:p>
        </w:tc>
        <w:tc>
          <w:tcPr>
            <w:tcW w:w="2020" w:type="dxa"/>
            <w:vAlign w:val="bottom"/>
          </w:tcPr>
          <w:p>
            <w:pPr>
              <w:spacing w:after="0"/>
              <w:rPr>
                <w:sz w:val="17"/>
                <w:szCs w:val="17"/>
                <w:color w:val="auto"/>
              </w:rPr>
            </w:pPr>
          </w:p>
        </w:tc>
        <w:tc>
          <w:tcPr>
            <w:tcW w:w="2500" w:type="dxa"/>
            <w:vAlign w:val="bottom"/>
            <w:gridSpan w:val="2"/>
          </w:tcPr>
          <w:p>
            <w:pPr>
              <w:jc w:val="right"/>
              <w:ind w:right="10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860" w:type="dxa"/>
            <w:vAlign w:val="bottom"/>
            <w:gridSpan w:val="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2500" w:type="dxa"/>
            <w:vAlign w:val="bottom"/>
            <w:gridSpan w:val="2"/>
          </w:tcPr>
          <w:p>
            <w:pPr>
              <w:jc w:val="right"/>
              <w:ind w:right="10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340" w:type="dxa"/>
            <w:vAlign w:val="bottom"/>
            <w:tcBorders>
              <w:top w:val="single" w:sz="8" w:color="0000EE"/>
            </w:tcBorders>
            <w:gridSpan w:val="4"/>
          </w:tcPr>
          <w:p>
            <w:pPr>
              <w:spacing w:after="0"/>
              <w:rPr>
                <w:sz w:val="24"/>
                <w:szCs w:val="24"/>
                <w:color w:val="auto"/>
              </w:rPr>
            </w:pPr>
          </w:p>
        </w:tc>
        <w:tc>
          <w:tcPr>
            <w:tcW w:w="2640" w:type="dxa"/>
            <w:vAlign w:val="bottom"/>
            <w:gridSpan w:val="2"/>
          </w:tcPr>
          <w:p>
            <w:pPr>
              <w:jc w:val="center"/>
              <w:ind w:left="2290"/>
              <w:spacing w:after="0"/>
              <w:rPr>
                <w:sz w:val="20"/>
                <w:szCs w:val="20"/>
                <w:color w:val="auto"/>
              </w:rPr>
            </w:pPr>
            <w:r>
              <w:rPr>
                <w:rFonts w:ascii="Arial" w:cs="Arial" w:eastAsia="Arial" w:hAnsi="Arial"/>
                <w:sz w:val="18"/>
                <w:szCs w:val="18"/>
                <w:color w:val="auto"/>
                <w:w w:val="89"/>
              </w:rPr>
              <w:t>49</w:t>
            </w: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03"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We have audited the consolidated balance sheets of StemCells Inc. and subsidiary as of December 31, 2004 and 2003, and the related consolidated statements of operations, changes in redeemable preferred stock and stockholders’ equity, and cash flows for each of the two years in the period ended December 31, 2004. These financial statements are the responsibility of management. Our responsibility is to express an opinion on these financial statements based on our audits.</w:t>
      </w:r>
    </w:p>
    <w:p>
      <w:pPr>
        <w:spacing w:after="0" w:line="79"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jc w:val="both"/>
        <w:ind w:right="80" w:firstLine="27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StemCells Inc. as of December 31, 2004 and 2003, and the consolidated results of their operations and their consolidated cash flows for each of the two years in the period ended December 31, 2004, in conformity with accounting principles generally accepted in the United States of America.</w:t>
      </w:r>
    </w:p>
    <w:p>
      <w:pPr>
        <w:spacing w:after="0" w:line="57" w:lineRule="exact"/>
        <w:rPr>
          <w:sz w:val="20"/>
          <w:szCs w:val="20"/>
          <w:color w:val="auto"/>
        </w:rPr>
      </w:pPr>
    </w:p>
    <w:p>
      <w:pPr>
        <w:ind w:right="160" w:firstLine="267"/>
        <w:spacing w:after="0" w:line="302" w:lineRule="auto"/>
        <w:rPr>
          <w:sz w:val="20"/>
          <w:szCs w:val="20"/>
          <w:color w:val="auto"/>
        </w:rPr>
      </w:pPr>
      <w:r>
        <w:rPr>
          <w:rFonts w:ascii="Arial" w:cs="Arial" w:eastAsia="Arial" w:hAnsi="Arial"/>
          <w:sz w:val="16"/>
          <w:szCs w:val="16"/>
          <w:color w:val="auto"/>
        </w:rPr>
        <w:t>We have also audited, in accordance with standards of the Public Company Accounting Oversight Board (United States), the effectiveness of StemCells Inc.’s internal control over financial reporting as of December 31, 2004, based on criteria established in Internal Control — Integrated Framework issued by the Committee of Sponsoring Organizations of the Treadway Commission, and our report dated March 4, 2005, expressed an unqualified opinion on management’s assessment, and an adverse opinion on the operating effectiveness, of such internal control over financial reporting.</w:t>
      </w:r>
    </w:p>
    <w:p>
      <w:pPr>
        <w:spacing w:after="0" w:line="3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RANT</w:t>
      </w:r>
      <w:r>
        <w:rPr>
          <w:rFonts w:ascii="Arial" w:cs="Arial" w:eastAsia="Arial" w:hAnsi="Arial"/>
          <w:sz w:val="18"/>
          <w:szCs w:val="18"/>
          <w:color w:val="auto"/>
        </w:rPr>
        <w:t xml:space="preserve"> T</w:t>
      </w:r>
      <w:r>
        <w:rPr>
          <w:rFonts w:ascii="Arial" w:cs="Arial" w:eastAsia="Arial" w:hAnsi="Arial"/>
          <w:sz w:val="12"/>
          <w:szCs w:val="12"/>
          <w:color w:val="auto"/>
        </w:rPr>
        <w:t>HORNTON</w:t>
      </w:r>
      <w:r>
        <w:rPr>
          <w:rFonts w:ascii="Arial" w:cs="Arial" w:eastAsia="Arial" w:hAnsi="Arial"/>
          <w:sz w:val="18"/>
          <w:szCs w:val="18"/>
          <w:color w:val="auto"/>
        </w:rPr>
        <w:t xml:space="preserve">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2005</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03" w:lineRule="exact"/>
        <w:rPr>
          <w:sz w:val="20"/>
          <w:szCs w:val="20"/>
          <w:color w:val="auto"/>
        </w:rPr>
      </w:pPr>
    </w:p>
    <w:p>
      <w:pPr>
        <w:ind w:right="140" w:firstLine="267"/>
        <w:spacing w:after="0" w:line="312" w:lineRule="auto"/>
        <w:rPr>
          <w:sz w:val="20"/>
          <w:szCs w:val="20"/>
          <w:color w:val="auto"/>
        </w:rPr>
      </w:pPr>
      <w:r>
        <w:rPr>
          <w:rFonts w:ascii="Arial" w:cs="Arial" w:eastAsia="Arial" w:hAnsi="Arial"/>
          <w:sz w:val="16"/>
          <w:szCs w:val="16"/>
          <w:color w:val="auto"/>
        </w:rPr>
        <w:t>We have audited the consolidated balance sheet (not presented herein) of StemCells, Inc. as of December 31, 2002, and the related consolidated statements of operations, changes in redeemable preferred stock and stockholders’ equity, and cash flows for the year the ended. These financial statements are the responsibility of the Company’s management. Our responsibility is to express an opinion on these financial statements based on our audit.</w:t>
      </w:r>
    </w:p>
    <w:p>
      <w:pPr>
        <w:spacing w:after="0" w:line="39"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 a reasonable basis for our opinion.</w:t>
      </w:r>
    </w:p>
    <w:p>
      <w:pPr>
        <w:spacing w:after="0" w:line="80"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StemCells, Inc. at December 31, 2002, and the consolidated results of its operations and its cash flows for the year then ended, in conformity with U.S. generally accepted accounting principles.</w:t>
      </w:r>
    </w:p>
    <w:p>
      <w:pPr>
        <w:spacing w:after="0" w:line="73" w:lineRule="exact"/>
        <w:rPr>
          <w:sz w:val="20"/>
          <w:szCs w:val="20"/>
          <w:color w:val="auto"/>
        </w:rPr>
      </w:pPr>
    </w:p>
    <w:p>
      <w:pPr>
        <w:ind w:firstLine="267"/>
        <w:spacing w:after="0" w:line="297" w:lineRule="auto"/>
        <w:rPr>
          <w:sz w:val="20"/>
          <w:szCs w:val="20"/>
          <w:color w:val="auto"/>
        </w:rPr>
      </w:pPr>
      <w:r>
        <w:rPr>
          <w:rFonts w:ascii="Arial" w:cs="Arial" w:eastAsia="Arial" w:hAnsi="Arial"/>
          <w:sz w:val="16"/>
          <w:szCs w:val="16"/>
          <w:color w:val="auto"/>
        </w:rPr>
        <w:t>The accompanying financial statements have been prepared assuming that StemCells, Inc. will continue as a going concern. As more fully described in Note 1, the Company has incurred significant operating losses and negative cash flows since inception and expects to continue to incur significant operating losses for the foreseeable future. These conditions raise substantial doubt about the Company’s ability to continue as a going concern. Management’s plans in regard to these matters are also described in Note 1.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37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RNST</w:t>
      </w:r>
      <w:r>
        <w:rPr>
          <w:rFonts w:ascii="Arial" w:cs="Arial" w:eastAsia="Arial" w:hAnsi="Arial"/>
          <w:sz w:val="18"/>
          <w:szCs w:val="18"/>
          <w:color w:val="auto"/>
        </w:rPr>
        <w:t xml:space="preserve"> &amp; Y</w:t>
      </w:r>
      <w:r>
        <w:rPr>
          <w:rFonts w:ascii="Arial" w:cs="Arial" w:eastAsia="Arial" w:hAnsi="Arial"/>
          <w:sz w:val="12"/>
          <w:szCs w:val="12"/>
          <w:color w:val="auto"/>
        </w:rPr>
        <w:t>OUNG</w:t>
      </w:r>
      <w:r>
        <w:rPr>
          <w:rFonts w:ascii="Arial" w:cs="Arial" w:eastAsia="Arial" w:hAnsi="Arial"/>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2003, except for Note 1, as to which the date is March 25, 2004.</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2004</w:t>
            </w:r>
          </w:p>
        </w:tc>
        <w:tc>
          <w:tcPr>
            <w:tcW w:w="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jc w:val="center"/>
              <w:ind w:left="491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41,059,532</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13,081,703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80"/>
              <w:spacing w:after="0"/>
              <w:rPr>
                <w:sz w:val="20"/>
                <w:szCs w:val="20"/>
                <w:color w:val="auto"/>
              </w:rPr>
            </w:pPr>
            <w:r>
              <w:rPr>
                <w:rFonts w:ascii="Arial" w:cs="Arial" w:eastAsia="Arial" w:hAnsi="Arial"/>
                <w:sz w:val="18"/>
                <w:szCs w:val="18"/>
                <w:color w:val="auto"/>
              </w:rPr>
              <w:t>Other receivable</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gridSpan w:val="2"/>
          </w:tcPr>
          <w:p>
            <w:pPr>
              <w:jc w:val="right"/>
              <w:ind w:right="788"/>
              <w:spacing w:after="0"/>
              <w:rPr>
                <w:sz w:val="20"/>
                <w:szCs w:val="20"/>
                <w:color w:val="auto"/>
              </w:rPr>
            </w:pPr>
            <w:r>
              <w:rPr>
                <w:rFonts w:ascii="Arial" w:cs="Arial" w:eastAsia="Arial" w:hAnsi="Arial"/>
                <w:sz w:val="18"/>
                <w:szCs w:val="18"/>
                <w:color w:val="auto"/>
              </w:rPr>
              <w:t>180,963</w:t>
            </w:r>
          </w:p>
        </w:tc>
        <w:tc>
          <w:tcPr>
            <w:tcW w:w="38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color w:val="auto"/>
              </w:rPr>
              <w:t>145,463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209,074</w:t>
            </w:r>
          </w:p>
        </w:tc>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180,048</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41,449,569</w:t>
            </w:r>
          </w:p>
        </w:tc>
        <w:tc>
          <w:tcPr>
            <w:tcW w:w="8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13,407,214</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3,424,294</w:t>
            </w:r>
          </w:p>
        </w:tc>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3,611,402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2,753,419</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color w:val="auto"/>
              </w:rPr>
              <w:t>2,767,798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47,627,282</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19,786,414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80" w:type="dxa"/>
            <w:vAlign w:val="bottom"/>
            <w:gridSpan w:val="5"/>
            <w:shd w:val="clear" w:color="auto" w:fill="CCEEFF"/>
          </w:tcPr>
          <w:p>
            <w:pPr>
              <w:jc w:val="center"/>
              <w:ind w:left="2210"/>
              <w:spacing w:after="0" w:line="198" w:lineRule="exact"/>
              <w:rPr>
                <w:sz w:val="20"/>
                <w:szCs w:val="20"/>
                <w:color w:val="auto"/>
              </w:rPr>
            </w:pPr>
            <w:r>
              <w:rPr>
                <w:rFonts w:ascii="Arial" w:cs="Arial" w:eastAsia="Arial" w:hAnsi="Arial"/>
                <w:sz w:val="18"/>
                <w:szCs w:val="18"/>
                <w:b w:val="1"/>
                <w:bCs w:val="1"/>
                <w:color w:val="auto"/>
              </w:rPr>
              <w:t>LIABILITIES, REDEEMABLE CONVERTIBLE PREFERRED STOCK,</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gridSpan w:val="3"/>
            <w:shd w:val="clear" w:color="auto" w:fill="CCEEFF"/>
          </w:tcPr>
          <w:p>
            <w:pPr>
              <w:jc w:val="center"/>
              <w:ind w:left="4150"/>
              <w:spacing w:after="0"/>
              <w:rPr>
                <w:sz w:val="20"/>
                <w:szCs w:val="20"/>
                <w:color w:val="auto"/>
              </w:rPr>
            </w:pPr>
            <w:r>
              <w:rPr>
                <w:rFonts w:ascii="Arial" w:cs="Arial" w:eastAsia="Arial" w:hAnsi="Arial"/>
                <w:sz w:val="18"/>
                <w:szCs w:val="18"/>
                <w:b w:val="1"/>
                <w:bCs w:val="1"/>
                <w:color w:val="auto"/>
              </w:rPr>
              <w:t>AND STOCKHOLDERS’ EQUITY</w:t>
            </w:r>
          </w:p>
        </w:tc>
        <w:tc>
          <w:tcPr>
            <w:tcW w:w="10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7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524,917</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454,434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80"/>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gridSpan w:val="2"/>
          </w:tcPr>
          <w:p>
            <w:pPr>
              <w:jc w:val="right"/>
              <w:ind w:right="788"/>
              <w:spacing w:after="0"/>
              <w:rPr>
                <w:sz w:val="20"/>
                <w:szCs w:val="20"/>
                <w:color w:val="auto"/>
              </w:rPr>
            </w:pPr>
            <w:r>
              <w:rPr>
                <w:rFonts w:ascii="Arial" w:cs="Arial" w:eastAsia="Arial" w:hAnsi="Arial"/>
                <w:sz w:val="18"/>
                <w:szCs w:val="18"/>
                <w:color w:val="auto"/>
              </w:rPr>
              <w:t>1,547,370</w:t>
            </w:r>
          </w:p>
        </w:tc>
        <w:tc>
          <w:tcPr>
            <w:tcW w:w="38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color w:val="auto"/>
              </w:rPr>
              <w:t>1,041,150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wind-down expenses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1,013,460</w:t>
            </w:r>
          </w:p>
        </w:tc>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80"/>
              <w:spacing w:after="0"/>
              <w:rPr>
                <w:sz w:val="20"/>
                <w:szCs w:val="20"/>
                <w:color w:val="auto"/>
              </w:rPr>
            </w:pPr>
            <w:r>
              <w:rPr>
                <w:rFonts w:ascii="Arial" w:cs="Arial" w:eastAsia="Arial" w:hAnsi="Arial"/>
                <w:sz w:val="18"/>
                <w:szCs w:val="18"/>
                <w:color w:val="auto"/>
              </w:rPr>
              <w:t>Capital lease obligations, current portion</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gridSpan w:val="2"/>
          </w:tcPr>
          <w:p>
            <w:pPr>
              <w:jc w:val="right"/>
              <w:ind w:right="788"/>
              <w:spacing w:after="0"/>
              <w:rPr>
                <w:sz w:val="20"/>
                <w:szCs w:val="20"/>
                <w:color w:val="auto"/>
              </w:rPr>
            </w:pPr>
            <w:r>
              <w:rPr>
                <w:rFonts w:ascii="Arial" w:cs="Arial" w:eastAsia="Arial" w:hAnsi="Arial"/>
                <w:sz w:val="18"/>
                <w:szCs w:val="18"/>
                <w:color w:val="auto"/>
              </w:rPr>
              <w:t>52,843</w:t>
            </w:r>
          </w:p>
        </w:tc>
        <w:tc>
          <w:tcPr>
            <w:tcW w:w="38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Bonds payable, current portion</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244,167</w:t>
            </w:r>
          </w:p>
        </w:tc>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237,084</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3,382,757</w:t>
            </w:r>
          </w:p>
        </w:tc>
        <w:tc>
          <w:tcPr>
            <w:tcW w:w="8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2,521,668</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maturities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41,065</w:t>
            </w:r>
          </w:p>
        </w:tc>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Bonds payable, less current maturities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gridSpan w:val="2"/>
          </w:tcPr>
          <w:p>
            <w:pPr>
              <w:jc w:val="right"/>
              <w:ind w:right="788"/>
              <w:spacing w:after="0"/>
              <w:rPr>
                <w:sz w:val="20"/>
                <w:szCs w:val="20"/>
                <w:color w:val="auto"/>
              </w:rPr>
            </w:pPr>
            <w:r>
              <w:rPr>
                <w:rFonts w:ascii="Arial" w:cs="Arial" w:eastAsia="Arial" w:hAnsi="Arial"/>
                <w:sz w:val="18"/>
                <w:szCs w:val="18"/>
                <w:color w:val="auto"/>
              </w:rPr>
              <w:t>1,605,417</w:t>
            </w:r>
          </w:p>
        </w:tc>
        <w:tc>
          <w:tcPr>
            <w:tcW w:w="38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color w:val="auto"/>
              </w:rPr>
              <w:t>1,849,583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long-term liabilities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610,126</w:t>
            </w:r>
          </w:p>
        </w:tc>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Accrued wind-down expenses non current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gridSpan w:val="2"/>
          </w:tcPr>
          <w:p>
            <w:pPr>
              <w:jc w:val="right"/>
              <w:ind w:right="788"/>
              <w:spacing w:after="0"/>
              <w:rPr>
                <w:sz w:val="20"/>
                <w:szCs w:val="20"/>
                <w:color w:val="auto"/>
              </w:rPr>
            </w:pPr>
            <w:r>
              <w:rPr>
                <w:rFonts w:ascii="Arial" w:cs="Arial" w:eastAsia="Arial" w:hAnsi="Arial"/>
                <w:sz w:val="18"/>
                <w:szCs w:val="18"/>
                <w:color w:val="auto"/>
              </w:rPr>
              <w:t>4,514,569</w:t>
            </w:r>
          </w:p>
        </w:tc>
        <w:tc>
          <w:tcPr>
            <w:tcW w:w="38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color w:val="auto"/>
              </w:rPr>
              <w:t>3,033,984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523,801</w:t>
            </w:r>
          </w:p>
        </w:tc>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896,201</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10,677,735</w:t>
            </w:r>
          </w:p>
        </w:tc>
        <w:tc>
          <w:tcPr>
            <w:tcW w:w="8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8,822,856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Commitments (Note 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Preferred stock $0.01 par value; 1,000,000 shares authorized issuable, none</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outstanding (Note 9)</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9"/>
              </w:rPr>
              <w:t>Common stock, $.01 par value; 125,000,000 and 75,000,000 shares authorized;</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w w:val="90"/>
              </w:rPr>
              <w:t>62,129,407 and 40,998,858 shares issued and outstanding at December 31, 2004 and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2003, respectively</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20" w:type="dxa"/>
            <w:vAlign w:val="bottom"/>
            <w:gridSpan w:val="2"/>
          </w:tcPr>
          <w:p>
            <w:pPr>
              <w:jc w:val="right"/>
              <w:ind w:right="788"/>
              <w:spacing w:after="0"/>
              <w:rPr>
                <w:sz w:val="20"/>
                <w:szCs w:val="20"/>
                <w:color w:val="auto"/>
              </w:rPr>
            </w:pPr>
            <w:r>
              <w:rPr>
                <w:rFonts w:ascii="Arial" w:cs="Arial" w:eastAsia="Arial" w:hAnsi="Arial"/>
                <w:sz w:val="18"/>
                <w:szCs w:val="18"/>
                <w:color w:val="auto"/>
              </w:rPr>
              <w:t>621,293</w:t>
            </w:r>
          </w:p>
        </w:tc>
        <w:tc>
          <w:tcPr>
            <w:tcW w:w="380" w:type="dxa"/>
            <w:vAlign w:val="bottom"/>
          </w:tcPr>
          <w:p>
            <w:pPr>
              <w:spacing w:after="0"/>
              <w:rPr>
                <w:sz w:val="20"/>
                <w:szCs w:val="20"/>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color w:val="auto"/>
              </w:rPr>
              <w:t>409,988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211,419,300</w:t>
            </w:r>
          </w:p>
        </w:tc>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170,406,393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gridSpan w:val="2"/>
          </w:tcPr>
          <w:p>
            <w:pPr>
              <w:jc w:val="right"/>
              <w:ind w:right="728"/>
              <w:spacing w:after="0"/>
              <w:rPr>
                <w:sz w:val="20"/>
                <w:szCs w:val="20"/>
                <w:color w:val="auto"/>
              </w:rPr>
            </w:pPr>
            <w:r>
              <w:rPr>
                <w:rFonts w:ascii="Arial" w:cs="Arial" w:eastAsia="Arial" w:hAnsi="Arial"/>
                <w:sz w:val="18"/>
                <w:szCs w:val="18"/>
                <w:color w:val="auto"/>
                <w:w w:val="98"/>
              </w:rPr>
              <w:t>(174,205,214)</w:t>
            </w:r>
          </w:p>
        </w:tc>
        <w:tc>
          <w:tcPr>
            <w:tcW w:w="380" w:type="dxa"/>
            <w:vAlign w:val="bottom"/>
          </w:tcPr>
          <w:p>
            <w:pPr>
              <w:spacing w:after="0"/>
              <w:rPr>
                <w:sz w:val="18"/>
                <w:szCs w:val="18"/>
                <w:color w:val="auto"/>
              </w:rPr>
            </w:pP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(158,874,915)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(885,832)</w:t>
            </w:r>
          </w:p>
        </w:tc>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(977,908)</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36,949,547</w:t>
            </w:r>
          </w:p>
        </w:tc>
        <w:tc>
          <w:tcPr>
            <w:tcW w:w="8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10,963,558</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liabilities, redeemable convertible preferred stock, and stockholders’ equity</w:t>
            </w:r>
          </w:p>
        </w:tc>
        <w:tc>
          <w:tcPr>
            <w:tcW w:w="7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47,627,282</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19,786,414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collaborative and licensing agreements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22,206</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18,307</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Revenue from grants</w:t>
            </w:r>
          </w:p>
        </w:tc>
        <w:tc>
          <w:tcPr>
            <w:tcW w:w="3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118,828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255,123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375,367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273,430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8,760,431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6,143,676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7,382,272</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3,953,564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3,390,652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3,358,581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Encapsulated Cell Therapy wind-down and corporate relocation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2,826,879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2,885,329</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1,163,804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15,540,874</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12,419,657</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11,904,657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(15,399,840)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(12,146,227)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(11,489,280)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322,227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38,826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(191,006)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(207,112)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(226,723)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disposal of property, plant and equipment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(55,609)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(6,071)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23,761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(34,218)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69,541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(144,525)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(154,975)</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Loss before deemed dividend</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(15,330,299)</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(12,290,752)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(11,644,255)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stockholders</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(68,497)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Deemed dividend to preferred stockholders</w:t>
            </w:r>
          </w:p>
        </w:tc>
        <w:tc>
          <w:tcPr>
            <w:tcW w:w="3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(2,065,911)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(1,280,004)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(15,330,299)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(14,425,160)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(13,275,986)</w:t>
            </w:r>
          </w:p>
        </w:tc>
        <w:tc>
          <w:tcPr>
            <w:tcW w:w="0" w:type="dxa"/>
            <w:vAlign w:val="bottom"/>
          </w:tcPr>
          <w:p>
            <w:pPr>
              <w:spacing w:after="0"/>
              <w:rPr>
                <w:sz w:val="1"/>
                <w:szCs w:val="1"/>
                <w:color w:val="auto"/>
              </w:rPr>
            </w:pPr>
          </w:p>
        </w:tc>
      </w:tr>
      <w:tr>
        <w:trPr>
          <w:trHeight w:val="21"/>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 applicable to common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(0.31)</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(0.45)</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shares used in basic and diluted loss per share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calculations</w:t>
            </w: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49,606,277</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32,080,233</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25,096,252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r>
        <w:rPr>
          <w:rFonts w:ascii="Arial" w:cs="Arial" w:eastAsia="Arial" w:hAnsi="Arial"/>
          <w:sz w:val="18"/>
          <w:szCs w:val="18"/>
          <w:b w:val="1"/>
          <w:bCs w:val="1"/>
          <w:i w:val="1"/>
          <w:iCs w:val="1"/>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EQUITY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920" w:type="dxa"/>
            <w:vAlign w:val="bottom"/>
            <w:gridSpan w:val="4"/>
          </w:tcPr>
          <w:p>
            <w:pPr>
              <w:jc w:val="right"/>
              <w:ind w:right="460"/>
              <w:spacing w:after="0" w:line="135" w:lineRule="exact"/>
              <w:rPr>
                <w:sz w:val="20"/>
                <w:szCs w:val="20"/>
                <w:color w:val="auto"/>
              </w:rPr>
            </w:pPr>
            <w:r>
              <w:rPr>
                <w:rFonts w:ascii="Arial" w:cs="Arial" w:eastAsia="Arial" w:hAnsi="Arial"/>
                <w:sz w:val="13"/>
                <w:szCs w:val="13"/>
                <w:b w:val="1"/>
                <w:bCs w:val="1"/>
                <w:color w:val="auto"/>
                <w:w w:val="94"/>
              </w:rPr>
              <w:t>Redeemable Convertible</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920" w:type="dxa"/>
            <w:vAlign w:val="bottom"/>
            <w:gridSpan w:val="4"/>
          </w:tcPr>
          <w:p>
            <w:pPr>
              <w:jc w:val="right"/>
              <w:ind w:right="700"/>
              <w:spacing w:after="0" w:line="135" w:lineRule="exact"/>
              <w:rPr>
                <w:sz w:val="20"/>
                <w:szCs w:val="20"/>
                <w:color w:val="auto"/>
              </w:rPr>
            </w:pPr>
            <w:r>
              <w:rPr>
                <w:rFonts w:ascii="Arial" w:cs="Arial" w:eastAsia="Arial" w:hAnsi="Arial"/>
                <w:sz w:val="13"/>
                <w:szCs w:val="13"/>
                <w:b w:val="1"/>
                <w:bCs w:val="1"/>
                <w:color w:val="auto"/>
              </w:rPr>
              <w:t>Preferred Stock</w:t>
            </w:r>
          </w:p>
        </w:tc>
        <w:tc>
          <w:tcPr>
            <w:tcW w:w="1860" w:type="dxa"/>
            <w:vAlign w:val="bottom"/>
            <w:gridSpan w:val="4"/>
          </w:tcPr>
          <w:p>
            <w:pPr>
              <w:jc w:val="right"/>
              <w:ind w:right="580"/>
              <w:spacing w:after="0" w:line="135"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17"/>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580"/>
              <w:spacing w:after="0" w:line="117"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100" w:type="dxa"/>
            <w:vAlign w:val="bottom"/>
            <w:gridSpan w:val="2"/>
          </w:tcPr>
          <w:p>
            <w:pPr>
              <w:jc w:val="right"/>
              <w:ind w:right="340"/>
              <w:spacing w:after="0" w:line="117" w:lineRule="exact"/>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62"/>
              <w:spacing w:after="0" w:line="117" w:lineRule="exact"/>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520"/>
              <w:spacing w:after="0" w:line="117" w:lineRule="exact"/>
              <w:rPr>
                <w:sz w:val="20"/>
                <w:szCs w:val="20"/>
                <w:color w:val="auto"/>
              </w:rPr>
            </w:pPr>
            <w:r>
              <w:rPr>
                <w:rFonts w:ascii="Arial" w:cs="Arial" w:eastAsia="Arial" w:hAnsi="Arial"/>
                <w:sz w:val="13"/>
                <w:szCs w:val="13"/>
                <w:b w:val="1"/>
                <w:bCs w:val="1"/>
                <w:color w:val="auto"/>
                <w:w w:val="97"/>
              </w:rPr>
              <w:t>Deferred</w:t>
            </w:r>
          </w:p>
        </w:tc>
        <w:tc>
          <w:tcPr>
            <w:tcW w:w="100" w:type="dxa"/>
            <w:vAlign w:val="bottom"/>
          </w:tcPr>
          <w:p>
            <w:pPr>
              <w:spacing w:after="0"/>
              <w:rPr>
                <w:sz w:val="10"/>
                <w:szCs w:val="10"/>
                <w:color w:val="auto"/>
              </w:rPr>
            </w:pPr>
          </w:p>
        </w:tc>
        <w:tc>
          <w:tcPr>
            <w:tcW w:w="1060" w:type="dxa"/>
            <w:vAlign w:val="bottom"/>
            <w:gridSpan w:val="2"/>
          </w:tcPr>
          <w:p>
            <w:pPr>
              <w:jc w:val="center"/>
              <w:ind w:right="280"/>
              <w:spacing w:after="0" w:line="117" w:lineRule="exact"/>
              <w:rPr>
                <w:sz w:val="20"/>
                <w:szCs w:val="20"/>
                <w:color w:val="auto"/>
              </w:rPr>
            </w:pPr>
            <w:r>
              <w:rPr>
                <w:rFonts w:ascii="Arial" w:cs="Arial" w:eastAsia="Arial" w:hAnsi="Arial"/>
                <w:sz w:val="13"/>
                <w:szCs w:val="13"/>
                <w:b w:val="1"/>
                <w:bCs w:val="1"/>
                <w:color w:val="auto"/>
                <w:w w:val="86"/>
              </w:rPr>
              <w:t>Stockholders’</w:t>
            </w:r>
          </w:p>
        </w:tc>
      </w:tr>
      <w:tr>
        <w:trPr>
          <w:trHeight w:val="160"/>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6"/>
              </w:rPr>
              <w:t>Shares</w:t>
            </w:r>
          </w:p>
        </w:tc>
        <w:tc>
          <w:tcPr>
            <w:tcW w:w="12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Amount</w:t>
            </w:r>
          </w:p>
        </w:tc>
        <w:tc>
          <w:tcPr>
            <w:tcW w:w="10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Shares</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Pr>
          <w:p>
            <w:pPr>
              <w:spacing w:after="0"/>
              <w:rPr>
                <w:sz w:val="13"/>
                <w:szCs w:val="13"/>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62"/>
              <w:spacing w:after="0"/>
              <w:rPr>
                <w:sz w:val="20"/>
                <w:szCs w:val="20"/>
                <w:color w:val="auto"/>
              </w:rPr>
            </w:pPr>
            <w:r>
              <w:rPr>
                <w:rFonts w:ascii="Arial" w:cs="Arial" w:eastAsia="Arial" w:hAnsi="Arial"/>
                <w:sz w:val="13"/>
                <w:szCs w:val="13"/>
                <w:b w:val="1"/>
                <w:bCs w:val="1"/>
                <w:color w:val="auto"/>
                <w:w w:val="81"/>
              </w:rPr>
              <w:t>(Loss)</w:t>
            </w:r>
          </w:p>
        </w:tc>
        <w:tc>
          <w:tcPr>
            <w:tcW w:w="160" w:type="dxa"/>
            <w:vAlign w:val="bottom"/>
          </w:tcPr>
          <w:p>
            <w:pPr>
              <w:spacing w:after="0"/>
              <w:rPr>
                <w:sz w:val="13"/>
                <w:szCs w:val="13"/>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88"/>
              </w:rPr>
              <w:t>Compensation</w:t>
            </w: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r>
      <w:tr>
        <w:trPr>
          <w:trHeight w:val="193"/>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Balances,</w:t>
            </w: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31,</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2001</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5,500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2,662,932</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24,220,021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$ 242,200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149,180,388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(134,519,684)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5"/>
              </w:rPr>
              <w:t>(2,270,097)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12,632,807</w:t>
            </w:r>
          </w:p>
        </w:tc>
        <w:tc>
          <w:tcPr>
            <w:tcW w:w="16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Issuance of</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common stock</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related to equity</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financing net of</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issuance cost</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460" w:type="dxa"/>
            <w:vAlign w:val="bottom"/>
            <w:gridSpan w:val="2"/>
          </w:tcPr>
          <w:p>
            <w:pPr>
              <w:ind w:left="140"/>
              <w:spacing w:after="0"/>
              <w:rPr>
                <w:sz w:val="20"/>
                <w:szCs w:val="20"/>
                <w:color w:val="auto"/>
              </w:rPr>
            </w:pPr>
            <w:r>
              <w:rPr>
                <w:rFonts w:ascii="Arial" w:cs="Arial" w:eastAsia="Arial" w:hAnsi="Arial"/>
                <w:sz w:val="16"/>
                <w:szCs w:val="16"/>
                <w:color w:val="auto"/>
              </w:rPr>
              <w:t>$89,706</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1,135,850</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11,359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1,117,285</w:t>
            </w: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1,128,644</w:t>
            </w: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Dividends paid to</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3% convertible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holders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 stock</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97,969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128,290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(129,270)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Conversion of</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redeemable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convertible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preferred shares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to common stock</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(1,500)</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(1,283,250)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1,252,244</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12,522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1,493,185</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(222,457)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1,283,250</w:t>
            </w: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Accretion of</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redeemable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stock</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1,280,004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(1,280,004)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(1,280,004)</w:t>
            </w:r>
          </w:p>
        </w:tc>
      </w:tr>
      <w:tr>
        <w:trPr>
          <w:trHeight w:val="193"/>
        </w:trPr>
        <w:tc>
          <w:tcPr>
            <w:tcW w:w="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Common stock</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issued for</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external services</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61,419</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90,913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91,527</w:t>
            </w: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Common stock</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issued pursuant to</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employee benefit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plan</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44,988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56,015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56,465</w:t>
            </w:r>
          </w:p>
        </w:tc>
        <w:tc>
          <w:tcPr>
            <w:tcW w:w="16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employee and</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consultant stock</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options</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47,587</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8,859</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9,335</w:t>
            </w: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Compensation</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expense from</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 of options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124,689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124,689</w:t>
            </w:r>
          </w:p>
        </w:tc>
        <w:tc>
          <w:tcPr>
            <w:tcW w:w="16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Deferred</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(1,681,413)</w:t>
            </w: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1,681,413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(469,089)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(469,089)</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Net loss</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(11,644,255)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(11,644,255)</w:t>
            </w:r>
          </w:p>
        </w:tc>
      </w:tr>
      <w:tr>
        <w:trPr>
          <w:trHeight w:val="193"/>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Balances,</w:t>
            </w: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31,</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2002</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4,000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2,659,686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26,860,078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268,601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149,238,207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(146,515,666)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5"/>
              </w:rPr>
              <w:t>(1,057,773)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1,933,369</w:t>
            </w:r>
          </w:p>
        </w:tc>
        <w:tc>
          <w:tcPr>
            <w:tcW w:w="1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EQUITY —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340" w:type="dxa"/>
            <w:vAlign w:val="bottom"/>
            <w:gridSpan w:val="6"/>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Redeemable Convertible</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tcPr>
          <w:p>
            <w:pPr>
              <w:jc w:val="center"/>
              <w:ind w:right="820"/>
              <w:spacing w:after="0" w:line="135" w:lineRule="exact"/>
              <w:rPr>
                <w:sz w:val="20"/>
                <w:szCs w:val="20"/>
                <w:color w:val="auto"/>
              </w:rPr>
            </w:pPr>
            <w:r>
              <w:rPr>
                <w:rFonts w:ascii="Arial" w:cs="Arial" w:eastAsia="Arial" w:hAnsi="Arial"/>
                <w:sz w:val="13"/>
                <w:szCs w:val="13"/>
                <w:b w:val="1"/>
                <w:bCs w:val="1"/>
                <w:color w:val="auto"/>
                <w:w w:val="88"/>
              </w:rPr>
              <w:t>Preferred Stock</w:t>
            </w:r>
          </w:p>
        </w:tc>
        <w:tc>
          <w:tcPr>
            <w:tcW w:w="1800" w:type="dxa"/>
            <w:vAlign w:val="bottom"/>
            <w:gridSpan w:val="4"/>
          </w:tcPr>
          <w:p>
            <w:pPr>
              <w:ind w:left="440"/>
              <w:spacing w:after="0" w:line="135" w:lineRule="exact"/>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17"/>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380"/>
              <w:spacing w:after="0" w:line="117"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20"/>
              <w:spacing w:after="0" w:line="117"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62"/>
              <w:spacing w:after="0" w:line="117" w:lineRule="exact"/>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460"/>
              <w:spacing w:after="0" w:line="117" w:lineRule="exact"/>
              <w:rPr>
                <w:sz w:val="20"/>
                <w:szCs w:val="20"/>
                <w:color w:val="auto"/>
              </w:rPr>
            </w:pPr>
            <w:r>
              <w:rPr>
                <w:rFonts w:ascii="Arial" w:cs="Arial" w:eastAsia="Arial" w:hAnsi="Arial"/>
                <w:sz w:val="13"/>
                <w:szCs w:val="13"/>
                <w:b w:val="1"/>
                <w:bCs w:val="1"/>
                <w:color w:val="auto"/>
              </w:rPr>
              <w:t>Deferred</w:t>
            </w:r>
          </w:p>
        </w:tc>
        <w:tc>
          <w:tcPr>
            <w:tcW w:w="100" w:type="dxa"/>
            <w:vAlign w:val="bottom"/>
          </w:tcPr>
          <w:p>
            <w:pPr>
              <w:spacing w:after="0"/>
              <w:rPr>
                <w:sz w:val="10"/>
                <w:szCs w:val="10"/>
                <w:color w:val="auto"/>
              </w:rPr>
            </w:pPr>
          </w:p>
        </w:tc>
        <w:tc>
          <w:tcPr>
            <w:tcW w:w="1000" w:type="dxa"/>
            <w:vAlign w:val="bottom"/>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w w:val="86"/>
              </w:rPr>
              <w:t>Stockholders’</w:t>
            </w:r>
          </w:p>
        </w:tc>
      </w:tr>
      <w:tr>
        <w:trPr>
          <w:trHeight w:val="160"/>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2"/>
              </w:rPr>
              <w:t>Shares</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ind w:right="161"/>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Paid-In 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62"/>
              <w:spacing w:after="0"/>
              <w:rPr>
                <w:sz w:val="20"/>
                <w:szCs w:val="20"/>
                <w:color w:val="auto"/>
              </w:rPr>
            </w:pPr>
            <w:r>
              <w:rPr>
                <w:rFonts w:ascii="Arial" w:cs="Arial" w:eastAsia="Arial" w:hAnsi="Arial"/>
                <w:sz w:val="13"/>
                <w:szCs w:val="13"/>
                <w:b w:val="1"/>
                <w:bCs w:val="1"/>
                <w:color w:val="auto"/>
                <w:w w:val="81"/>
              </w:rPr>
              <w:t>(Loss)</w:t>
            </w:r>
          </w:p>
        </w:tc>
        <w:tc>
          <w:tcPr>
            <w:tcW w:w="140" w:type="dxa"/>
            <w:vAlign w:val="bottom"/>
          </w:tcPr>
          <w:p>
            <w:pPr>
              <w:spacing w:after="0"/>
              <w:rPr>
                <w:sz w:val="13"/>
                <w:szCs w:val="13"/>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88"/>
              </w:rPr>
              <w:t>Compensation</w:t>
            </w: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r>
      <w:tr>
        <w:trPr>
          <w:trHeight w:val="193"/>
        </w:trPr>
        <w:tc>
          <w:tcPr>
            <w:tcW w:w="20" w:type="dxa"/>
            <w:vAlign w:val="bottom"/>
          </w:tcPr>
          <w:p>
            <w:pPr>
              <w:spacing w:after="0"/>
              <w:rPr>
                <w:sz w:val="16"/>
                <w:szCs w:val="16"/>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Balances,</w:t>
            </w: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31,</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2002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4,000</w:t>
            </w:r>
          </w:p>
        </w:tc>
        <w:tc>
          <w:tcPr>
            <w:tcW w:w="640" w:type="dxa"/>
            <w:vAlign w:val="bottom"/>
            <w:gridSpan w:val="2"/>
            <w:shd w:val="clear" w:color="auto" w:fill="CCEEFF"/>
          </w:tcPr>
          <w:p>
            <w:pPr>
              <w:jc w:val="center"/>
              <w:ind w:left="248"/>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2,659,686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26,860,078</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$ 268,601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149,238,207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(146,515,666)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5"/>
              </w:rPr>
              <w:t>(1,057,773)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1,933,369</w:t>
            </w:r>
          </w:p>
        </w:tc>
      </w:tr>
      <w:tr>
        <w:trPr>
          <w:trHeight w:val="193"/>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Issuance of</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common stock</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related to equity</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financing net of</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issuance cost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1400" w:type="dxa"/>
            <w:vAlign w:val="bottom"/>
            <w:gridSpan w:val="2"/>
          </w:tcPr>
          <w:p>
            <w:pPr>
              <w:ind w:left="140"/>
              <w:spacing w:after="0"/>
              <w:rPr>
                <w:sz w:val="20"/>
                <w:szCs w:val="20"/>
                <w:color w:val="auto"/>
              </w:rPr>
            </w:pPr>
            <w:r>
              <w:rPr>
                <w:rFonts w:ascii="Arial" w:cs="Arial" w:eastAsia="Arial" w:hAnsi="Arial"/>
                <w:sz w:val="16"/>
                <w:szCs w:val="16"/>
                <w:color w:val="auto"/>
              </w:rPr>
              <w:t>$310,403</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9,303,988</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93,040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16,037,307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16,130,347</w:t>
            </w:r>
          </w:p>
        </w:tc>
      </w:tr>
      <w:tr>
        <w:trPr>
          <w:trHeight w:val="199"/>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Dividends paid to</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3% convertible</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holders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 stock</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(68,497)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Accretion of</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redeemable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convertible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preferred stock</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and beneficial</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conversion</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feature</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2,065,911</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(2,065,911)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(2,065,911)</w:t>
            </w:r>
          </w:p>
        </w:tc>
      </w:tr>
      <w:tr>
        <w:trPr>
          <w:trHeight w:val="199"/>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Conversion of</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redeemable</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convertible</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shares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 common stock</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(4000)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(4,725,597)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4,690,597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4,725,597</w:t>
            </w:r>
          </w:p>
        </w:tc>
      </w:tr>
      <w:tr>
        <w:trPr>
          <w:trHeight w:val="193"/>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Common stock</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issued for</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external services</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98,180</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982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296,821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297,803</w:t>
            </w:r>
          </w:p>
        </w:tc>
      </w:tr>
      <w:tr>
        <w:trPr>
          <w:trHeight w:val="199"/>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Common stock</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issued pursuant</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 employee</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benefit plan</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49,425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62,263</w:t>
            </w:r>
          </w:p>
        </w:tc>
      </w:tr>
      <w:tr>
        <w:trPr>
          <w:trHeight w:val="193"/>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warrants</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1,098,000</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10,980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1,636,020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1,647,000</w:t>
            </w:r>
          </w:p>
        </w:tc>
      </w:tr>
      <w:tr>
        <w:trPr>
          <w:trHeight w:val="199"/>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Exercise of</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employee and</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consultant stock</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options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39,378</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30,086</w:t>
            </w:r>
          </w:p>
        </w:tc>
      </w:tr>
      <w:tr>
        <w:trPr>
          <w:trHeight w:val="193"/>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Compensation</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expense from</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grant of options</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242,548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242,548</w:t>
            </w:r>
          </w:p>
        </w:tc>
      </w:tr>
      <w:tr>
        <w:trPr>
          <w:trHeight w:val="199"/>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Deferred</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(171,343)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deferred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251,208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251,208</w:t>
            </w:r>
          </w:p>
        </w:tc>
      </w:tr>
      <w:tr>
        <w:trPr>
          <w:trHeight w:val="209"/>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(12,290,752)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(12,290,752)</w:t>
            </w:r>
          </w:p>
        </w:tc>
      </w:tr>
      <w:tr>
        <w:trPr>
          <w:trHeight w:val="193"/>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Arial" w:cs="Arial" w:eastAsia="Arial" w:hAnsi="Arial"/>
                <w:sz w:val="16"/>
                <w:szCs w:val="16"/>
                <w:color w:val="auto"/>
              </w:rPr>
              <w:t>Balances,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December 31,</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1400" w:type="dxa"/>
            <w:vAlign w:val="bottom"/>
            <w:gridSpan w:val="2"/>
          </w:tcPr>
          <w:p>
            <w:pPr>
              <w:ind w:left="140"/>
              <w:spacing w:after="0"/>
              <w:rPr>
                <w:sz w:val="20"/>
                <w:szCs w:val="20"/>
                <w:color w:val="auto"/>
              </w:rPr>
            </w:pPr>
            <w:r>
              <w:rPr>
                <w:rFonts w:ascii="Arial" w:cs="Arial" w:eastAsia="Arial" w:hAnsi="Arial"/>
                <w:sz w:val="16"/>
                <w:szCs w:val="16"/>
                <w:color w:val="auto"/>
              </w:rPr>
              <w:t>2003</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40,998,858</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$ 409,988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170,406,393</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(158,874,915)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(977,908)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10,963,558</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EQUITY —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88"/>
              </w:rPr>
              <w:t>Redeemable Convertible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63"/>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gridSpan w:val="3"/>
          </w:tcPr>
          <w:p>
            <w:pPr>
              <w:ind w:left="260"/>
              <w:spacing w:after="0" w:line="135" w:lineRule="exact"/>
              <w:rPr>
                <w:sz w:val="20"/>
                <w:szCs w:val="20"/>
                <w:color w:val="auto"/>
              </w:rPr>
            </w:pPr>
            <w:r>
              <w:rPr>
                <w:rFonts w:ascii="Arial" w:cs="Arial" w:eastAsia="Arial" w:hAnsi="Arial"/>
                <w:sz w:val="13"/>
                <w:szCs w:val="13"/>
                <w:b w:val="1"/>
                <w:bCs w:val="1"/>
                <w:color w:val="auto"/>
              </w:rPr>
              <w:t>Preferred Stock</w:t>
            </w:r>
          </w:p>
        </w:tc>
        <w:tc>
          <w:tcPr>
            <w:tcW w:w="240" w:type="dxa"/>
            <w:vAlign w:val="bottom"/>
          </w:tcPr>
          <w:p>
            <w:pPr>
              <w:spacing w:after="0"/>
              <w:rPr>
                <w:sz w:val="12"/>
                <w:szCs w:val="12"/>
                <w:color w:val="auto"/>
              </w:rPr>
            </w:pPr>
          </w:p>
        </w:tc>
        <w:tc>
          <w:tcPr>
            <w:tcW w:w="1980" w:type="dxa"/>
            <w:vAlign w:val="bottom"/>
            <w:gridSpan w:val="4"/>
          </w:tcPr>
          <w:p>
            <w:pPr>
              <w:jc w:val="right"/>
              <w:ind w:right="680"/>
              <w:spacing w:after="0" w:line="135" w:lineRule="exact"/>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17"/>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400"/>
              <w:spacing w:after="0" w:line="117"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480"/>
              <w:spacing w:after="0" w:line="117" w:lineRule="exact"/>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0"/>
                <w:szCs w:val="10"/>
                <w:color w:val="auto"/>
              </w:rPr>
            </w:pPr>
          </w:p>
        </w:tc>
        <w:tc>
          <w:tcPr>
            <w:tcW w:w="700" w:type="dxa"/>
            <w:vAlign w:val="bottom"/>
          </w:tcPr>
          <w:p>
            <w:pPr>
              <w:jc w:val="center"/>
              <w:ind w:right="63"/>
              <w:spacing w:after="0" w:line="117" w:lineRule="exact"/>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540"/>
              <w:spacing w:after="0" w:line="117" w:lineRule="exact"/>
              <w:rPr>
                <w:sz w:val="20"/>
                <w:szCs w:val="20"/>
                <w:color w:val="auto"/>
              </w:rPr>
            </w:pPr>
            <w:r>
              <w:rPr>
                <w:rFonts w:ascii="Arial" w:cs="Arial" w:eastAsia="Arial" w:hAnsi="Arial"/>
                <w:sz w:val="13"/>
                <w:szCs w:val="13"/>
                <w:b w:val="1"/>
                <w:bCs w:val="1"/>
                <w:color w:val="auto"/>
              </w:rPr>
              <w:t>Deferred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17" w:lineRule="exact"/>
              <w:rPr>
                <w:sz w:val="20"/>
                <w:szCs w:val="20"/>
                <w:color w:val="auto"/>
              </w:rPr>
            </w:pPr>
            <w:r>
              <w:rPr>
                <w:rFonts w:ascii="Arial" w:cs="Arial" w:eastAsia="Arial" w:hAnsi="Arial"/>
                <w:sz w:val="13"/>
                <w:szCs w:val="13"/>
                <w:b w:val="1"/>
                <w:bCs w:val="1"/>
                <w:color w:val="auto"/>
                <w:w w:val="86"/>
              </w:rPr>
              <w:t>Stockholders’</w:t>
            </w:r>
          </w:p>
        </w:tc>
      </w:tr>
      <w:tr>
        <w:trPr>
          <w:trHeight w:val="160"/>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Shares</w:t>
            </w: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Paid-In Capital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700" w:type="dxa"/>
            <w:vAlign w:val="bottom"/>
          </w:tcPr>
          <w:p>
            <w:pPr>
              <w:jc w:val="center"/>
              <w:ind w:right="83"/>
              <w:spacing w:after="0"/>
              <w:rPr>
                <w:sz w:val="20"/>
                <w:szCs w:val="20"/>
                <w:color w:val="auto"/>
              </w:rPr>
            </w:pPr>
            <w:r>
              <w:rPr>
                <w:rFonts w:ascii="Arial" w:cs="Arial" w:eastAsia="Arial" w:hAnsi="Arial"/>
                <w:sz w:val="13"/>
                <w:szCs w:val="13"/>
                <w:b w:val="1"/>
                <w:bCs w:val="1"/>
                <w:color w:val="auto"/>
                <w:w w:val="87"/>
              </w:rPr>
              <w:t>(Loss)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88"/>
              </w:rPr>
              <w:t>Compensation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Equity</w:t>
            </w:r>
          </w:p>
        </w:tc>
      </w:tr>
      <w:tr>
        <w:trPr>
          <w:trHeight w:val="193"/>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Balances,</w:t>
            </w:r>
          </w:p>
        </w:tc>
        <w:tc>
          <w:tcPr>
            <w:tcW w:w="4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31,</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2003</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40,998,858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$ 409,988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170,406,393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6"/>
              </w:rPr>
              <w:t>(158,874,915)</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(977,908)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10,963,558</w:t>
            </w:r>
          </w:p>
        </w:tc>
      </w:tr>
      <w:tr>
        <w:trPr>
          <w:trHeight w:val="193"/>
        </w:trPr>
        <w:tc>
          <w:tcPr>
            <w:tcW w:w="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Issuance of</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common stock</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related to equity</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financing net of</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issuance cost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1460" w:type="dxa"/>
            <w:vAlign w:val="bottom"/>
            <w:gridSpan w:val="2"/>
          </w:tcPr>
          <w:p>
            <w:pPr>
              <w:ind w:left="140"/>
              <w:spacing w:after="0"/>
              <w:rPr>
                <w:sz w:val="20"/>
                <w:szCs w:val="20"/>
                <w:color w:val="auto"/>
              </w:rPr>
            </w:pPr>
            <w:r>
              <w:rPr>
                <w:rFonts w:ascii="Arial" w:cs="Arial" w:eastAsia="Arial" w:hAnsi="Arial"/>
                <w:sz w:val="16"/>
                <w:szCs w:val="16"/>
                <w:color w:val="auto"/>
              </w:rPr>
              <w:t>$2,863,021</w:t>
            </w:r>
          </w:p>
        </w:tc>
        <w:tc>
          <w:tcPr>
            <w:tcW w:w="8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ind w:left="360"/>
              <w:spacing w:after="0"/>
              <w:rPr>
                <w:sz w:val="20"/>
                <w:szCs w:val="20"/>
                <w:color w:val="auto"/>
              </w:rPr>
            </w:pPr>
            <w:r>
              <w:rPr>
                <w:rFonts w:ascii="Arial" w:cs="Arial" w:eastAsia="Arial" w:hAnsi="Arial"/>
                <w:sz w:val="16"/>
                <w:szCs w:val="16"/>
                <w:color w:val="auto"/>
                <w:w w:val="99"/>
              </w:rPr>
              <w:t>—</w:t>
            </w:r>
          </w:p>
        </w:tc>
        <w:tc>
          <w:tcPr>
            <w:tcW w:w="1340" w:type="dxa"/>
            <w:vAlign w:val="bottom"/>
            <w:gridSpan w:val="3"/>
          </w:tcPr>
          <w:p>
            <w:pPr>
              <w:jc w:val="right"/>
              <w:ind w:right="260"/>
              <w:spacing w:after="0"/>
              <w:rPr>
                <w:sz w:val="20"/>
                <w:szCs w:val="20"/>
                <w:color w:val="auto"/>
              </w:rPr>
            </w:pPr>
            <w:r>
              <w:rPr>
                <w:rFonts w:ascii="Arial" w:cs="Arial" w:eastAsia="Arial" w:hAnsi="Arial"/>
                <w:sz w:val="16"/>
                <w:szCs w:val="16"/>
                <w:color w:val="auto"/>
              </w:rPr>
              <w:t>20,660,000</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206,600</w:t>
            </w: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39,433,578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39,640,178</w:t>
            </w: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Common stock</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issued for</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licensing</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agreements</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11,351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17,719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17,833</w:t>
            </w:r>
          </w:p>
        </w:tc>
      </w:tr>
      <w:tr>
        <w:trPr>
          <w:trHeight w:val="193"/>
        </w:trPr>
        <w:tc>
          <w:tcPr>
            <w:tcW w:w="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Common stock</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issued for</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external services</w:t>
            </w:r>
          </w:p>
        </w:tc>
        <w:tc>
          <w:tcPr>
            <w:tcW w:w="8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ind w:left="360"/>
              <w:spacing w:after="0"/>
              <w:rPr>
                <w:sz w:val="20"/>
                <w:szCs w:val="20"/>
                <w:color w:val="auto"/>
              </w:rPr>
            </w:pPr>
            <w:r>
              <w:rPr>
                <w:rFonts w:ascii="Arial" w:cs="Arial" w:eastAsia="Arial" w:hAnsi="Arial"/>
                <w:sz w:val="16"/>
                <w:szCs w:val="16"/>
                <w:color w:val="auto"/>
                <w:w w:val="99"/>
              </w:rPr>
              <w:t>—</w:t>
            </w:r>
          </w:p>
        </w:tc>
        <w:tc>
          <w:tcPr>
            <w:tcW w:w="1340" w:type="dxa"/>
            <w:vAlign w:val="bottom"/>
            <w:gridSpan w:val="3"/>
          </w:tcPr>
          <w:p>
            <w:pPr>
              <w:jc w:val="right"/>
              <w:ind w:right="260"/>
              <w:spacing w:after="0"/>
              <w:rPr>
                <w:sz w:val="20"/>
                <w:szCs w:val="20"/>
                <w:color w:val="auto"/>
              </w:rPr>
            </w:pPr>
            <w:r>
              <w:rPr>
                <w:rFonts w:ascii="Arial" w:cs="Arial" w:eastAsia="Arial" w:hAnsi="Arial"/>
                <w:sz w:val="16"/>
                <w:szCs w:val="16"/>
                <w:color w:val="auto"/>
              </w:rPr>
              <w:t>41,050</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410</w:t>
            </w: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72,640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73,050</w:t>
            </w: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Common stock</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issued pursuant to</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employee benefit</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plan</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48,707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93,526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94,013</w:t>
            </w:r>
          </w:p>
        </w:tc>
      </w:tr>
      <w:tr>
        <w:trPr>
          <w:trHeight w:val="193"/>
        </w:trPr>
        <w:tc>
          <w:tcPr>
            <w:tcW w:w="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Exercise of</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employee and</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consultant stock</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options</w:t>
            </w:r>
          </w:p>
        </w:tc>
        <w:tc>
          <w:tcPr>
            <w:tcW w:w="8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ind w:left="360"/>
              <w:spacing w:after="0"/>
              <w:rPr>
                <w:sz w:val="20"/>
                <w:szCs w:val="20"/>
                <w:color w:val="auto"/>
              </w:rPr>
            </w:pPr>
            <w:r>
              <w:rPr>
                <w:rFonts w:ascii="Arial" w:cs="Arial" w:eastAsia="Arial" w:hAnsi="Arial"/>
                <w:sz w:val="16"/>
                <w:szCs w:val="16"/>
                <w:color w:val="auto"/>
                <w:w w:val="99"/>
              </w:rPr>
              <w:t>—</w:t>
            </w:r>
          </w:p>
        </w:tc>
        <w:tc>
          <w:tcPr>
            <w:tcW w:w="1340" w:type="dxa"/>
            <w:vAlign w:val="bottom"/>
            <w:gridSpan w:val="3"/>
          </w:tcPr>
          <w:p>
            <w:pPr>
              <w:jc w:val="right"/>
              <w:ind w:right="260"/>
              <w:spacing w:after="0"/>
              <w:rPr>
                <w:sz w:val="20"/>
                <w:szCs w:val="20"/>
                <w:color w:val="auto"/>
              </w:rPr>
            </w:pPr>
            <w:r>
              <w:rPr>
                <w:rFonts w:ascii="Arial" w:cs="Arial" w:eastAsia="Arial" w:hAnsi="Arial"/>
                <w:sz w:val="16"/>
                <w:szCs w:val="16"/>
                <w:color w:val="auto"/>
              </w:rPr>
              <w:t>62,916</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629</w:t>
            </w: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44,750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45,379</w:t>
            </w: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Exercise of</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warrants</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306,525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3,065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579,333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582,398</w:t>
            </w:r>
          </w:p>
        </w:tc>
      </w:tr>
      <w:tr>
        <w:trPr>
          <w:trHeight w:val="193"/>
        </w:trPr>
        <w:tc>
          <w:tcPr>
            <w:tcW w:w="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Compensation</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expense from</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grant of options</w:t>
            </w:r>
          </w:p>
        </w:tc>
        <w:tc>
          <w:tcPr>
            <w:tcW w:w="8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ind w:left="3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33,868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33,868</w:t>
            </w: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Deferred</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737,493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(737,493)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Amortization of</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deferred</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8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ind w:left="3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829,569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829,569</w:t>
            </w:r>
          </w:p>
        </w:tc>
      </w:tr>
      <w:tr>
        <w:trPr>
          <w:trHeight w:val="209"/>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(15,330,299)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(15,330,299)</w:t>
            </w:r>
          </w:p>
        </w:tc>
      </w:tr>
      <w:tr>
        <w:trPr>
          <w:trHeight w:val="193"/>
        </w:trPr>
        <w:tc>
          <w:tcPr>
            <w:tcW w:w="2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6"/>
                <w:szCs w:val="16"/>
                <w:color w:val="auto"/>
              </w:rPr>
              <w:t>Balances,</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Arial" w:cs="Arial" w:eastAsia="Arial" w:hAnsi="Arial"/>
                <w:sz w:val="16"/>
                <w:szCs w:val="16"/>
                <w:color w:val="auto"/>
              </w:rPr>
              <w:t>December 31,</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1460" w:type="dxa"/>
            <w:vAlign w:val="bottom"/>
            <w:gridSpan w:val="2"/>
          </w:tcPr>
          <w:p>
            <w:pPr>
              <w:ind w:left="140"/>
              <w:spacing w:after="0"/>
              <w:rPr>
                <w:sz w:val="20"/>
                <w:szCs w:val="20"/>
                <w:color w:val="auto"/>
              </w:rPr>
            </w:pPr>
            <w:r>
              <w:rPr>
                <w:rFonts w:ascii="Arial" w:cs="Arial" w:eastAsia="Arial" w:hAnsi="Arial"/>
                <w:sz w:val="16"/>
                <w:szCs w:val="16"/>
                <w:color w:val="auto"/>
              </w:rPr>
              <w:t>2004</w:t>
            </w:r>
          </w:p>
        </w:tc>
        <w:tc>
          <w:tcPr>
            <w:tcW w:w="8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ind w:left="360"/>
              <w:spacing w:after="0"/>
              <w:rPr>
                <w:sz w:val="20"/>
                <w:szCs w:val="20"/>
                <w:color w:val="auto"/>
              </w:rPr>
            </w:pPr>
            <w:r>
              <w:rPr>
                <w:rFonts w:ascii="Arial" w:cs="Arial" w:eastAsia="Arial" w:hAnsi="Arial"/>
                <w:sz w:val="16"/>
                <w:szCs w:val="16"/>
                <w:color w:val="auto"/>
                <w:w w:val="99"/>
              </w:rPr>
              <w:t>—</w:t>
            </w:r>
          </w:p>
        </w:tc>
        <w:tc>
          <w:tcPr>
            <w:tcW w:w="1340" w:type="dxa"/>
            <w:vAlign w:val="bottom"/>
            <w:gridSpan w:val="3"/>
          </w:tcPr>
          <w:p>
            <w:pPr>
              <w:jc w:val="right"/>
              <w:ind w:right="260"/>
              <w:spacing w:after="0"/>
              <w:rPr>
                <w:sz w:val="20"/>
                <w:szCs w:val="20"/>
                <w:color w:val="auto"/>
              </w:rPr>
            </w:pPr>
            <w:r>
              <w:rPr>
                <w:rFonts w:ascii="Arial" w:cs="Arial" w:eastAsia="Arial" w:hAnsi="Arial"/>
                <w:sz w:val="16"/>
                <w:szCs w:val="16"/>
                <w:color w:val="auto"/>
              </w:rPr>
              <w:t>62,129,407</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$ 621,293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211,419,300</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w w:val="96"/>
              </w:rPr>
              <w:t>(174,205,214)</w:t>
            </w:r>
          </w:p>
        </w:tc>
        <w:tc>
          <w:tcPr>
            <w:tcW w:w="160" w:type="dxa"/>
            <w:vAlign w:val="bottom"/>
          </w:tcPr>
          <w:p>
            <w:pPr>
              <w:jc w:val="right"/>
              <w:ind w:right="11"/>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(885,832)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36,949,547</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Loss before deemed dividend</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(15,330,299)</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(12,290,752)</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(11,644,255)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Adjustments to reconcile net loss to net cash used in operating</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1,037,719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1,013,133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402,190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deferred compensation</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829,569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251,208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(469,089)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Issue of shares and options in exchange for services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200,931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602,613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237,680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disposal of fixed assets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54,644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(61,660)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Other receivable</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26,160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(75,740)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(29,026)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(77,219)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258,807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(277,863)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(379,572)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665,409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725,673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Accrued wind-down expenses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1,705,045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1,891,620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437,833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(372,400)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(429,218)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128,180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103,345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(11,273,908)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(8,543,196)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(10,087,305)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(676,138)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(189,733)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Acquisition of other assets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(72,167)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(748,305)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(189,733)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39,640,178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16,130,347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45,379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30,085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warrants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582,398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1,647,000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Repayments of capital lease obligations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(30,830)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 obligations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(237,083)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(229,167)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(289,167)</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40,000,042</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17,578,265</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848,812</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27,977,829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8,845,336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(9,460,828)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13,081,703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4,236,367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13,697,195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41,059,532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13,081,703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4,236,367</w:t>
            </w:r>
          </w:p>
        </w:tc>
        <w:tc>
          <w:tcPr>
            <w:tcW w:w="0" w:type="dxa"/>
            <w:vAlign w:val="bottom"/>
          </w:tcPr>
          <w:p>
            <w:pPr>
              <w:spacing w:after="0"/>
              <w:rPr>
                <w:sz w:val="1"/>
                <w:szCs w:val="1"/>
                <w:color w:val="auto"/>
              </w:rPr>
            </w:pPr>
          </w:p>
        </w:tc>
      </w:tr>
      <w:tr>
        <w:trPr>
          <w:trHeight w:val="21"/>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paid</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191,006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207,112</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226,723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51"/>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2003</w:t>
            </w:r>
          </w:p>
        </w:tc>
        <w:tc>
          <w:tcPr>
            <w:tcW w:w="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Supplemental schedule of non-cash investing and financing</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Stock issued for licensing agreements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17,833(1)</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3,920(2)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35,000(3)</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Conversion of 6% cumulative preferred stock</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1,505,707(4)</w:t>
            </w:r>
          </w:p>
        </w:tc>
      </w:tr>
      <w:tr>
        <w:trPr>
          <w:trHeight w:val="216"/>
        </w:trPr>
        <w:tc>
          <w:tcPr>
            <w:tcW w:w="20" w:type="dxa"/>
            <w:vAlign w:val="bottom"/>
          </w:tcPr>
          <w:p>
            <w:pPr>
              <w:spacing w:after="0"/>
              <w:rPr>
                <w:sz w:val="18"/>
                <w:szCs w:val="18"/>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Conversion of 3% cumulative preferred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4,725,597(5)</w:t>
            </w:r>
          </w:p>
        </w:tc>
        <w:tc>
          <w:tcPr>
            <w:tcW w:w="32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8"/>
              </w:rPr>
              <w:t>Dividends paid to 3% convertible preferred stock holders in</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68,497(6)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129,270(6)</w:t>
            </w:r>
          </w:p>
        </w:tc>
      </w:tr>
      <w:tr>
        <w:trPr>
          <w:trHeight w:val="230"/>
        </w:trPr>
        <w:tc>
          <w:tcPr>
            <w:tcW w:w="20" w:type="dxa"/>
            <w:vAlign w:val="bottom"/>
          </w:tcPr>
          <w:p>
            <w:pPr>
              <w:spacing w:after="0"/>
              <w:rPr>
                <w:sz w:val="20"/>
                <w:szCs w:val="20"/>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Accretion of redeemable preferred stock</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1,067,579(7)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1,280,004(7)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4" w:lineRule="exact"/>
        <w:rPr>
          <w:sz w:val="20"/>
          <w:szCs w:val="20"/>
          <w:color w:val="auto"/>
        </w:rPr>
      </w:pPr>
    </w:p>
    <w:p>
      <w:pPr>
        <w:ind w:left="260" w:hanging="252"/>
        <w:spacing w:after="0" w:line="259"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the terms of a license agreement with the California Institute of Technology (Cal Tech), fees of $10,000 and $5,000 were due on the issuance of two patents to which StemCells holds a license from Cal Tech, payable in cash or stock at the Company’s choice. Company elected to pay the fees in stock and issued 9,535 unregistered shares to Cal Tech. Part payment in stock (1,816 shares) of $2,833 as part of an option agreement with the Board of Trustees of the Leland Stanford Junior University to acquire an exclusive license to an invention.</w:t>
      </w:r>
    </w:p>
    <w:p>
      <w:pPr>
        <w:spacing w:after="0" w:line="38" w:lineRule="exact"/>
        <w:rPr>
          <w:rFonts w:ascii="Arial" w:cs="Arial" w:eastAsia="Arial" w:hAnsi="Arial"/>
          <w:sz w:val="18"/>
          <w:szCs w:val="18"/>
          <w:color w:val="auto"/>
        </w:rPr>
      </w:pPr>
    </w:p>
    <w:p>
      <w:pPr>
        <w:ind w:left="260" w:right="42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the terms of an amended license agreement with the Oregon Health Sciences University (OHSU), 4,000 shares of stock were due to OHSU on execution of the amended agreement.</w:t>
      </w:r>
    </w:p>
    <w:p>
      <w:pPr>
        <w:spacing w:after="0" w:line="21" w:lineRule="exact"/>
        <w:rPr>
          <w:rFonts w:ascii="Arial" w:cs="Arial" w:eastAsia="Arial" w:hAnsi="Arial"/>
          <w:sz w:val="18"/>
          <w:szCs w:val="18"/>
          <w:color w:val="auto"/>
        </w:rPr>
      </w:pPr>
    </w:p>
    <w:p>
      <w:pPr>
        <w:ind w:left="260" w:right="96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August 2002 we acquired a license from Cal Tech, pursuant to which we issued 27,535 shares of our common stock with a market value of approximately $35,000</w:t>
      </w:r>
    </w:p>
    <w:p>
      <w:pPr>
        <w:spacing w:after="0" w:line="21" w:lineRule="exact"/>
        <w:rPr>
          <w:rFonts w:ascii="Arial" w:cs="Arial" w:eastAsia="Arial" w:hAnsi="Arial"/>
          <w:sz w:val="18"/>
          <w:szCs w:val="18"/>
          <w:color w:val="auto"/>
        </w:rPr>
      </w:pPr>
    </w:p>
    <w:p>
      <w:pPr>
        <w:ind w:left="260" w:right="14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1,500 shares of 6% cumulative convertible preferred stock including accumulated dividends was converted for 1,252,444 shares of common stock with a market value of $1,505,707. The total of the accumulated dividends was $222,457.</w:t>
      </w:r>
    </w:p>
    <w:p>
      <w:pPr>
        <w:spacing w:after="0" w:line="21" w:lineRule="exact"/>
        <w:rPr>
          <w:rFonts w:ascii="Arial" w:cs="Arial" w:eastAsia="Arial" w:hAnsi="Arial"/>
          <w:sz w:val="18"/>
          <w:szCs w:val="18"/>
          <w:color w:val="auto"/>
        </w:rPr>
      </w:pPr>
    </w:p>
    <w:p>
      <w:pPr>
        <w:ind w:left="260" w:right="20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4,000 shares of the 3% cumulative convertible preferred stock was converted for 3,500,000 shares of the Company’s common stock with a market value of $4,725,597.</w:t>
      </w:r>
    </w:p>
    <w:p>
      <w:pPr>
        <w:spacing w:after="0" w:line="21" w:lineRule="exact"/>
        <w:rPr>
          <w:rFonts w:ascii="Arial" w:cs="Arial" w:eastAsia="Arial" w:hAnsi="Arial"/>
          <w:sz w:val="18"/>
          <w:szCs w:val="18"/>
          <w:color w:val="auto"/>
        </w:rPr>
      </w:pPr>
    </w:p>
    <w:p>
      <w:pPr>
        <w:ind w:left="260" w:right="92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Accumulated dividends to 3% convertible preferred stock holders was paid in stock with a total market value of $129,270 (97,969 shares) and $68,497(49,809 shares) in 2002 and 2003 respectively.</w:t>
      </w:r>
    </w:p>
    <w:p>
      <w:pPr>
        <w:spacing w:after="0" w:line="21"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9 under “3% Cumulative Redeemable Convertible Preferred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r>
        <w:rPr>
          <w:rFonts w:ascii="Arial" w:cs="Arial" w:eastAsia="Arial" w:hAnsi="Arial"/>
          <w:sz w:val="18"/>
          <w:szCs w:val="18"/>
          <w:b w:val="1"/>
          <w:bCs w:val="1"/>
          <w:i w:val="1"/>
          <w:iCs w:val="1"/>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w:t>
      </w:r>
    </w:p>
    <w:p>
      <w:pPr>
        <w:spacing w:after="0" w:line="20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17"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StemCells, Inc., a Delaware corporation, (the Company) is a biopharmaceutical company that operates in one segment, engaged in the development of novel stem cell therapies designed to treat human diseases and disorders.</w:t>
      </w:r>
    </w:p>
    <w:p>
      <w:pPr>
        <w:spacing w:after="0" w:line="62" w:lineRule="exact"/>
        <w:rPr>
          <w:sz w:val="20"/>
          <w:szCs w:val="20"/>
          <w:color w:val="auto"/>
        </w:rPr>
      </w:pPr>
    </w:p>
    <w:p>
      <w:pPr>
        <w:ind w:right="40" w:firstLine="267"/>
        <w:spacing w:after="0" w:line="279" w:lineRule="auto"/>
        <w:rPr>
          <w:sz w:val="20"/>
          <w:szCs w:val="20"/>
          <w:color w:val="auto"/>
        </w:rPr>
      </w:pPr>
      <w:r>
        <w:rPr>
          <w:rFonts w:ascii="Arial" w:cs="Arial" w:eastAsia="Arial" w:hAnsi="Arial"/>
          <w:sz w:val="17"/>
          <w:szCs w:val="17"/>
          <w:color w:val="auto"/>
        </w:rPr>
        <w:t>The accompanying consolidated financial statements have been prepared on the basis that the Company will continue as a going concern. Since inception, the Company has incurred annual losses and negative cash flows from operations and has an accumulated deficit of approximately $174.2 million at December 31, 2004. The Company has not derived revenues from the sale of products, and does not expect to receive revenues from product sales for at least several years. It may not be able to realize sufficient revenues to achieve or sustain profitability in the future.</w:t>
      </w:r>
    </w:p>
    <w:p>
      <w:pPr>
        <w:spacing w:after="0" w:line="63"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color w:val="auto"/>
        </w:rPr>
        <w:t>StemCells expects to incur additional operating losses over the next several years. The Company has very limited liquidity and capital resources and must obtain significant additional capital resources in order to sustain its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StemCells relies on cash reserves and proceeds from equity and debt offerings, proceeds from the transfer or sale of intellectual property rights, equipment, facilities or investments, and government grants and funding from collaborative arrangements, if obtainable, to fund its operations. If the Company exhausts its cash reserves and is unable to realize adequate financing, it may be unable to meet operating obligations and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74"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In connection with the filing of the Annual Report on Form 10-K for the year ended December 31, 2003, the Company restated its financial statements for the year ended December 31, 2002 related to the accounting for wind-down expenses for the Company’s former corporate headquarters in Rhode Island and lease incentives related to its current facilities in California.</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20" w:firstLine="267"/>
        <w:spacing w:after="0" w:line="277" w:lineRule="auto"/>
        <w:rPr>
          <w:sz w:val="20"/>
          <w:szCs w:val="20"/>
          <w:color w:val="auto"/>
        </w:rPr>
      </w:pPr>
      <w:r>
        <w:rPr>
          <w:rFonts w:ascii="Arial" w:cs="Arial" w:eastAsia="Arial" w:hAnsi="Arial"/>
          <w:sz w:val="18"/>
          <w:szCs w:val="18"/>
          <w:color w:val="auto"/>
        </w:rPr>
        <w:t>The consolidated financial statements include accounts of the Company and StemCells California, Inc., a wholly owned subsidiary. Significant inter-company balances and transactions have been eliminated on consolidation.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267"/>
        <w:spacing w:after="0" w:line="312"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(Note 7) and valuation allowance against deferred tax assets (Note 11).</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80" w:firstLine="267"/>
        <w:spacing w:after="0" w:line="277" w:lineRule="auto"/>
        <w:rPr>
          <w:sz w:val="20"/>
          <w:szCs w:val="20"/>
          <w:color w:val="auto"/>
        </w:rPr>
      </w:pPr>
      <w:r>
        <w:rPr>
          <w:rFonts w:ascii="Arial" w:cs="Arial" w:eastAsia="Arial" w:hAnsi="Arial"/>
          <w:sz w:val="18"/>
          <w:szCs w:val="18"/>
          <w:color w:val="auto"/>
        </w:rPr>
        <w:t>The Company considers cash equivalents to be only those investments that are highly liquid, readily convertible to cash and which mature within three months from the date of purchase.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1000" w:firstLine="270"/>
        <w:spacing w:after="0" w:line="277" w:lineRule="auto"/>
        <w:rPr>
          <w:sz w:val="20"/>
          <w:szCs w:val="20"/>
          <w:color w:val="auto"/>
        </w:rPr>
      </w:pPr>
      <w:r>
        <w:rPr>
          <w:rFonts w:ascii="Arial" w:cs="Arial" w:eastAsia="Arial" w:hAnsi="Arial"/>
          <w:sz w:val="18"/>
          <w:szCs w:val="18"/>
          <w:color w:val="auto"/>
        </w:rPr>
        <w:t>Comprehensive income (loss) is comprised of net income (loss) and other comprehensive income (loss). The Company has no items of other comprehensive income therefore comprehensive income (loss) equals net income (loss).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58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3 — 20 years</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860" w:type="dxa"/>
            <w:vAlign w:val="bottom"/>
          </w:tcPr>
          <w:p>
            <w:pPr>
              <w:ind w:left="3540"/>
              <w:spacing w:after="0"/>
              <w:rPr>
                <w:sz w:val="20"/>
                <w:szCs w:val="20"/>
                <w:color w:val="auto"/>
              </w:rPr>
            </w:pPr>
            <w:r>
              <w:rPr>
                <w:rFonts w:ascii="Arial" w:cs="Arial" w:eastAsia="Arial" w:hAnsi="Arial"/>
                <w:sz w:val="18"/>
                <w:szCs w:val="18"/>
                <w:color w:val="auto"/>
              </w:rPr>
              <w:t>3 — 10 years</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8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3 — 10 years</w:t>
            </w: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Leasehold improvements are amortized on a straight-line basis over the shorter of their estimated useful lives or lease terms.</w:t>
      </w:r>
    </w:p>
    <w:p>
      <w:pPr>
        <w:spacing w:after="0" w:line="117" w:lineRule="exact"/>
        <w:rPr>
          <w:sz w:val="20"/>
          <w:szCs w:val="20"/>
          <w:color w:val="auto"/>
        </w:rPr>
      </w:pPr>
    </w:p>
    <w:p>
      <w:pPr>
        <w:ind w:right="60" w:firstLine="267"/>
        <w:spacing w:after="0" w:line="272" w:lineRule="auto"/>
        <w:rPr>
          <w:sz w:val="20"/>
          <w:szCs w:val="20"/>
          <w:color w:val="auto"/>
        </w:rPr>
      </w:pPr>
      <w:r>
        <w:rPr>
          <w:rFonts w:ascii="Arial" w:cs="Arial" w:eastAsia="Arial" w:hAnsi="Arial"/>
          <w:sz w:val="17"/>
          <w:szCs w:val="17"/>
          <w:color w:val="auto"/>
        </w:rPr>
        <w:t>The Company adopted FAS No. 144, “Accounting for the Impairment or Disposal of Long-lived Assets,” at the beginning of 2002. As permitted by the transition rules of FAS No. 144, long-lived assets classified as held for sale as a result of activities that were initiated prior to this Statement’s initial application shall continue to be accounted for in accordance with FAS No. 121. If however, the criteria for classifying long-lived assets held for sale under FAS No. 144 are not met by the end of the fiscal year in which this Statement is initially applied, the related long-lived assets shall be reclassified as held and used. At December 31, 2002, the criteria under FAS No. 144 for classifying the Company’s long-lived assets held for sale were not met and accordingly, such assets with a fair value of $3,203,491 at December 31, 2001 were reclassified as held and used on the balance sheet for all periods presented and are included in Property, Plant and Equipment, net. Depreciation of these assets resumed January 1, 2003.</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Patent and License Costs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Prior to fiscal year 2001, the Company capitalized certain patent costs related to patent applications. Accumulated costs were amortized over the estimated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economic life of the patents, not to exceed 17 years, using the straight-line method, commencing at the time the patent is issued. Costs related to patent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applications are charged to expense at the time such patents are deemed to have no continuing value. Since 2001 the Company expenses all patent costs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incurred. At December 31, 2004 and 2003, total costs capitalized amounted to $980,000 and the related accumulated amortization was $292,000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$236,000, respectively. Patent related expenses totaled $753,000, $665,000, and $650,000 in 2004, 2003 and 2002 respectively. License costs are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amortized over the period of the license agreement.</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267"/>
        <w:spacing w:after="0" w:line="273" w:lineRule="auto"/>
        <w:rPr>
          <w:sz w:val="20"/>
          <w:szCs w:val="20"/>
          <w:color w:val="auto"/>
        </w:rPr>
      </w:pPr>
      <w:r>
        <w:rPr>
          <w:rFonts w:ascii="Arial" w:cs="Arial" w:eastAsia="Arial" w:hAnsi="Arial"/>
          <w:sz w:val="17"/>
          <w:szCs w:val="17"/>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these circumstances and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at date of grant as compensation expense in accordance with APB 25.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For purposes of disclosures pursuant to Statement of Financial Accounting Standards No. 123, “Accounting for Stock-Based Compensation,” (FAS 123) as amended by Statement of Financial Accounting Standards No. 148, “Accounting for Stock-Based Compensation — Transition and Disclosure,” (FAS 148), the estimated fair value of options is amortized to expense over the options’ vesting period. The following table illustrates the effect on net loss and net loss per share if the Company had applied the fair value recognition provisions of FAS 123 to stock-based employee compensation: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loss applicable to common stockholders — as reported</w:t>
            </w: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(15,330,299)</w:t>
            </w: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(14,425,160)</w:t>
            </w: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(13,275,986)</w:t>
            </w:r>
          </w:p>
        </w:tc>
      </w:tr>
      <w:tr>
        <w:trPr>
          <w:trHeight w:val="202"/>
        </w:trPr>
        <w:tc>
          <w:tcPr>
            <w:tcW w:w="2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w w:val="95"/>
              </w:rPr>
              <w:t>Add: Stock-based employee/director compensation expense</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included in reported net loss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33,868</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242,548</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143,002</w:t>
            </w: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Deduct: Total stock-based employee/director compensation</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expense under the fair value based method for all awards</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(819,317)</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(960,166)</w:t>
            </w: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(619,631)</w:t>
            </w: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 — pro forma</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(16,115,748)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(15,142,778)</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(13,752,615)</w:t>
            </w:r>
          </w:p>
        </w:tc>
        <w:tc>
          <w:tcPr>
            <w:tcW w:w="52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net loss per share applicable to common</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 — as reported</w:t>
            </w: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(0.31)</w:t>
            </w: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(0.45)</w:t>
            </w: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(0.53)</w:t>
            </w:r>
          </w:p>
        </w:tc>
      </w:tr>
      <w:tr>
        <w:trPr>
          <w:trHeight w:val="202"/>
        </w:trPr>
        <w:tc>
          <w:tcPr>
            <w:tcW w:w="2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w w:val="98"/>
              </w:rPr>
              <w:t>Basic and diluted net loss per share applicable to common</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stockholders — pro forma</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(0.32)</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(0.47)</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color w:val="auto"/>
              </w:rPr>
              <w:t>(0.55)</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Basic and Diluted loss per share amounts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49,606,277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32,080,233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25,096,252</w:t>
            </w:r>
          </w:p>
        </w:tc>
      </w:tr>
    </w:tbl>
    <w:p>
      <w:pPr>
        <w:spacing w:after="0" w:line="94" w:lineRule="exact"/>
        <w:rPr>
          <w:sz w:val="20"/>
          <w:szCs w:val="20"/>
          <w:color w:val="auto"/>
        </w:rPr>
      </w:pPr>
    </w:p>
    <w:p>
      <w:pPr>
        <w:ind w:right="160" w:firstLine="267"/>
        <w:spacing w:after="0" w:line="264"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73" w:lineRule="exact"/>
        <w:rPr>
          <w:sz w:val="20"/>
          <w:szCs w:val="20"/>
          <w:color w:val="auto"/>
        </w:rPr>
      </w:pPr>
    </w:p>
    <w:p>
      <w:pPr>
        <w:ind w:right="100" w:firstLine="267"/>
        <w:spacing w:after="0" w:line="255" w:lineRule="auto"/>
        <w:rPr>
          <w:sz w:val="20"/>
          <w:szCs w:val="20"/>
          <w:color w:val="auto"/>
        </w:rPr>
      </w:pPr>
      <w:r>
        <w:rPr>
          <w:rFonts w:ascii="Arial" w:cs="Arial" w:eastAsia="Arial" w:hAnsi="Arial"/>
          <w:sz w:val="18"/>
          <w:szCs w:val="18"/>
          <w:color w:val="auto"/>
        </w:rPr>
        <w:t xml:space="preserve">The Company accounts for stock options granted to non-employees in accordance with FAS No. 123 and Emerging Issues Task Force (EITF) 96-18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Equity Instruments That Are Issued To Other Than Employees For Acquiring, Or In Conjunction With Selling, Goods Or Services”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 The expense recorded for the issuance of options to non-employees for the years ended December 31, 2004, 2003 and 2002 was $829,569, $251,206, and $(469,088), respectively.</w:t>
      </w:r>
    </w:p>
    <w:p>
      <w:pPr>
        <w:spacing w:after="0" w:line="85"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 xml:space="preserve">In December 2004, FASB issued SFAS No. 123R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This Statement is a revision of SFAS No. 123,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and amends SFAS No. 95,</w:t>
      </w:r>
      <w:r>
        <w:rPr>
          <w:rFonts w:ascii="Arial" w:cs="Arial" w:eastAsia="Arial" w:hAnsi="Arial"/>
          <w:sz w:val="18"/>
          <w:szCs w:val="18"/>
          <w:i w:val="1"/>
          <w:iCs w:val="1"/>
          <w:color w:val="auto"/>
        </w:rPr>
        <w:t xml:space="preserve"> Statement of Cash Flows </w:t>
      </w:r>
      <w:r>
        <w:rPr>
          <w:rFonts w:ascii="Arial" w:cs="Arial" w:eastAsia="Arial" w:hAnsi="Arial"/>
          <w:sz w:val="18"/>
          <w:szCs w:val="18"/>
          <w:color w:val="auto"/>
        </w:rPr>
        <w:t>This Statement supersedes APB Opinion No. 25,</w:t>
      </w:r>
      <w:r>
        <w:rPr>
          <w:rFonts w:ascii="Arial" w:cs="Arial" w:eastAsia="Arial" w:hAnsi="Arial"/>
          <w:sz w:val="18"/>
          <w:szCs w:val="18"/>
          <w:i w:val="1"/>
          <w:iCs w:val="1"/>
          <w:color w:val="auto"/>
        </w:rPr>
        <w:t xml:space="preserve"> Accounting for Stock Issued to Employees, </w:t>
      </w:r>
      <w:r>
        <w:rPr>
          <w:rFonts w:ascii="Arial" w:cs="Arial" w:eastAsia="Arial" w:hAnsi="Arial"/>
          <w:sz w:val="18"/>
          <w:szCs w:val="18"/>
          <w:color w:val="auto"/>
        </w:rPr>
        <w:t>and its related implementation guidance. Upon the adoption of SFAS No. 123R the Company will be required to expense stock options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Operations. Among other items, the new standard requires the expensing of stock options issued by the Company in the financial statements using a fair-value-based method. The provisions of SFAS 123R are effective for the first interim or annual reporting period that begins after June 15, 2005; the Company will therefore adopt the new requirements no later than the beginning of its third quarter of fiscal 2005. Adoption of the expensing requirements will reduce the Company’s reported earnings.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80" w:firstLine="267"/>
        <w:spacing w:after="0" w:line="259" w:lineRule="auto"/>
        <w:rPr>
          <w:sz w:val="20"/>
          <w:szCs w:val="20"/>
          <w:color w:val="auto"/>
        </w:rPr>
      </w:pPr>
      <w:r>
        <w:rPr>
          <w:rFonts w:ascii="Arial" w:cs="Arial" w:eastAsia="Arial" w:hAnsi="Arial"/>
          <w:sz w:val="18"/>
          <w:szCs w:val="18"/>
          <w:color w:val="auto"/>
        </w:rPr>
        <w:t>The liability method is used to account for income taxes. Deferred tax assets and liabilities are determined based on differences between financial reporting and income tax bases of assets and liabilities as well as net operating loss carry forwards and tax credits carryforwards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are recognized as revenue at time of receipt.</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270"/>
        <w:spacing w:after="0" w:line="269" w:lineRule="auto"/>
        <w:rPr>
          <w:sz w:val="20"/>
          <w:szCs w:val="20"/>
          <w:color w:val="auto"/>
        </w:rPr>
      </w:pPr>
      <w:r>
        <w:rPr>
          <w:rFonts w:ascii="Arial" w:cs="Arial" w:eastAsia="Arial" w:hAnsi="Arial"/>
          <w:sz w:val="17"/>
          <w:szCs w:val="17"/>
          <w:color w:val="auto"/>
        </w:rPr>
        <w:t>In June 2002, the FASB issued SFAS No. 146, Accounting for Costs Associated with Exit or Disposal Activities. SFAS No. 146 provides guidance related to accounting for costs associated with disposal activities covered by SFAS No. 144 and with one-time termination benefits and other exit or restructuring activities previously covered by Emerging Issues Task Force (EITF) Issue No. 94-3, Liability Recognition for Certain Employee Termination Benefits and Other Costs to Exit an Activity (including Certain Costs Incurred in a Restructuring). SFAS No. 146 supersedes EITF Issue No. 94-3 in its entirety. Under SFAS No. 146, the following conditions must be met for an action to qualify as an exit or disposal plan: management having the authority to approve the action commits to a plan of termination; the plan identifies the number of employees to be terminated, their job classifications or functions and their locations, and the expected completion date; the plan establishes the terms of the benefit arrangement including the benefits that employees will receive upon termination (including but not limited to cash payments) in sufficient detail to enable employees to determine the type and amount of benefits they will receive if they are involuntarily terminated; and actions required to complete the plan indicate that it is unlikely that significant changes to the plan will be made or that the plan will be withdrawn. SFAS No. 146 was effective in 2003 and will be applied prospectively to qualifying exit or disposal activities initiated after December 31, 2002.</w:t>
      </w:r>
    </w:p>
    <w:p>
      <w:pPr>
        <w:spacing w:after="0" w:line="75"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In January 2003, the FASB issued FASB Interpretation No. 46, “Consolidation of Variable Interest Entities, an Interpretation of ARB No. 51(FIN 46).”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for all new variable interest entities created or acquired after January 31, 2003. The Company does not believe it has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any investments in variable interest entities and does not anticipate any impact with the adoption of this interpretation.</w:t>
      </w:r>
    </w:p>
    <w:p>
      <w:pPr>
        <w:spacing w:after="0" w:line="117"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In May 2003, the FASB issued SFAS No. 150, Accounting for Certain Financial Instruments with Characteristics of Both Liabilities and Equity, (SFAS 150). SFAS 150 establishes standards for classifying and measuring as liabilities certain financial instruments that embody obligations of the issuer and have characteristics of both liabilities and equity. SFAS 150 must be applied immediately to instruments entered into or modified after May 31, 2003. The adoption of SFAS 150 did not have a material effect on the Company’s results of operations or financial position.</w:t>
      </w:r>
    </w:p>
    <w:p>
      <w:pPr>
        <w:spacing w:after="0" w:line="63"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 xml:space="preserve">In December 2004, FASB issued SFAS No. 123R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This Statement is a revision of SFAS No. 123,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and amends SFAS No. 95,</w:t>
      </w:r>
      <w:r>
        <w:rPr>
          <w:rFonts w:ascii="Arial" w:cs="Arial" w:eastAsia="Arial" w:hAnsi="Arial"/>
          <w:sz w:val="16"/>
          <w:szCs w:val="16"/>
          <w:i w:val="1"/>
          <w:iCs w:val="1"/>
          <w:color w:val="auto"/>
        </w:rPr>
        <w:t xml:space="preserve"> Statement of Cash Flows </w:t>
      </w:r>
      <w:r>
        <w:rPr>
          <w:rFonts w:ascii="Arial" w:cs="Arial" w:eastAsia="Arial" w:hAnsi="Arial"/>
          <w:sz w:val="16"/>
          <w:szCs w:val="16"/>
          <w:color w:val="auto"/>
        </w:rPr>
        <w:t>This Statement supersedes APB Opinion No. 25,</w:t>
      </w:r>
      <w:r>
        <w:rPr>
          <w:rFonts w:ascii="Arial" w:cs="Arial" w:eastAsia="Arial" w:hAnsi="Arial"/>
          <w:sz w:val="16"/>
          <w:szCs w:val="16"/>
          <w:i w:val="1"/>
          <w:iCs w:val="1"/>
          <w:color w:val="auto"/>
        </w:rPr>
        <w:t xml:space="preserve"> Accounting for Stock Issued to Employees, </w:t>
      </w:r>
      <w:r>
        <w:rPr>
          <w:rFonts w:ascii="Arial" w:cs="Arial" w:eastAsia="Arial" w:hAnsi="Arial"/>
          <w:sz w:val="16"/>
          <w:szCs w:val="16"/>
          <w:color w:val="auto"/>
        </w:rPr>
        <w:t>and its related implementation guidance. Upon the adoption of SFAS No. 123R the Company will be required to expense stock options in its</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Operations. Among other items, the new standard would require the expensing of stock options issued by the Company in the financial statements using a fair-value-based method. The new standard is effective as of the beginning of the first interim or annual reporting period that begins after June 15, 2005. FASB is encouraging companies to begin applying the new expensing requirements as of the beginning of 2005 The Company is considering expensing stock options as of the beginning of 2005. See “Stock-based Compensation” in this Note 1 for disclosures regarding the effect on net earnings and earnings per share if the Company had applied the fair value recognition provisions of SFAS No. 123R</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300" w:firstLine="267"/>
        <w:spacing w:after="0" w:line="277" w:lineRule="auto"/>
        <w:rPr>
          <w:sz w:val="20"/>
          <w:szCs w:val="20"/>
          <w:color w:val="auto"/>
        </w:rPr>
      </w:pPr>
      <w:r>
        <w:rPr>
          <w:rFonts w:ascii="Arial" w:cs="Arial" w:eastAsia="Arial" w:hAnsi="Arial"/>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Basic and diluted net loss per share has been computed using the weighted-average number of shares of common stock outstanding during the period. Basic earnings per share excludes any dilutive effects of options, shares subject to repurchase, warrants and convertible securities. Diluted earnings per share includes the impact of potentially dilutive securities if dilutive.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2003</w:t>
            </w:r>
          </w:p>
        </w:tc>
        <w:tc>
          <w:tcPr>
            <w:tcW w:w="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(15,330,299)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(14,425,160)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(13,275,986)</w:t>
            </w:r>
          </w:p>
        </w:tc>
      </w:tr>
      <w:tr>
        <w:trPr>
          <w:trHeight w:val="202"/>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used in computing basic and diluted</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net loss per share amounts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49,606,277</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32,080,233</w:t>
            </w:r>
          </w:p>
        </w:tc>
        <w:tc>
          <w:tcPr>
            <w:tcW w:w="360" w:type="dxa"/>
            <w:vAlign w:val="bottom"/>
          </w:tcPr>
          <w:p>
            <w:pPr>
              <w:spacing w:after="0"/>
              <w:rPr>
                <w:sz w:val="20"/>
                <w:szCs w:val="20"/>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25,096,252</w:t>
            </w: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and diluted net loss per share applicable to common</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(0.45)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(0.53)</w:t>
            </w:r>
          </w:p>
        </w:tc>
      </w:tr>
    </w:tbl>
    <w:p>
      <w:pPr>
        <w:spacing w:after="0" w:line="94" w:lineRule="exact"/>
        <w:rPr>
          <w:sz w:val="20"/>
          <w:szCs w:val="20"/>
          <w:color w:val="auto"/>
        </w:rPr>
      </w:pPr>
    </w:p>
    <w:p>
      <w:pPr>
        <w:ind w:right="140" w:firstLine="267"/>
        <w:spacing w:after="0" w:line="308" w:lineRule="auto"/>
        <w:rPr>
          <w:sz w:val="20"/>
          <w:szCs w:val="20"/>
          <w:color w:val="auto"/>
        </w:rPr>
      </w:pPr>
      <w:r>
        <w:rPr>
          <w:rFonts w:ascii="Arial" w:cs="Arial" w:eastAsia="Arial" w:hAnsi="Arial"/>
          <w:sz w:val="17"/>
          <w:szCs w:val="17"/>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12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4"/>
                <w:szCs w:val="14"/>
                <w:color w:val="auto"/>
              </w:rPr>
            </w:pPr>
          </w:p>
        </w:tc>
        <w:tc>
          <w:tcPr>
            <w:tcW w:w="11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Outstanding options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6,682,201</w:t>
            </w:r>
          </w:p>
        </w:tc>
        <w:tc>
          <w:tcPr>
            <w:tcW w:w="2540" w:type="dxa"/>
            <w:vAlign w:val="bottom"/>
            <w:gridSpan w:val="3"/>
          </w:tcPr>
          <w:p>
            <w:pPr>
              <w:jc w:val="right"/>
              <w:ind w:right="680"/>
              <w:spacing w:after="0"/>
              <w:rPr>
                <w:sz w:val="20"/>
                <w:szCs w:val="20"/>
                <w:color w:val="auto"/>
              </w:rPr>
            </w:pPr>
            <w:r>
              <w:rPr>
                <w:rFonts w:ascii="Arial" w:cs="Arial" w:eastAsia="Arial" w:hAnsi="Arial"/>
                <w:sz w:val="18"/>
                <w:szCs w:val="18"/>
                <w:color w:val="auto"/>
              </w:rPr>
              <w:t>5,025,374</w:t>
            </w:r>
          </w:p>
        </w:tc>
        <w:tc>
          <w:tcPr>
            <w:tcW w:w="1100" w:type="dxa"/>
            <w:vAlign w:val="bottom"/>
          </w:tcPr>
          <w:p>
            <w:pPr>
              <w:jc w:val="right"/>
              <w:spacing w:after="0"/>
              <w:rPr>
                <w:sz w:val="20"/>
                <w:szCs w:val="20"/>
                <w:color w:val="auto"/>
              </w:rPr>
            </w:pPr>
            <w:r>
              <w:rPr>
                <w:rFonts w:ascii="Arial" w:cs="Arial" w:eastAsia="Arial" w:hAnsi="Arial"/>
                <w:sz w:val="18"/>
                <w:szCs w:val="18"/>
                <w:color w:val="auto"/>
              </w:rPr>
              <w:t>4,294,050</w:t>
            </w: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5,490,285</w:t>
            </w:r>
          </w:p>
        </w:tc>
        <w:tc>
          <w:tcPr>
            <w:tcW w:w="25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2,101,074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1,074,593</w:t>
            </w:r>
          </w:p>
        </w:tc>
        <w:tc>
          <w:tcPr>
            <w:tcW w:w="380" w:type="dxa"/>
            <w:vAlign w:val="bottom"/>
            <w:shd w:val="clear" w:color="auto" w:fill="CCEEFF"/>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0" w:type="dxa"/>
            <w:vAlign w:val="bottom"/>
          </w:tcPr>
          <w:p>
            <w:pPr>
              <w:jc w:val="right"/>
              <w:ind w:right="310"/>
              <w:spacing w:after="0"/>
              <w:rPr>
                <w:sz w:val="20"/>
                <w:szCs w:val="20"/>
                <w:color w:val="auto"/>
              </w:rPr>
            </w:pPr>
            <w:r>
              <w:rPr>
                <w:rFonts w:ascii="Arial" w:cs="Arial" w:eastAsia="Arial" w:hAnsi="Arial"/>
                <w:sz w:val="18"/>
                <w:szCs w:val="18"/>
                <w:color w:val="auto"/>
              </w:rPr>
              <w:t>63</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6720" w:type="dxa"/>
            <w:vAlign w:val="bottom"/>
          </w:tcPr>
          <w:p>
            <w:pPr>
              <w:ind w:left="240"/>
              <w:spacing w:after="0"/>
              <w:rPr>
                <w:sz w:val="20"/>
                <w:szCs w:val="20"/>
                <w:color w:val="auto"/>
              </w:rPr>
            </w:pPr>
            <w:r>
              <w:rPr>
                <w:rFonts w:ascii="Arial" w:cs="Arial" w:eastAsia="Arial" w:hAnsi="Arial"/>
                <w:sz w:val="18"/>
                <w:szCs w:val="18"/>
                <w:b w:val="1"/>
                <w:bCs w:val="1"/>
                <w:color w:val="auto"/>
              </w:rPr>
              <w:t>Property, Plant and Equipment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Arial" w:cs="Arial" w:eastAsia="Arial" w:hAnsi="Arial"/>
                <w:sz w:val="18"/>
                <w:szCs w:val="18"/>
                <w:color w:val="auto"/>
              </w:rPr>
              <w:t>Property, plant and equipment consists of the following:</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00" w:type="dxa"/>
            <w:vAlign w:val="bottom"/>
          </w:tcPr>
          <w:p>
            <w:pPr>
              <w:spacing w:after="0"/>
              <w:rPr>
                <w:sz w:val="23"/>
                <w:szCs w:val="23"/>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3,308,098</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3,918,889</w:t>
            </w:r>
          </w:p>
        </w:tc>
        <w:tc>
          <w:tcPr>
            <w:tcW w:w="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2,737,971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2,231,189</w:t>
            </w: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339,458</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339,458</w:t>
            </w: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6,385,527</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6,489,536</w:t>
            </w:r>
          </w:p>
        </w:tc>
        <w:tc>
          <w:tcPr>
            <w:tcW w:w="5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(2,961,233)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(2,878,134)</w:t>
            </w: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3,424,294</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3,611,402</w:t>
            </w:r>
          </w:p>
        </w:tc>
        <w:tc>
          <w:tcPr>
            <w:tcW w:w="5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70"/>
        <w:spacing w:after="0" w:line="312" w:lineRule="auto"/>
        <w:rPr>
          <w:sz w:val="20"/>
          <w:szCs w:val="20"/>
          <w:color w:val="auto"/>
        </w:rPr>
      </w:pPr>
      <w:r>
        <w:rPr>
          <w:rFonts w:ascii="Arial" w:cs="Arial" w:eastAsia="Arial" w:hAnsi="Arial"/>
          <w:sz w:val="16"/>
          <w:szCs w:val="16"/>
          <w:color w:val="auto"/>
        </w:rPr>
        <w:t>Depreciation and amortization expense was $933,000, $916,000, and $307,000 for the years ended December 31, 2004, 2003 and 2002, respectively. In 2004 leasehold improvements related to a previous facility with a net book value of $0 (carrying cost of $705,000 and accumulated depreciation of $705,000) were written off. In addition obsolete or unusable miscellaneous lab equipment with a net book value of $55,000 was disposed and written off.</w:t>
      </w:r>
    </w:p>
    <w:p>
      <w:pPr>
        <w:spacing w:after="0" w:line="39" w:lineRule="exact"/>
        <w:rPr>
          <w:sz w:val="20"/>
          <w:szCs w:val="20"/>
          <w:color w:val="auto"/>
        </w:rPr>
      </w:pPr>
    </w:p>
    <w:p>
      <w:pPr>
        <w:ind w:right="60" w:firstLine="267"/>
        <w:spacing w:after="0" w:line="272" w:lineRule="auto"/>
        <w:rPr>
          <w:sz w:val="20"/>
          <w:szCs w:val="20"/>
          <w:color w:val="auto"/>
        </w:rPr>
      </w:pPr>
      <w:r>
        <w:rPr>
          <w:rFonts w:ascii="Arial" w:cs="Arial" w:eastAsia="Arial" w:hAnsi="Arial"/>
          <w:sz w:val="17"/>
          <w:szCs w:val="17"/>
          <w:color w:val="auto"/>
        </w:rPr>
        <w:t>The Company adopted FAS No. 144, “Accounting for the Impairment or Disposal of Long-lived Assets,” at the beginning of 2002. As permitted by the transition rules of FAS No. 144, long-lived assets classified as held for sale as a result of activities that were initiated prior to this Statement’s initial application shall continue to be accounted for in accordance with FAS No. 121. If however, the criteria for classifying long-lived assets held for sale under FAS No. 144 are not met by the end of the fiscal year in which this Statement is initially applied, the related long-lived assets shall be reclassified as held and used. At December 31, 2002, the criteria under FAS No. 144 for classifying the Company’s long-lived assets held for sale were not met and accordingly, such assets with a fair value of $3,203,491 at December 31, 2001 were reclassified as held and used on the balance sheet for all periods presented and are included in building and improvements. Depreciation of these assets resumed in 2003.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7180" w:type="dxa"/>
            <w:vAlign w:val="bottom"/>
          </w:tcPr>
          <w:p>
            <w:pPr>
              <w:ind w:left="240"/>
              <w:spacing w:after="0"/>
              <w:rPr>
                <w:sz w:val="20"/>
                <w:szCs w:val="20"/>
                <w:color w:val="auto"/>
              </w:rPr>
            </w:pPr>
            <w:r>
              <w:rPr>
                <w:rFonts w:ascii="Arial" w:cs="Arial" w:eastAsia="Arial" w:hAnsi="Arial"/>
                <w:sz w:val="18"/>
                <w:szCs w:val="18"/>
                <w:b w:val="1"/>
                <w:bCs w:val="1"/>
                <w:color w:val="auto"/>
              </w:rPr>
              <w:t>Other Assets, Net</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80" w:type="dxa"/>
            <w:vAlign w:val="bottom"/>
          </w:tcPr>
          <w:p>
            <w:pPr>
              <w:ind w:left="60"/>
              <w:spacing w:after="0"/>
              <w:rPr>
                <w:sz w:val="20"/>
                <w:szCs w:val="20"/>
                <w:color w:val="auto"/>
              </w:rPr>
            </w:pPr>
            <w:r>
              <w:rPr>
                <w:rFonts w:ascii="Arial" w:cs="Arial" w:eastAsia="Arial" w:hAnsi="Arial"/>
                <w:sz w:val="18"/>
                <w:szCs w:val="18"/>
                <w:color w:val="auto"/>
              </w:rPr>
              <w:t>Other assets are as follows: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23"/>
                <w:szCs w:val="23"/>
                <w:color w:val="auto"/>
              </w:rPr>
            </w:pPr>
          </w:p>
        </w:tc>
        <w:tc>
          <w:tcPr>
            <w:tcW w:w="520" w:type="dxa"/>
            <w:vAlign w:val="bottom"/>
          </w:tcPr>
          <w:p>
            <w:pPr>
              <w:spacing w:after="0"/>
              <w:rPr>
                <w:sz w:val="23"/>
                <w:szCs w:val="23"/>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2004</w:t>
            </w:r>
          </w:p>
        </w:tc>
        <w:tc>
          <w:tcPr>
            <w:tcW w:w="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687,567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743,370</w:t>
            </w: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License agreements, net</w:t>
            </w:r>
          </w:p>
        </w:tc>
        <w:tc>
          <w:tcPr>
            <w:tcW w:w="320" w:type="dxa"/>
            <w:vAlign w:val="bottom"/>
          </w:tcPr>
          <w:p>
            <w:pPr>
              <w:spacing w:after="0"/>
              <w:rPr>
                <w:sz w:val="18"/>
                <w:szCs w:val="18"/>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376,274</w:t>
            </w:r>
          </w:p>
        </w:tc>
        <w:tc>
          <w:tcPr>
            <w:tcW w:w="3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334,850</w:t>
            </w: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 deposit — building lease</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752,500</w:t>
            </w: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752,500</w:t>
            </w: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Restricted Cash-(Letter of Credit)</w:t>
            </w:r>
          </w:p>
        </w:tc>
        <w:tc>
          <w:tcPr>
            <w:tcW w:w="320" w:type="dxa"/>
            <w:vAlign w:val="bottom"/>
          </w:tcPr>
          <w:p>
            <w:pPr>
              <w:spacing w:after="0"/>
              <w:rPr>
                <w:sz w:val="18"/>
                <w:szCs w:val="18"/>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937,078</w:t>
            </w:r>
          </w:p>
        </w:tc>
        <w:tc>
          <w:tcPr>
            <w:tcW w:w="3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937,078</w:t>
            </w: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2,753,419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2,767,798</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At December 31, 2004 and 2003, accumulated amortization was $1,590,000 and $1,485,000, respectively, for patents and license agreements.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7200" w:type="dxa"/>
            <w:vAlign w:val="bottom"/>
          </w:tcPr>
          <w:p>
            <w:pPr>
              <w:ind w:left="260"/>
              <w:spacing w:after="0"/>
              <w:rPr>
                <w:sz w:val="20"/>
                <w:szCs w:val="20"/>
                <w:color w:val="auto"/>
              </w:rPr>
            </w:pPr>
            <w:r>
              <w:rPr>
                <w:rFonts w:ascii="Arial" w:cs="Arial" w:eastAsia="Arial" w:hAnsi="Arial"/>
                <w:sz w:val="18"/>
                <w:szCs w:val="18"/>
                <w:b w:val="1"/>
                <w:bCs w:val="1"/>
                <w:color w:val="auto"/>
              </w:rPr>
              <w:t>Accrued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Accrued expenses are as follows: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23"/>
                <w:szCs w:val="23"/>
                <w:color w:val="auto"/>
              </w:rPr>
            </w:pPr>
          </w:p>
        </w:tc>
        <w:tc>
          <w:tcPr>
            <w:tcW w:w="520" w:type="dxa"/>
            <w:vAlign w:val="bottom"/>
          </w:tcPr>
          <w:p>
            <w:pPr>
              <w:spacing w:after="0"/>
              <w:rPr>
                <w:sz w:val="23"/>
                <w:szCs w:val="23"/>
                <w:color w:val="auto"/>
              </w:rPr>
            </w:pPr>
          </w:p>
        </w:tc>
      </w:tr>
      <w:tr>
        <w:trPr>
          <w:trHeight w:val="163"/>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External services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639,989</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268,545</w:t>
            </w: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Employee compensation</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834,039</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620,340</w:t>
            </w: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73,342</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152,265</w:t>
            </w: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1,547,370</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1,041,150</w:t>
            </w:r>
          </w:p>
        </w:tc>
        <w:tc>
          <w:tcPr>
            <w:tcW w:w="5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180" w:firstLine="267"/>
        <w:spacing w:after="0" w:line="291" w:lineRule="auto"/>
        <w:rPr>
          <w:sz w:val="20"/>
          <w:szCs w:val="20"/>
          <w:color w:val="auto"/>
        </w:rPr>
      </w:pPr>
      <w:r>
        <w:rPr>
          <w:rFonts w:ascii="Arial" w:cs="Arial" w:eastAsia="Arial" w:hAnsi="Arial"/>
          <w:sz w:val="16"/>
          <w:szCs w:val="16"/>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Interest rates vary with the respective bonds’ maturities, ranging from 8.1% to 9.5%. The bonds contain certain restrictive covenants which limit, among other things, the payment of cash dividends and the sale of the related assets. The Company entered into a fifteen-year lease for a laboratory facility in connection with a sale and leaseback arrangement in 1997. The lease has escalating rent payments and accordingly, the Company is recognizing rent expense on a straight-line basis. At December 31, 2004, the Company had $1,177,000 in deferred rent expense for this facility which is presented as part of the wind-down accrual.</w:t>
      </w:r>
    </w:p>
    <w:p>
      <w:pPr>
        <w:spacing w:after="0" w:line="59" w:lineRule="exact"/>
        <w:rPr>
          <w:sz w:val="20"/>
          <w:szCs w:val="20"/>
          <w:color w:val="auto"/>
        </w:rPr>
      </w:pPr>
    </w:p>
    <w:p>
      <w:pPr>
        <w:ind w:right="80" w:firstLine="260"/>
        <w:spacing w:after="0" w:line="272" w:lineRule="auto"/>
        <w:rPr>
          <w:sz w:val="20"/>
          <w:szCs w:val="20"/>
          <w:color w:val="auto"/>
        </w:rPr>
      </w:pPr>
      <w:r>
        <w:rPr>
          <w:rFonts w:ascii="Arial" w:cs="Arial" w:eastAsia="Arial" w:hAnsi="Arial"/>
          <w:sz w:val="17"/>
          <w:szCs w:val="17"/>
          <w:color w:val="auto"/>
        </w:rPr>
        <w:t>As of February 1, 2001, the Company entered into a 5-year lease for a 40,000 square foot facility located in the Stanford Research Park in Palo Alto, California. The facility includes space for animals, laboratories, offices, and a suite designed for manufacture of cells for use in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$503,000, which was in addition to the letter of credit amounting to $275,000 issued at commencement of the lease to serve as a deposit for the duration of the lease. The lease has a rent escalation clause and accordingly, the Company is recognizing rent expense on a straight-line basis. At December 31, 2004 the Company had $524,000 in deferred rent expense for this facility included in accrued expenses.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2004, future minimum lease payments and sublease income under operating and capital leases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Capital</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Leases(1)</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Leases</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Income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472,680</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3,007,630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1,421,012</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2006</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445,486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1,115,186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791,454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332,545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937,500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2008</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244,531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1,171,875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244,572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1,171,875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1,099,991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4,248,047</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2,839,805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11,652,113</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2,285,534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gridSpan w:val="3"/>
            <w:vMerge w:val="restart"/>
          </w:tcPr>
          <w:p>
            <w:pPr>
              <w:spacing w:after="0"/>
              <w:rPr>
                <w:sz w:val="20"/>
                <w:szCs w:val="20"/>
                <w:color w:val="auto"/>
              </w:rPr>
            </w:pPr>
            <w:r>
              <w:rPr>
                <w:rFonts w:ascii="Arial" w:cs="Arial" w:eastAsia="Arial" w:hAnsi="Arial"/>
                <w:sz w:val="18"/>
                <w:szCs w:val="18"/>
                <w:color w:val="auto"/>
              </w:rPr>
              <w:t>Less amounts representing interest</w:t>
            </w: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00" w:type="dxa"/>
            <w:vAlign w:val="bottom"/>
            <w:gridSpan w:val="3"/>
            <w:vMerge w:val="continue"/>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896,313</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1,943,492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297,010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lease obligations, less current maturities</w:t>
            </w:r>
          </w:p>
        </w:tc>
        <w:tc>
          <w:tcPr>
            <w:tcW w:w="10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1,646,482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Bonds payable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Rent expense for the years ended December 31, 2004, 2003 and 2002, was $1,109,000, $1,040,000 and $2,565,000 respectively.</w:t>
      </w:r>
    </w:p>
    <w:p>
      <w:pPr>
        <w:spacing w:after="0" w:line="22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In February 2001, the Company was awarded a two-year, $300,000 per year grant from the National Institutes of Health’s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drugs for the disease. For each of 2001 and 2002, the Company received $300,000, of which $150,367 represents the Company’s share of the joint effort and has been recognized as revenue. The remainder, $149,633, was paid to Stanford University as its share of the joint effort each year of the grant.</w:t>
      </w:r>
    </w:p>
    <w:p>
      <w:pPr>
        <w:spacing w:after="0" w:line="85"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For this award, the Company has recognized $56,000, $225,000 and $112,000 as grant revenue for 2001, 2002 and 2003 respectively. The Company did not draw further funds in 2004 from this grant as it will no longer pursues the particular research it covered.</w:t>
      </w:r>
    </w:p>
    <w:p>
      <w:pPr>
        <w:spacing w:after="0" w:line="80"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In September 2003 the Company was awarded a one year, $342,000 Small Business Innovation Research grant from the National Institute of Neurological Disease and Stroke (NINDS), to further its work in the treatment of spinal cord injuries. For this award, the Company has recognized $143,000 and $93,000 as grant revenue for 2003 and 2004, respectively. The remaining $106,000 will go towards reimbursing a subcontractor</w:t>
      </w:r>
    </w:p>
    <w:p>
      <w:pPr>
        <w:spacing w:after="0" w:line="5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In September 2004 the Company was awarded a Small Business Technology Transfer (STTR) grant for approximately $464,000 over one and one half years for studies in Alzheimer’s disease. The grant will support joint work with Dr. George A. Carlson of the McLaughlin Research Institute (MRI) in Great Falls, Montana.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will receive $243,000 and the remainder of $221,000 will be reimbursed to MRI. The Company has recognized $26,000 as grant revenue for 2004.</w:t>
      </w:r>
    </w:p>
    <w:p>
      <w:pPr>
        <w:spacing w:after="0" w:line="16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Wind-down of Encapsulated Cell Technology Research and Development Program</w:t>
      </w:r>
    </w:p>
    <w:p>
      <w:pPr>
        <w:spacing w:after="0" w:line="12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Until mid-1999, the Company engaged in research and development in encapsulated cell therapy technology, including a pain control program funded by AstraZeneca Group plc. In June 1999 AstraZeneca terminated the collaboration, as allowed under the terms of the original collaborative agreement signed in 1995. As a result of termination, management determined in July 1999 to restructure its research operations to abandon all further encapsulated cell technology research and concentrate its resources on the research and development of its proprietary platform of stem cell technologies. The Company wound down its research and manufacturing operations in Lincoln, Rhode Island, and relocated its remaining research and development activities, and its corporate headquarters, to California, in October 1999.</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1999 the Company established a reserve for the estimated lease payments and operating costs of the Rhode Island facilities through an expected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disposal date of June 30, 2000. The Company did not fully sublet the Rhode Island facilities in 2000 and therefore made a change in estimate to accrue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expenses of $3,327,000 to cover operating lease payments, utilities, taxes, insurance, maintenance, interest and other non-employee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2001. In the year 2001 the Company paid $1,780,000 of expenses, which were recorded against the reserve. At December 31, 2001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revised its estimate and recorded an additional reserve of $575,000 as operating expenses net of subtenant income for its former corporate headquarters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Rhode Island. This reserve was based on information provided by the Company’s broker/realtor that estimated, based on assumptions relevant to the real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estate market conditions as of the end of 2001, the time it would be likely to take until the facility would be fully sub-leased. In 2002, the Company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$964,000 in operating expenses for this facility, of which $575,000 was booked against the reserve created at the end of 2001 and the remainder recorded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wind-down expenses. At the end of December 2002 based on an analysis of the real estate market conditions at that time the Company revised the reserve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$775,000. In 2003 the Company incurred $984,000 in operating expenses for this facility of which $775,000 was recorded against the reserve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remainder was recorded as wind-down expenses. At the end of 2003, after considering various factors such as the Company’s lease payments through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 of the lease, operating expenses, the current real estate market in Rhode Island, and estimated subtenant income based on occupancy both actual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projected, the Company revised the reserve at December 31, 2003 to $2,676,000. In 2004, the Company recorded $1,152,000 in operating expenses against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reserve. After evaluating the aforementioned factors, at the end of each quarter — March 31, 2004, June 30, 2004 and September 30, 2004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 the Company re-evaluated its estimate and adjusted the reserve to $2,510,000, $2,680,000, $3,743,000 and $4,350,000 respectively,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recording an additional $130,000 at March 31, 2004, $468,000 at June 30, 2004, $1,345,000 at September 30, 2004 and $883,000 at December 31, 2004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wind-down expenses. Even though it is the intent of the Company to dispose the facility at the earliest possible time, it cannot determine with certainty a fixed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by which such disposal will occur. In light of this uncertainty, based on estimates, the Company will periodically re-evaluate and adjust the reserve.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Wind-down reserve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1240"/>
              <w:spacing w:after="0"/>
              <w:rPr>
                <w:sz w:val="20"/>
                <w:szCs w:val="20"/>
                <w:color w:val="auto"/>
              </w:rPr>
            </w:pPr>
            <w:r>
              <w:rPr>
                <w:rFonts w:ascii="Arial" w:cs="Arial" w:eastAsia="Arial" w:hAnsi="Arial"/>
                <w:sz w:val="14"/>
                <w:szCs w:val="14"/>
                <w:b w:val="1"/>
                <w:bCs w:val="1"/>
                <w:color w:val="auto"/>
              </w:rPr>
              <w:t>Period Covered</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January to</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7"/>
              </w:rPr>
              <w:t>April to</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2"/>
          </w:tcPr>
          <w:p>
            <w:pPr>
              <w:jc w:val="center"/>
              <w:ind w:right="660"/>
              <w:spacing w:after="0" w:line="133" w:lineRule="exact"/>
              <w:rPr>
                <w:sz w:val="20"/>
                <w:szCs w:val="20"/>
                <w:color w:val="auto"/>
              </w:rPr>
            </w:pPr>
            <w:r>
              <w:rPr>
                <w:rFonts w:ascii="Arial" w:cs="Arial" w:eastAsia="Arial" w:hAnsi="Arial"/>
                <w:sz w:val="14"/>
                <w:szCs w:val="14"/>
                <w:b w:val="1"/>
                <w:bCs w:val="1"/>
                <w:color w:val="auto"/>
                <w:w w:val="92"/>
              </w:rPr>
              <w:t>July to</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3"/>
              </w:rPr>
              <w:t>October to</w:t>
            </w:r>
          </w:p>
        </w:tc>
        <w:tc>
          <w:tcPr>
            <w:tcW w:w="4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June 30,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2004</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2004</w:t>
            </w:r>
          </w:p>
        </w:tc>
        <w:tc>
          <w:tcPr>
            <w:tcW w:w="42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wind-down reserve at beginning of</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2,676,000</w:t>
            </w:r>
          </w:p>
        </w:tc>
        <w:tc>
          <w:tcPr>
            <w:tcW w:w="3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2,510,000</w:t>
            </w:r>
          </w:p>
        </w:tc>
        <w:tc>
          <w:tcPr>
            <w:tcW w:w="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2,680,000</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3,743,000</w:t>
            </w: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7"/>
              </w:rPr>
              <w:t>Less actual expenses recorded against estimated</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reserve during the period</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(296,000)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(298,000)</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(282,000)</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(276,000)</w:t>
            </w: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Additional expense recorded to revise estimated</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reserve at period-end</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130,000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468,000</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1,345,000</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883,000</w:t>
            </w: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2,680,000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3,743,000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4,350,000</w:t>
            </w:r>
          </w:p>
        </w:tc>
        <w:tc>
          <w:tcPr>
            <w:tcW w:w="4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 end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1,162,000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1,178,000</w:t>
            </w:r>
          </w:p>
        </w:tc>
      </w:tr>
      <w:tr>
        <w:trPr>
          <w:trHeight w:val="209"/>
        </w:trPr>
        <w:tc>
          <w:tcPr>
            <w:tcW w:w="3880" w:type="dxa"/>
            <w:vAlign w:val="bottom"/>
            <w:gridSpan w:val="2"/>
          </w:tcPr>
          <w:p>
            <w:pPr>
              <w:spacing w:after="0"/>
              <w:rPr>
                <w:sz w:val="20"/>
                <w:szCs w:val="20"/>
                <w:color w:val="auto"/>
              </w:rPr>
            </w:pPr>
            <w:r>
              <w:rPr>
                <w:rFonts w:ascii="Arial" w:cs="Arial" w:eastAsia="Arial" w:hAnsi="Arial"/>
                <w:sz w:val="18"/>
                <w:szCs w:val="18"/>
                <w:color w:val="auto"/>
                <w:w w:val="98"/>
              </w:rPr>
              <w:t>Total accrued wind-down expenses at period-end</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(current and non current portion)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3,665,000</w:t>
            </w:r>
          </w:p>
        </w:tc>
        <w:tc>
          <w:tcPr>
            <w:tcW w:w="320" w:type="dxa"/>
            <w:vAlign w:val="bottom"/>
          </w:tcPr>
          <w:p>
            <w:pPr>
              <w:spacing w:after="0"/>
              <w:rPr>
                <w:sz w:val="20"/>
                <w:szCs w:val="20"/>
                <w:color w:val="auto"/>
              </w:rPr>
            </w:pP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3,842,000</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4,913,000</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5,528,000</w:t>
            </w:r>
          </w:p>
        </w:tc>
      </w:tr>
      <w:tr>
        <w:trPr>
          <w:trHeight w:val="28"/>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Current Portion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729,000</w:t>
            </w:r>
          </w:p>
        </w:tc>
        <w:tc>
          <w:tcPr>
            <w:tcW w:w="320" w:type="dxa"/>
            <w:vAlign w:val="bottom"/>
          </w:tcPr>
          <w:p>
            <w:pPr>
              <w:spacing w:after="0"/>
              <w:rPr>
                <w:sz w:val="18"/>
                <w:szCs w:val="18"/>
                <w:color w:val="auto"/>
              </w:rPr>
            </w:pP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993,000</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1,039,000</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1,013,000</w:t>
            </w: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 current portion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2,849,000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3,874,000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4,515,000</w:t>
            </w: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Total Accrued wind-down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3,842,000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4,913,000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5,528,000</w:t>
            </w:r>
          </w:p>
        </w:tc>
        <w:tc>
          <w:tcPr>
            <w:tcW w:w="4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Consulting Arrangements</w:t>
      </w:r>
    </w:p>
    <w:p>
      <w:pPr>
        <w:spacing w:after="0" w:line="121" w:lineRule="exact"/>
        <w:rPr>
          <w:sz w:val="20"/>
          <w:szCs w:val="20"/>
          <w:color w:val="auto"/>
        </w:rPr>
      </w:pPr>
    </w:p>
    <w:p>
      <w:pPr>
        <w:ind w:right="80" w:firstLine="270"/>
        <w:spacing w:after="0" w:line="269" w:lineRule="auto"/>
        <w:rPr>
          <w:sz w:val="20"/>
          <w:szCs w:val="20"/>
          <w:color w:val="auto"/>
        </w:rPr>
      </w:pPr>
      <w:r>
        <w:rPr>
          <w:rFonts w:ascii="Arial" w:cs="Arial" w:eastAsia="Arial" w:hAnsi="Arial"/>
          <w:sz w:val="17"/>
          <w:szCs w:val="17"/>
          <w:color w:val="auto"/>
        </w:rPr>
        <w:t>In September 1997, the Company entered into consulting arrangements with the principal scientific founders of StemCells California, Dr. Irving Weissman, Dr. Fred H. Gage and Dr. David Anderson and with Dr. Richard M. Rose, then President and CEO of the StemCells California.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 Dr. Anderson, the Company recorded deferred compensation of $1,750,000, the fair value of such options at the date of grant, which will be amortized over an eight-year period. For Dr. Anderson’s options the Company recorded an expense of $62,000, $49,000 and $50,000 for the years 2004, 2003 and 2002 respectively. The deferred compensation expense associated with the unvested portion of Dr. Anderson’s grants as of December 31, 2004 was $807,000. The fair value was determined using the Black-Scholes method.</w:t>
      </w:r>
    </w:p>
    <w:p>
      <w:pPr>
        <w:spacing w:after="0" w:line="72" w:lineRule="exact"/>
        <w:rPr>
          <w:sz w:val="20"/>
          <w:szCs w:val="20"/>
          <w:color w:val="auto"/>
        </w:rPr>
      </w:pPr>
    </w:p>
    <w:p>
      <w:pPr>
        <w:ind w:right="380" w:firstLine="270"/>
        <w:spacing w:after="0" w:line="291" w:lineRule="auto"/>
        <w:rPr>
          <w:sz w:val="20"/>
          <w:szCs w:val="20"/>
          <w:color w:val="auto"/>
        </w:rPr>
      </w:pPr>
      <w:r>
        <w:rPr>
          <w:rFonts w:ascii="Arial" w:cs="Arial" w:eastAsia="Arial" w:hAnsi="Arial"/>
          <w:sz w:val="16"/>
          <w:szCs w:val="16"/>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w:t>
      </w:r>
    </w:p>
    <w:p>
      <w:pPr>
        <w:ind w:right="220"/>
        <w:spacing w:after="0" w:line="302" w:lineRule="auto"/>
        <w:rPr>
          <w:sz w:val="20"/>
          <w:szCs w:val="20"/>
          <w:color w:val="auto"/>
        </w:rPr>
      </w:pPr>
      <w:r>
        <w:rPr>
          <w:rFonts w:ascii="Arial" w:cs="Arial" w:eastAsia="Arial" w:hAnsi="Arial"/>
          <w:sz w:val="16"/>
          <w:szCs w:val="16"/>
          <w:color w:val="auto"/>
        </w:rPr>
        <w:t>300,000 shares will vest at 50,000 per year on September 25, until September 25, 2005, when the final 100,000 shares will vest. The exercise price remains $5.25 per share. The Company recorded an expense of $305,000, $164,000 and a recovery of $419,000 for the years 2004, 2003 and 2002 respectively, as compensation expense for the fair market value of the vested portion of such options in an amount determined using the Black-Scholes method.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deferred compensation expense associated with the unvested portion of the grants was determined to be approximately $79,000 at December 31, 2004. As part of the revision of the options, Drs. Weissman and Gage relinquished all rights under an agreement by whose terms they had the right to license the non-brain stem cell technology in exchange for a payment to the Company equal to all prior funding for such research plus royalty payments. The Company plans to revalue the options using the Black-Scholes method on a quarterly basis and recognize additional or reduced compensation expense accordingly.</w:t>
      </w:r>
    </w:p>
    <w:p>
      <w:pPr>
        <w:spacing w:after="0" w:line="15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Sale of Common Stock</w:t>
      </w:r>
    </w:p>
    <w:p>
      <w:pPr>
        <w:spacing w:after="0" w:line="117"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On August 23, 2002, the Company entered into an agreement with Triton West Group, Inc. (Triton) pursuant to which the Company sold 1,028,038 shares of common stock to Triton for aggregate proceeds of $1,100,000, or approximately $1.07 per share.</w:t>
      </w:r>
    </w:p>
    <w:p>
      <w:pPr>
        <w:spacing w:after="0" w:line="62"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On May 7, 2003, the Company entered into a stock purchase agreement with Riverview, under which Riverview agreed to purchase 4 million shares of the Company’s common stock for $6.5 million, or $1.625 per share. On the date of the agreement, the sale price was above the trading price of the Company’s common stock, which closed at $1.43 per share on that date. The Company also agreed to issue a 2-year warrant to Riverview to purchase 1,898,000 shares of common stock at $1.50 per share. The exercise price is subject to adjustment for stock splits, dividends, distributions, reclassifications and similar events. On May 15, 2003 the Company issued the purchased shares and the warrant, and registered the resale of the purchased shares and the shares underlying the warrant. The exercise price may be below the trading market price at the time of the exercise. In the event that certain conditions are met, including the closing sale price of the Common Stock remaining at or above $2.50 per share for 10 consecutive trading days, the Company may require Riverview to exercise the warrant for any remaining shares or to relinquish any unexercised portion. On November 11, 2003, Riverview exercised part of the warrant acquiring 1,098,000 shares at $1.50 per share. The proceeds to the Company from this warrant exercise totaled $1,647,000. The warrant is exercisable for the remaining 800,000 shares until April 8, 2005, subject to the Company’s right to require exercise or forfeiture as described above.</w:t>
      </w:r>
    </w:p>
    <w:p>
      <w:pPr>
        <w:spacing w:after="0" w:line="6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On December 10, 2003 the Company completed a $9.5 million financing transaction with Riverview through the sale of 5 million shares of common stock at a price of $1.90 per share.</w:t>
      </w:r>
    </w:p>
    <w:p>
      <w:pPr>
        <w:spacing w:after="0" w:line="62" w:lineRule="exact"/>
        <w:rPr>
          <w:sz w:val="20"/>
          <w:szCs w:val="20"/>
          <w:color w:val="auto"/>
        </w:rPr>
      </w:pPr>
    </w:p>
    <w:p>
      <w:pPr>
        <w:ind w:right="60" w:firstLine="270"/>
        <w:spacing w:after="0" w:line="271" w:lineRule="auto"/>
        <w:rPr>
          <w:sz w:val="20"/>
          <w:szCs w:val="20"/>
          <w:color w:val="auto"/>
        </w:rPr>
      </w:pPr>
      <w:r>
        <w:rPr>
          <w:rFonts w:ascii="Arial" w:cs="Arial" w:eastAsia="Arial" w:hAnsi="Arial"/>
          <w:sz w:val="17"/>
          <w:szCs w:val="17"/>
          <w:color w:val="auto"/>
        </w:rPr>
        <w:t>In June 2004, the Company entered into an agreement with institutional and other accredited investors with respect to the private placement of approximately 13,160,000 shares of its common stock at a purchase price of $1.52 per share, for gross proceeds of approximately $20,000,000. Investors also received warrants exercisable for five years to purchase approximately 3.3 million shares of common stock at an exercise price of $1.90 per share. During the period October 2004 to December 2004, 306,525 of these warrants were exercised to purchase an aggregate of 306,525 shares of the Company’s common stock at $1.90 per share. The Company issued 306,525 shares of its common stock and received proceeds of $582,000. C.E. Unterberg, Towbin LLC (Unterberg) served as placement agent for the transaction. For acting as the Company’s placement agent, Unterberg received fees totaling $1,200,000, expense reimbursement of approximately $25,000 and a five year warrant, with a fair value of $810,656, to purchase 526,400 shares of the Company’s common stock at an exercise price of $1.89 per share.</w:t>
      </w:r>
    </w:p>
    <w:p>
      <w:pPr>
        <w:spacing w:after="0" w:line="71"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In October 2004, the Company entered into agreements with institutional investors with respect to the registered direct placement of 7,500,000 shares of its common stock at a purchase price of $3.00 per share, for gross proceeds of $22,500,000. Unterberg and Shoreline Pacific, LLC (Shoreline) served as placement agents for the transaction. For acting as the Company’s placement agent, Unterberg and Shoreline received fees totaling $1,350,000 and expense reimbursement of approximately $40,000.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 Line</w:t>
      </w:r>
    </w:p>
    <w:p>
      <w:pPr>
        <w:spacing w:after="0" w:line="11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On May 10, 2001, the Company entered into a common stock purchase agreement with Sativum Investments Limited for the potential future issuance and sale of up to $30,000,000 of the Company’s common stock, subject to restrictions and other obligations. Under the agreement, which expired in January 2004, the Company had the right to draw down on the facility, from time to time, and Sativum was obligated to purchase shares of the Company’s common stock at a 6% discount to a volume weighted average market price over the 20 trading days following the draw-down notice. There was neither a requirement that the Company draw on the facility nor a penalty for not doing so. The Company was limited with respect to how often it could exercise a draw down and the amount of each draw down.</w:t>
      </w:r>
    </w:p>
    <w:p>
      <w:pPr>
        <w:spacing w:after="0" w:line="85" w:lineRule="exact"/>
        <w:rPr>
          <w:sz w:val="20"/>
          <w:szCs w:val="20"/>
          <w:color w:val="auto"/>
        </w:rPr>
      </w:pPr>
    </w:p>
    <w:p>
      <w:pPr>
        <w:ind w:right="140" w:firstLine="270"/>
        <w:spacing w:after="0" w:line="293" w:lineRule="auto"/>
        <w:rPr>
          <w:sz w:val="20"/>
          <w:szCs w:val="20"/>
          <w:color w:val="auto"/>
        </w:rPr>
      </w:pPr>
      <w:r>
        <w:rPr>
          <w:rFonts w:ascii="Arial" w:cs="Arial" w:eastAsia="Arial" w:hAnsi="Arial"/>
          <w:sz w:val="16"/>
          <w:szCs w:val="16"/>
          <w:color w:val="auto"/>
        </w:rPr>
        <w:t>In connection with the Company’s execution of the common stock purchase agreement with Sativum, the Company issued three three-year warrants to purchase an aggregate of 350,000 shares of the Company’s common stock at $2.38 per share to Sativum (250,000 shares), and to the placement agents: Pacific Crest Securities Inc. (75,000 shares) and Granite Financial Group, Inc. (25,000 shares). The placement agents have exercised their warrants in full, and the Company received payment of $238,050 for the shares issued to them in July 2001. The Company has valued the warrants using the Black-Scholes method and recorded the fair value in stockholders’ equity. These amounts are $522,500, $167,750 and $55,250 respectively. The exercise price and number of shares are subject to adjustment for subdivisions, combinations, stock dividends and reorganizations.</w:t>
      </w:r>
    </w:p>
    <w:p>
      <w:pPr>
        <w:spacing w:after="0" w:line="57" w:lineRule="exact"/>
        <w:rPr>
          <w:sz w:val="20"/>
          <w:szCs w:val="20"/>
          <w:color w:val="auto"/>
        </w:rPr>
      </w:pPr>
    </w:p>
    <w:p>
      <w:pPr>
        <w:ind w:right="240" w:firstLine="267"/>
        <w:spacing w:after="0" w:line="342" w:lineRule="auto"/>
        <w:rPr>
          <w:sz w:val="20"/>
          <w:szCs w:val="20"/>
          <w:color w:val="auto"/>
        </w:rPr>
      </w:pPr>
      <w:r>
        <w:rPr>
          <w:rFonts w:ascii="Arial" w:cs="Arial" w:eastAsia="Arial" w:hAnsi="Arial"/>
          <w:sz w:val="16"/>
          <w:szCs w:val="16"/>
          <w:color w:val="auto"/>
        </w:rPr>
        <w:t>The Company did draw down $4,000,000 by issuance of 707,947 shares in July of 2001, $118,000 by issuance of 107,812 shares in December of 2002, $66,000 by issuance of 58,516 shares in January of 2003, and $375,000 by issuance of 245,472 shares in May of 2003, before applicable fees.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3% Cumulative Redeemable Convertible Preferred Stock</w:t>
      </w:r>
    </w:p>
    <w:p>
      <w:pPr>
        <w:spacing w:after="0" w:line="117"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was convertible into shares of the Company’s common stock at a conversion price of $2.00 per share at the option of Riverview Group mandatory redemption feature requiring the Company to redeem unconverted preferred stock on December 4, 2003. The conversion price of $2 per share was subject to adjustment for stock splits, dividends, distributions, reclassifications and similar events. The final closing price of the Company’s common stock on the NASDAQ National Market on the December 4, 2001 commitment date was $2.90 per share. The Company valued the warrants and the beneficial conversion feature reflecting the December 4, 2001 commitment date and the most beneficial per share discount available to the preferred shareholders. As the preferred shares contained a stated redemption, such value of $3,185,000, including issuance costs of $272,485, was recorded as a discount to the preferred shares. The preferred shares were accreted to the mandatory redemption amount and the accretion resulted in a deemed dividend. The deemed dividend has been reflected as an adjustment to net loss applicable to common stockholders. The holders of the preferred stock had liquidation rights equal to their original investment plus accrued but unpaid dividends. Dividends due on the shares of the preferred stock outstanding on a Dividend Payment Date (June 30 and December 31) could be paid in the Company’s common stock if the Company so elected by those dates. The Company did elect to pay the dividends in stock, and did so by issuing 38,313 shares of stock on July 3, 2002, 59,656 shares on December 23, 2002 and 17,935 shares June 30, 2003, valued at approximately $60,000, $69,000 and $30,000 respectively.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Riverview Group converted all of its holdings of the Company’s 3% cumulative convertible preferred stock as follows:</w:t>
      </w:r>
    </w:p>
    <w:p>
      <w:pPr>
        <w:spacing w:after="0" w:line="117" w:lineRule="exact"/>
        <w:rPr>
          <w:sz w:val="20"/>
          <w:szCs w:val="20"/>
          <w:color w:val="auto"/>
        </w:rPr>
      </w:pPr>
    </w:p>
    <w:p>
      <w:pPr>
        <w:ind w:left="460" w:right="200" w:hanging="101"/>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December 7, 2001, 1,000 shares of the 3% cumulative convertible preferred stock were converted into 500,125 shares of the Company’s common stock.</w:t>
      </w:r>
    </w:p>
    <w:p>
      <w:pPr>
        <w:spacing w:after="0" w:line="75" w:lineRule="exact"/>
        <w:rPr>
          <w:rFonts w:ascii="Arial" w:cs="Arial" w:eastAsia="Arial" w:hAnsi="Arial"/>
          <w:sz w:val="18"/>
          <w:szCs w:val="18"/>
          <w:color w:val="auto"/>
        </w:rPr>
      </w:pPr>
    </w:p>
    <w:p>
      <w:pPr>
        <w:ind w:left="460" w:hanging="101"/>
        <w:spacing w:after="0" w:line="25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April 9, 2003, the Company agreed with Riverview to reduce the conversion price to $0.80 per share for a period of 20 trading days. Riverview immediately agreed to convert 2,000 shares with a face value of $2 million, at the reduced price. Riverview received 2,521,041 shares of common stock upon conversion, which includes 21,041 shares valued at $16,833 as accrued dividends. As a result of the change in the conversion price, the Company recorded a deemed dividend to preferred shareholders related to the beneficial conversion feature of approximately $1,000,000 in the second quarter of 2003.</w:t>
      </w:r>
    </w:p>
    <w:p>
      <w:pPr>
        <w:spacing w:after="0" w:line="93" w:lineRule="exact"/>
        <w:rPr>
          <w:rFonts w:ascii="Arial" w:cs="Arial" w:eastAsia="Arial" w:hAnsi="Arial"/>
          <w:sz w:val="18"/>
          <w:szCs w:val="18"/>
          <w:color w:val="auto"/>
        </w:rPr>
      </w:pPr>
    </w:p>
    <w:p>
      <w:pPr>
        <w:ind w:left="460" w:right="180" w:hanging="101"/>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November 11, 2003, Riverview converted the remaining 2,000 shares of its 3% cumulative convertible preferred stock for 1,010,833 shares of the Company’s common stock, which includes 10,833 shares valued at $21,666 as accrued dividends.</w:t>
      </w:r>
    </w:p>
    <w:p>
      <w:pPr>
        <w:spacing w:after="0" w:line="62" w:lineRule="exact"/>
        <w:rPr>
          <w:sz w:val="20"/>
          <w:szCs w:val="20"/>
          <w:color w:val="auto"/>
        </w:rPr>
      </w:pPr>
    </w:p>
    <w:p>
      <w:pPr>
        <w:ind w:right="200" w:firstLine="267"/>
        <w:spacing w:after="0" w:line="342" w:lineRule="auto"/>
        <w:rPr>
          <w:sz w:val="20"/>
          <w:szCs w:val="20"/>
          <w:color w:val="auto"/>
        </w:rPr>
      </w:pPr>
      <w:r>
        <w:rPr>
          <w:rFonts w:ascii="Arial" w:cs="Arial" w:eastAsia="Arial" w:hAnsi="Arial"/>
          <w:sz w:val="16"/>
          <w:szCs w:val="16"/>
          <w:color w:val="auto"/>
        </w:rPr>
        <w:t>The Company recorded deemed dividends related to the 3% cumulative convertible preferred stock of $2,065,911 and $1,280,004 in 2003 and 2002. As all of the 3% cumulative convertible preferred stock was converted prior to December 31, 2003, no deemed dividends were recorded in 2004.</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6% Cumulative Convertible Preferred Stock</w:t>
      </w:r>
    </w:p>
    <w:p>
      <w:pPr>
        <w:spacing w:after="0" w:line="117" w:lineRule="exact"/>
        <w:rPr>
          <w:sz w:val="20"/>
          <w:szCs w:val="20"/>
          <w:color w:val="auto"/>
        </w:rPr>
      </w:pPr>
    </w:p>
    <w:p>
      <w:pPr>
        <w:ind w:right="140" w:firstLine="270"/>
        <w:spacing w:after="0" w:line="272" w:lineRule="auto"/>
        <w:rPr>
          <w:sz w:val="20"/>
          <w:szCs w:val="20"/>
          <w:color w:val="auto"/>
        </w:rPr>
      </w:pPr>
      <w:r>
        <w:rPr>
          <w:rFonts w:ascii="Arial" w:cs="Arial" w:eastAsia="Arial" w:hAnsi="Arial"/>
          <w:sz w:val="17"/>
          <w:szCs w:val="17"/>
          <w:color w:val="auto"/>
        </w:rPr>
        <w:t>On April 13, 2000 the Company issued 1,500 shares of 6% cumulative convertible preferred stock plus a warrant for 75,000 shares of common stock to two members of its Board of Directors for $1,500,000 on terms more favorable to the Company than it was then able to obtain from outside investors. The shares were initially convertible at the option of the holders into common stock at $3.77 per share (based on the face value of the preferred shares). The conversion price was subject to adjustment upon certain equity transactions, as defined by the applicable agreement. The Company valued the beneficial conversion feature reflecting the April 13, 2000 commitment date and the most beneficial per share discount available to the preferred shareholders. Such value was $481,000 and was treated as a deemed dividend as of the commitment date. The holders of the preferred stock had liquidation rights equal to their original investment plus accrued but unpaid dividends.</w:t>
      </w:r>
    </w:p>
    <w:p>
      <w:pPr>
        <w:spacing w:after="0" w:line="70" w:lineRule="exact"/>
        <w:rPr>
          <w:sz w:val="20"/>
          <w:szCs w:val="20"/>
          <w:color w:val="auto"/>
        </w:rPr>
      </w:pPr>
    </w:p>
    <w:p>
      <w:pPr>
        <w:ind w:right="80" w:firstLine="270"/>
        <w:spacing w:after="0" w:line="312" w:lineRule="auto"/>
        <w:rPr>
          <w:sz w:val="20"/>
          <w:szCs w:val="20"/>
          <w:color w:val="auto"/>
        </w:rPr>
      </w:pPr>
      <w:r>
        <w:rPr>
          <w:rFonts w:ascii="Arial" w:cs="Arial" w:eastAsia="Arial" w:hAnsi="Arial"/>
          <w:sz w:val="16"/>
          <w:szCs w:val="16"/>
          <w:color w:val="auto"/>
        </w:rPr>
        <w:t>During the first and second quarters of 2001, the conversion price was reduced as a result of the issuance of adjustable warrants to Millennium LP, as described above. The Company revalued the beneficial conversion feature reflecting the reduced conversion prices and the most beneficial per share discount available to the preferred shareholders and recorded additional deemed dividends aggregating $802,000 as of the applicable reset dates.</w:t>
      </w:r>
    </w:p>
    <w:p>
      <w:pPr>
        <w:spacing w:after="0" w:line="39"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On June 7, 2002, one of the preferred stockholders converted 750 shares of 6% cumulative convertible preferred stock plus accumulated dividends, at an effective conversion price of $1.94 per share for 439,442 shares of common stock. On October 4, 2002, the remaining 750 shares, which were held by the other preferred shareholder, together with accumulated dividends, converted automatically at the then-effective conversion price of $1.07 to 812,802 shares of common stock. The accumulated dividends were paid in common stock with a value of $222,457. No 6% cumulative convertible preferred stock outstanding as of December 31, 2004.</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Issued For Technology Licenses</w:t>
      </w:r>
    </w:p>
    <w:p>
      <w:pPr>
        <w:spacing w:after="0" w:line="117"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Under a 1997 License Agreement with NeuroSpheres, Ltd., the Company obtained an exclusive patent license in the field of transplantation. The Company entered into an additional license agreement with NeuroSpheres as of October 31, 2000, under which the Company obtained an exclusive license in the field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non-transplant uses, such as drug discovery and drug testing, so that together the licenses are exclusive for all uses of the technology. The Company made up-front payments to NeuroSpheres of 65,000 shares of its common stock and $50,000, and will make additional cash payments when milestones are achieved. Effective in 2004, the Company began making annual $50,000 payments, creditable against royalties.</w:t>
      </w:r>
    </w:p>
    <w:p>
      <w:pPr>
        <w:spacing w:after="0" w:line="57"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Pursuant to the terms of a license agreement with the California Institute of Technology (Cal Tech) and the Company’s acquisition of its wholly owned subsidiary, StemCells California, StemCells issued 14,513 shares of common stock to Cal Tech. The Company issued an additional 12,800 shares of common stock to Cal Tech with a market value of approximately $40,000 in May 2000, upon execution of an amendment adding four families of patent applications to the license agreement. The Company must pay an additional $10,000 upon the issuance of each of the four patents licensed under the amended agreement. These amounts are creditable against royalties the Company must pay under the license agreements. The maximum royalties that the Company will have to pay to the California Institute of Technology will be $2 million per year, with an overall maximum of $15 million. Once the Company pays the $15 million maximum royalty, the licenses will become fully paid and irrevocable. In August 2002 the Company acquired an additional license from Cal Tech to a different technology, pursuant to which the Company issued 27,535 shares of its common stock with a market value of approximately $35,000; the Company also issued 9,535 shares of its common stock with a market value of approximately $15,000 to Cal Tech on the issuance of two patents covered under this additional license.</w:t>
      </w:r>
    </w:p>
    <w:p>
      <w:pPr>
        <w:spacing w:after="0" w:line="70" w:lineRule="exact"/>
        <w:rPr>
          <w:sz w:val="20"/>
          <w:szCs w:val="20"/>
          <w:color w:val="auto"/>
        </w:rPr>
      </w:pPr>
    </w:p>
    <w:p>
      <w:pPr>
        <w:ind w:right="220" w:firstLine="270"/>
        <w:spacing w:after="0" w:line="342" w:lineRule="auto"/>
        <w:rPr>
          <w:sz w:val="20"/>
          <w:szCs w:val="20"/>
          <w:color w:val="auto"/>
        </w:rPr>
      </w:pPr>
      <w:r>
        <w:rPr>
          <w:rFonts w:ascii="Arial" w:cs="Arial" w:eastAsia="Arial" w:hAnsi="Arial"/>
          <w:sz w:val="16"/>
          <w:szCs w:val="16"/>
          <w:color w:val="auto"/>
        </w:rPr>
        <w:t>In December 2004, the Company made part payment of $2,833 in stock (1,816 shares) as part of an option agreement with the Board of Trustees of the Leland Stanford Junior University to acquire an exclusive license to an invention. The remainder of the option fee ($7,167) was paid in cash.</w:t>
      </w:r>
    </w:p>
    <w:p>
      <w:pPr>
        <w:spacing w:after="0" w:line="16" w:lineRule="exact"/>
        <w:rPr>
          <w:sz w:val="20"/>
          <w:szCs w:val="20"/>
          <w:color w:val="auto"/>
        </w:rPr>
      </w:pPr>
    </w:p>
    <w:p>
      <w:pPr>
        <w:jc w:val="both"/>
        <w:ind w:right="40" w:firstLine="270"/>
        <w:spacing w:after="0" w:line="279" w:lineRule="auto"/>
        <w:rPr>
          <w:sz w:val="20"/>
          <w:szCs w:val="20"/>
          <w:color w:val="auto"/>
        </w:rPr>
      </w:pPr>
      <w:r>
        <w:rPr>
          <w:rFonts w:ascii="Arial" w:cs="Arial" w:eastAsia="Arial" w:hAnsi="Arial"/>
          <w:sz w:val="17"/>
          <w:szCs w:val="17"/>
          <w:color w:val="auto"/>
        </w:rPr>
        <w:t>Upon entering a license agreement with the Oregon Health Sciences University (OHSU) in March 1997, the Company issued it 4,838 shares of common stock and an option to purchase up to 62,888 additional shares to OHSU with an exercise price of $.01 per share. The option has vested as to 9,675 shares for which shares were issued on March 31, 2002; the remaining option was terminated and the Company issued 4,000 shares of its common stock, with a market value of approximately $3,900, to OHSU in January 2003, pursuant to an amendment to the license agreement.</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The Company has adopted several stock plans that provide for the issuance of incentive and nonqualified stock options, various stock and performance awards and stock appreciation rights, at prices to be determined by the Board of Directors. In the case of incentive stock options, such price will not be less than the fair market value on the date of grant. Options granted to employees generally vest ratably over four years and are exercisable for ten years from the date of grant or within three months of termination. The Company has paid its directors and some of its consultants in below-market options or in stock awards from its stock plans.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combined activity of the Company’s stock option plans for the years ended December 31: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1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1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09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1"/>
                <w:szCs w:val="11"/>
                <w:color w:val="auto"/>
              </w:rPr>
            </w:pPr>
          </w:p>
        </w:tc>
        <w:tc>
          <w:tcPr>
            <w:tcW w:w="12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Weighted Average</w:t>
            </w:r>
          </w:p>
        </w:tc>
        <w:tc>
          <w:tcPr>
            <w:tcW w:w="580" w:type="dxa"/>
            <w:vAlign w:val="bottom"/>
          </w:tcPr>
          <w:p>
            <w:pPr>
              <w:spacing w:after="0"/>
              <w:rPr>
                <w:sz w:val="11"/>
                <w:szCs w:val="11"/>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1"/>
                <w:szCs w:val="11"/>
                <w:color w:val="auto"/>
              </w:rPr>
            </w:pPr>
          </w:p>
        </w:tc>
        <w:tc>
          <w:tcPr>
            <w:tcW w:w="12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Weighted Average</w:t>
            </w:r>
          </w:p>
        </w:tc>
        <w:tc>
          <w:tcPr>
            <w:tcW w:w="580" w:type="dxa"/>
            <w:vAlign w:val="bottom"/>
          </w:tcPr>
          <w:p>
            <w:pPr>
              <w:spacing w:after="0"/>
              <w:rPr>
                <w:sz w:val="11"/>
                <w:szCs w:val="11"/>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0"/>
              </w:rPr>
              <w:t>Weighted Average</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Exercise Price</w:t>
            </w:r>
          </w:p>
        </w:tc>
        <w:tc>
          <w:tcPr>
            <w:tcW w:w="1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Exercise Price</w:t>
            </w:r>
          </w:p>
        </w:tc>
        <w:tc>
          <w:tcPr>
            <w:tcW w:w="1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at January</w:t>
            </w: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5,025,374</w:t>
            </w:r>
          </w:p>
        </w:tc>
        <w:tc>
          <w:tcPr>
            <w:tcW w:w="1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4,294,050</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3,652,560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1,932,772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1.92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1,125,161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1.25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1,041,478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(152,673)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(97,233)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0.31</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(47,587)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Canceled</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(123,272)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3.49</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(296,604)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2.34</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(352,401)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at</w:t>
            </w: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6,682,201</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5,025,374</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4,294,050</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96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December 31</w:t>
            </w:r>
          </w:p>
        </w:tc>
        <w:tc>
          <w:tcPr>
            <w:tcW w:w="920" w:type="dxa"/>
            <w:vAlign w:val="bottom"/>
          </w:tcPr>
          <w:p>
            <w:pPr>
              <w:jc w:val="right"/>
              <w:spacing w:after="0"/>
              <w:rPr>
                <w:sz w:val="20"/>
                <w:szCs w:val="20"/>
                <w:color w:val="auto"/>
              </w:rPr>
            </w:pPr>
            <w:r>
              <w:rPr>
                <w:rFonts w:ascii="Arial" w:cs="Arial" w:eastAsia="Arial" w:hAnsi="Arial"/>
                <w:sz w:val="18"/>
                <w:szCs w:val="18"/>
                <w:color w:val="auto"/>
              </w:rPr>
              <w:t>3,687,243</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2.98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3,048,940</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3.11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2,378,778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weighted average price and life information about significant option groups outstanding at December 31, 2004: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Weighted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Range of</w:t>
            </w:r>
          </w:p>
        </w:tc>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18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Exercise</w:t>
            </w:r>
          </w:p>
        </w:tc>
        <w:tc>
          <w:tcPr>
            <w:tcW w:w="1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Exercise Prices</w:t>
            </w:r>
          </w:p>
        </w:tc>
        <w:tc>
          <w:tcPr>
            <w:tcW w:w="280" w:type="dxa"/>
            <w:vAlign w:val="bottom"/>
          </w:tcPr>
          <w:p>
            <w:pPr>
              <w:spacing w:after="0"/>
              <w:rPr>
                <w:sz w:val="15"/>
                <w:szCs w:val="15"/>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Life (Yrs.)</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560" w:type="dxa"/>
            <w:vAlign w:val="bottom"/>
          </w:tcPr>
          <w:p>
            <w:pPr>
              <w:spacing w:after="0"/>
              <w:rPr>
                <w:sz w:val="15"/>
                <w:szCs w:val="15"/>
                <w:color w:val="auto"/>
              </w:rPr>
            </w:pP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Exercisable</w:t>
            </w: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$2.00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3,280,665</w:t>
            </w: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1.21</w:t>
            </w: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1,377,152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$2.00 - $3.99</w:t>
            </w: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1,676,597</w:t>
            </w:r>
          </w:p>
        </w:tc>
        <w:tc>
          <w:tcPr>
            <w:tcW w:w="1820" w:type="dxa"/>
            <w:vAlign w:val="bottom"/>
            <w:gridSpan w:val="3"/>
          </w:tcPr>
          <w:p>
            <w:pPr>
              <w:jc w:val="right"/>
              <w:ind w:right="340"/>
              <w:spacing w:after="0"/>
              <w:rPr>
                <w:sz w:val="20"/>
                <w:szCs w:val="20"/>
                <w:color w:val="auto"/>
              </w:rPr>
            </w:pPr>
            <w:r>
              <w:rPr>
                <w:rFonts w:ascii="Arial" w:cs="Arial" w:eastAsia="Arial" w:hAnsi="Arial"/>
                <w:sz w:val="18"/>
                <w:szCs w:val="18"/>
                <w:color w:val="auto"/>
              </w:rPr>
              <w:t>7.55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2.89</w:t>
            </w:r>
          </w:p>
        </w:tc>
        <w:tc>
          <w:tcPr>
            <w:tcW w:w="1840" w:type="dxa"/>
            <w:vAlign w:val="bottom"/>
            <w:gridSpan w:val="2"/>
          </w:tcPr>
          <w:p>
            <w:pPr>
              <w:jc w:val="right"/>
              <w:ind w:right="640"/>
              <w:spacing w:after="0"/>
              <w:rPr>
                <w:sz w:val="20"/>
                <w:szCs w:val="20"/>
                <w:color w:val="auto"/>
              </w:rPr>
            </w:pPr>
            <w:r>
              <w:rPr>
                <w:rFonts w:ascii="Arial" w:cs="Arial" w:eastAsia="Arial" w:hAnsi="Arial"/>
                <w:sz w:val="18"/>
                <w:szCs w:val="18"/>
                <w:color w:val="auto"/>
              </w:rPr>
              <w:t>964,529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$4.00 - $5.99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1,724,939</w:t>
            </w: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5.22</w:t>
            </w: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1,345,562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6,682,201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3,687,243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20" w:firstLine="267"/>
        <w:spacing w:after="0" w:line="308" w:lineRule="auto"/>
        <w:rPr>
          <w:sz w:val="20"/>
          <w:szCs w:val="20"/>
          <w:color w:val="auto"/>
        </w:rPr>
      </w:pPr>
      <w:r>
        <w:rPr>
          <w:rFonts w:ascii="Arial" w:cs="Arial" w:eastAsia="Arial" w:hAnsi="Arial"/>
          <w:sz w:val="17"/>
          <w:szCs w:val="17"/>
          <w:color w:val="auto"/>
        </w:rPr>
        <w:t>The weighted average fair value per share of options granted during 2004, 2003 and 2002 was $1.64, $0.86 and $1.15, respectively. The fair value of options at the date of grant were estimated using the Black-Scholes model with the following weighted average assumptions: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2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 rate</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3.60%</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3.29%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3.03%</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111.6%</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171.8%</w:t>
            </w: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Company has neither declared nor paid dividends on any share of its common stock and does not expect to do so in the foreseeable future.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Common Stock Reserved</w:t>
      </w:r>
    </w:p>
    <w:p>
      <w:pPr>
        <w:spacing w:after="0" w:line="117"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Company has the following shares of common stock reserved for the exercise of options, warrants and other contingent issuances of common stock, as of December 31, 2004: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exercise of stock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8,806,400</w:t>
            </w: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Shares reserved for warrants related to financing transactions</w:t>
            </w:r>
          </w:p>
        </w:tc>
        <w:tc>
          <w:tcPr>
            <w:tcW w:w="1440" w:type="dxa"/>
            <w:vAlign w:val="bottom"/>
          </w:tcPr>
          <w:p>
            <w:pPr>
              <w:jc w:val="right"/>
              <w:spacing w:after="0"/>
              <w:rPr>
                <w:sz w:val="20"/>
                <w:szCs w:val="20"/>
                <w:color w:val="auto"/>
              </w:rPr>
            </w:pPr>
            <w:r>
              <w:rPr>
                <w:rFonts w:ascii="Arial" w:cs="Arial" w:eastAsia="Arial" w:hAnsi="Arial"/>
                <w:sz w:val="18"/>
                <w:szCs w:val="18"/>
                <w:color w:val="auto"/>
              </w:rPr>
              <w:t>7,713,075</w:t>
            </w: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compensation related to external services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Shares reserved for warrants related to previously converted 6% convertible preferred stock</w:t>
            </w:r>
          </w:p>
        </w:tc>
        <w:tc>
          <w:tcPr>
            <w:tcW w:w="1440" w:type="dxa"/>
            <w:vAlign w:val="bottom"/>
          </w:tcPr>
          <w:p>
            <w:pPr>
              <w:jc w:val="right"/>
              <w:spacing w:after="0"/>
              <w:rPr>
                <w:sz w:val="20"/>
                <w:szCs w:val="20"/>
                <w:color w:val="auto"/>
              </w:rPr>
            </w:pPr>
            <w:r>
              <w:rPr>
                <w:rFonts w:ascii="Arial" w:cs="Arial" w:eastAsia="Arial" w:hAnsi="Arial"/>
                <w:sz w:val="18"/>
                <w:szCs w:val="18"/>
                <w:color w:val="auto"/>
              </w:rPr>
              <w:t>158,242</w:t>
            </w: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warrants related to previously converted 3% convertible preferred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861,345</w:t>
            </w:r>
          </w:p>
        </w:tc>
        <w:tc>
          <w:tcPr>
            <w:tcW w:w="6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Shelf reserve for possible future issuances of shares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1,471,962</w:t>
            </w:r>
          </w:p>
        </w:tc>
        <w:tc>
          <w:tcPr>
            <w:tcW w:w="6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19,211,024</w:t>
            </w: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Agreements</w:t>
      </w:r>
    </w:p>
    <w:p>
      <w:pPr>
        <w:spacing w:after="0" w:line="121"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The Company has entered various research agreements and collaborations with academic institutions. Under such arrangements, the Company is typically granted rights to the related intellectual property or an option to obtain such rights on terms to be agreed, in exchange for research funding and specified royalties on any resulting product revenue. In addition, StemCells occasionally makes grants to academic institutions to support research of interest to the Company without requesting any intellectual property interests in return.</w:t>
      </w:r>
    </w:p>
    <w:p>
      <w:pPr>
        <w:spacing w:after="0" w:line="79"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In November 1997,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$225,000 in 2000.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 The Company also entered a Sponsored Research Agreement and a License Agreement with Oregon Health Sciences University (OHSU) in March 1997, relating to other certain research concerning liver repopulating cells. Under subsequent Sponsored Research Agreements with OHSU, StemCells paid OHSU approximately $80,500 in 2000, $105,000 in 2001 and $110,000 in 2002. In addition, the Company issued 4,838 shares of common stock and an option to purchase up to 62,888 additional shares to OHSU with an exercise price of $.01 per share. The option has vested as to 9,675 shares for which shares were issued on March 31, 2002; the remaining option was terminated and the Company issued 4,000 shares of its common stock, with a market value of approximately $3,900, to OHSU in January 2003, pursuant to an amendment to the license agreement.</w:t>
      </w:r>
    </w:p>
    <w:p>
      <w:pPr>
        <w:spacing w:after="0" w:line="61"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In 2001, the Company entered into a collaboration with Stanford University to pursue certain additional research funded by the National Institutes of Health under an SBIR grant discussed above. Pursuant to agreement, the Company paid Stanford approximately $150,000 in each of 2001 and 2002. In 2002, the Company entered into a research agreement with the University of California, Irvine (Irvine), under which it paid Irvine approximately $3,200 in 2002 and $16,000 in 2003. The Company also entered a sponsored research agreement with the University of Texas Medical Branch (UTMB) under which it paid UTMB approximately $21,000 in 2002 and accrued for payment approximately $56,000 in 2003.</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2004, the Company made research grants totaling $61,000 to three academic institutions.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20" w:firstLine="270"/>
        <w:spacing w:after="0" w:line="342" w:lineRule="auto"/>
        <w:rPr>
          <w:sz w:val="20"/>
          <w:szCs w:val="20"/>
          <w:color w:val="auto"/>
        </w:rPr>
      </w:pPr>
      <w:r>
        <w:rPr>
          <w:rFonts w:ascii="Arial" w:cs="Arial" w:eastAsia="Arial" w:hAnsi="Arial"/>
          <w:sz w:val="16"/>
          <w:szCs w:val="16"/>
          <w:color w:val="auto"/>
        </w:rPr>
        <w:t>Deferred income taxes reflect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2004</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Capitalized research and development costs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jc w:val="right"/>
              <w:ind w:right="788"/>
              <w:spacing w:after="0"/>
              <w:rPr>
                <w:sz w:val="20"/>
                <w:szCs w:val="20"/>
                <w:color w:val="auto"/>
              </w:rPr>
            </w:pPr>
            <w:r>
              <w:rPr>
                <w:rFonts w:ascii="Arial" w:cs="Arial" w:eastAsia="Arial" w:hAnsi="Arial"/>
                <w:sz w:val="18"/>
                <w:szCs w:val="18"/>
                <w:color w:val="auto"/>
              </w:rPr>
              <w:t>16,046,000</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12,540,000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39,287,000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42,050,000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4,742,000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4,399,000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wind down cost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1,740,000</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544,000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326,000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62,359,000</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60,385,000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8"/>
                <w:szCs w:val="18"/>
                <w:color w:val="auto"/>
              </w:rPr>
            </w:pPr>
          </w:p>
        </w:tc>
        <w:tc>
          <w:tcPr>
            <w:tcW w:w="2000" w:type="dxa"/>
            <w:vAlign w:val="bottom"/>
            <w:gridSpan w:val="2"/>
          </w:tcPr>
          <w:p>
            <w:pPr>
              <w:jc w:val="right"/>
              <w:ind w:right="728"/>
              <w:spacing w:after="0"/>
              <w:rPr>
                <w:sz w:val="20"/>
                <w:szCs w:val="20"/>
                <w:color w:val="auto"/>
              </w:rPr>
            </w:pPr>
            <w:r>
              <w:rPr>
                <w:rFonts w:ascii="Arial" w:cs="Arial" w:eastAsia="Arial" w:hAnsi="Arial"/>
                <w:sz w:val="18"/>
                <w:szCs w:val="18"/>
                <w:color w:val="auto"/>
              </w:rPr>
              <w:t>(62,359,000)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(60,385,000)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$1,974,000, $3,495,000, and $4,880,000 during 2004, 2003, and 2002 respectively.</w:t>
      </w:r>
    </w:p>
    <w:p>
      <w:pPr>
        <w:spacing w:after="0" w:line="73" w:lineRule="exact"/>
        <w:rPr>
          <w:sz w:val="20"/>
          <w:szCs w:val="20"/>
          <w:color w:val="auto"/>
        </w:rPr>
      </w:pPr>
    </w:p>
    <w:p>
      <w:pPr>
        <w:ind w:right="320" w:firstLine="267"/>
        <w:spacing w:after="0" w:line="277" w:lineRule="auto"/>
        <w:rPr>
          <w:sz w:val="20"/>
          <w:szCs w:val="20"/>
          <w:color w:val="auto"/>
        </w:rPr>
      </w:pPr>
      <w:r>
        <w:rPr>
          <w:rFonts w:ascii="Arial" w:cs="Arial" w:eastAsia="Arial" w:hAnsi="Arial"/>
          <w:sz w:val="18"/>
          <w:szCs w:val="18"/>
          <w:color w:val="auto"/>
        </w:rPr>
        <w:t>The effective tax rate as a percentage of income before income taxes differs from the statutory federal income tax rate (when applied to income before income taxes) for the years ended December 31,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(benefit) rate</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Expenses not deductible for taxes</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State net operating losses</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12.9</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28.4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(benefit) rate</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Retirement Plan</w:t>
      </w:r>
    </w:p>
    <w:p>
      <w:pPr>
        <w:spacing w:after="0" w:line="121"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The Company has a qualified defined contribution plan covering substantially all employees. Participants are allowed to contribute a fixed percentage of their total annual cash compensation to the plan (subject to the maximums defined by law) and the Company matches 50% of employee contributions, up to a maximum of 6% of the employee’s compensation, with the Company’s common stock. The related expense was $78,000, $60,000, and $76,000 for the years ended December 31, 2004, 2003 and 2002,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13.</w:t>
            </w:r>
          </w:p>
        </w:tc>
        <w:tc>
          <w:tcPr>
            <w:tcW w:w="4440" w:type="dxa"/>
            <w:vAlign w:val="bottom"/>
          </w:tcPr>
          <w:p>
            <w:pPr>
              <w:ind w:left="320"/>
              <w:spacing w:after="0"/>
              <w:rPr>
                <w:sz w:val="20"/>
                <w:szCs w:val="20"/>
                <w:color w:val="auto"/>
              </w:rPr>
            </w:pPr>
            <w:r>
              <w:rPr>
                <w:rFonts w:ascii="Arial" w:cs="Arial" w:eastAsia="Arial" w:hAnsi="Arial"/>
                <w:sz w:val="18"/>
                <w:szCs w:val="18"/>
                <w:b w:val="1"/>
                <w:bCs w:val="1"/>
                <w:color w:val="auto"/>
              </w:rPr>
              <w:t>Quarterly Financial Information (unaudited)</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0"/>
        </w:trPr>
        <w:tc>
          <w:tcPr>
            <w:tcW w:w="26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Quarter</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20" w:type="dxa"/>
            <w:vAlign w:val="bottom"/>
          </w:tcPr>
          <w:p>
            <w:pPr>
              <w:spacing w:after="0"/>
              <w:rPr>
                <w:sz w:val="23"/>
                <w:szCs w:val="23"/>
                <w:color w:val="auto"/>
              </w:rPr>
            </w:pPr>
          </w:p>
        </w:tc>
      </w:tr>
      <w:tr>
        <w:trPr>
          <w:trHeight w:val="156"/>
        </w:trPr>
        <w:tc>
          <w:tcPr>
            <w:tcW w:w="2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right"/>
              <w:ind w:right="780"/>
              <w:spacing w:after="0" w:line="155" w:lineRule="exact"/>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848"/>
              <w:spacing w:after="0" w:line="155" w:lineRule="exact"/>
              <w:rPr>
                <w:sz w:val="20"/>
                <w:szCs w:val="20"/>
                <w:color w:val="auto"/>
              </w:rPr>
            </w:pPr>
            <w:r>
              <w:rPr>
                <w:rFonts w:ascii="Arial" w:cs="Arial" w:eastAsia="Arial" w:hAnsi="Arial"/>
                <w:sz w:val="14"/>
                <w:szCs w:val="14"/>
                <w:b w:val="1"/>
                <w:bCs w:val="1"/>
                <w:color w:val="auto"/>
              </w:rPr>
              <w:t>Second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1020"/>
              <w:spacing w:after="0" w:line="155"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3"/>
                <w:szCs w:val="13"/>
                <w:color w:val="auto"/>
              </w:rPr>
            </w:pPr>
          </w:p>
        </w:tc>
        <w:tc>
          <w:tcPr>
            <w:tcW w:w="7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Fourth</w:t>
            </w:r>
          </w:p>
        </w:tc>
        <w:tc>
          <w:tcPr>
            <w:tcW w:w="420" w:type="dxa"/>
            <w:vAlign w:val="bottom"/>
          </w:tcPr>
          <w:p>
            <w:pPr>
              <w:spacing w:after="0"/>
              <w:rPr>
                <w:sz w:val="13"/>
                <w:szCs w:val="13"/>
                <w:color w:val="auto"/>
              </w:rPr>
            </w:pPr>
          </w:p>
        </w:tc>
      </w:tr>
      <w:tr>
        <w:trPr>
          <w:trHeight w:val="156"/>
        </w:trPr>
        <w:tc>
          <w:tcPr>
            <w:tcW w:w="2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7"/>
              </w:rPr>
              <w:t>(In thousands,</w:t>
            </w:r>
          </w:p>
        </w:tc>
        <w:tc>
          <w:tcPr>
            <w:tcW w:w="7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w w:val="85"/>
              </w:rPr>
              <w:t>except per</w:t>
            </w:r>
          </w:p>
        </w:tc>
        <w:tc>
          <w:tcPr>
            <w:tcW w:w="980" w:type="dxa"/>
            <w:vAlign w:val="bottom"/>
            <w:tcBorders>
              <w:top w:val="single" w:sz="8" w:color="auto"/>
            </w:tcBorders>
            <w:gridSpan w:val="2"/>
          </w:tcPr>
          <w:p>
            <w:pPr>
              <w:jc w:val="right"/>
              <w:ind w:right="151"/>
              <w:spacing w:after="0" w:line="155" w:lineRule="exact"/>
              <w:rPr>
                <w:sz w:val="20"/>
                <w:szCs w:val="20"/>
                <w:color w:val="auto"/>
              </w:rPr>
            </w:pPr>
            <w:r>
              <w:rPr>
                <w:rFonts w:ascii="Arial" w:cs="Arial" w:eastAsia="Arial" w:hAnsi="Arial"/>
                <w:sz w:val="14"/>
                <w:szCs w:val="14"/>
                <w:b w:val="1"/>
                <w:bCs w:val="1"/>
                <w:color w:val="auto"/>
                <w:w w:val="96"/>
              </w:rPr>
              <w:t>share data)</w:t>
            </w:r>
          </w:p>
        </w:tc>
        <w:tc>
          <w:tcPr>
            <w:tcW w:w="7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8"/>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shd w:val="clear" w:color="auto" w:fill="CCEEFF"/>
          </w:tcPr>
          <w:p>
            <w:pPr>
              <w:spacing w:after="0"/>
              <w:rPr>
                <w:sz w:val="18"/>
                <w:szCs w:val="18"/>
                <w:color w:val="auto"/>
              </w:rPr>
            </w:pPr>
          </w:p>
        </w:tc>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3,284(1)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4,325(1)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5,070(1)</w:t>
            </w:r>
          </w:p>
        </w:tc>
      </w:tr>
      <w:tr>
        <w:trPr>
          <w:trHeight w:val="216"/>
        </w:trPr>
        <w:tc>
          <w:tcPr>
            <w:tcW w:w="260" w:type="dxa"/>
            <w:vAlign w:val="bottom"/>
          </w:tcPr>
          <w:p>
            <w:pPr>
              <w:spacing w:after="0"/>
              <w:rPr>
                <w:sz w:val="18"/>
                <w:szCs w:val="18"/>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508"/>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113</w:t>
            </w:r>
          </w:p>
        </w:tc>
      </w:tr>
      <w:tr>
        <w:trPr>
          <w:trHeight w:val="216"/>
        </w:trPr>
        <w:tc>
          <w:tcPr>
            <w:tcW w:w="260" w:type="dxa"/>
            <w:vAlign w:val="bottom"/>
            <w:shd w:val="clear" w:color="auto" w:fill="CCEEFF"/>
          </w:tcPr>
          <w:p>
            <w:pPr>
              <w:spacing w:after="0"/>
              <w:rPr>
                <w:sz w:val="18"/>
                <w:szCs w:val="18"/>
                <w:color w:val="auto"/>
              </w:rPr>
            </w:pPr>
          </w:p>
        </w:tc>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(3,303)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(4,338)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(4,919)</w:t>
            </w:r>
          </w:p>
        </w:tc>
      </w:tr>
      <w:tr>
        <w:trPr>
          <w:trHeight w:val="216"/>
        </w:trPr>
        <w:tc>
          <w:tcPr>
            <w:tcW w:w="260" w:type="dxa"/>
            <w:vAlign w:val="bottom"/>
          </w:tcPr>
          <w:p>
            <w:pPr>
              <w:spacing w:after="0"/>
              <w:rPr>
                <w:sz w:val="18"/>
                <w:szCs w:val="18"/>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Net loss applicable to common stockholders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(2,770)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508"/>
              <w:spacing w:after="0"/>
              <w:rPr>
                <w:sz w:val="20"/>
                <w:szCs w:val="20"/>
                <w:color w:val="auto"/>
              </w:rPr>
            </w:pPr>
            <w:r>
              <w:rPr>
                <w:rFonts w:ascii="Arial" w:cs="Arial" w:eastAsia="Arial" w:hAnsi="Arial"/>
                <w:sz w:val="18"/>
                <w:szCs w:val="18"/>
                <w:color w:val="auto"/>
              </w:rPr>
              <w:t>(3,303)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(4,338)</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(4,919)</w:t>
            </w:r>
          </w:p>
        </w:tc>
      </w:tr>
      <w:tr>
        <w:trPr>
          <w:trHeight w:val="202"/>
        </w:trPr>
        <w:tc>
          <w:tcPr>
            <w:tcW w:w="260" w:type="dxa"/>
            <w:vAlign w:val="bottom"/>
            <w:shd w:val="clear" w:color="auto" w:fill="CCEEFF"/>
          </w:tcPr>
          <w:p>
            <w:pPr>
              <w:spacing w:after="0"/>
              <w:rPr>
                <w:sz w:val="17"/>
                <w:szCs w:val="17"/>
                <w:color w:val="auto"/>
              </w:rPr>
            </w:pPr>
          </w:p>
        </w:tc>
        <w:tc>
          <w:tcPr>
            <w:tcW w:w="44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7"/>
              </w:rPr>
              <w:t>Basic and diluted (loss) per share applicable to common</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30"/>
        </w:trPr>
        <w:tc>
          <w:tcPr>
            <w:tcW w:w="260" w:type="dxa"/>
            <w:vAlign w:val="bottom"/>
            <w:shd w:val="clear" w:color="auto" w:fill="CCEEFF"/>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(0.08)</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Year ended December 31, 2003: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w:t>
            </w:r>
          </w:p>
        </w:tc>
      </w:tr>
      <w:tr>
        <w:trPr>
          <w:trHeight w:val="216"/>
        </w:trPr>
        <w:tc>
          <w:tcPr>
            <w:tcW w:w="260" w:type="dxa"/>
            <w:vAlign w:val="bottom"/>
          </w:tcPr>
          <w:p>
            <w:pPr>
              <w:spacing w:after="0"/>
              <w:rPr>
                <w:sz w:val="18"/>
                <w:szCs w:val="18"/>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2,409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2,743</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2,451</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4,817(1)</w:t>
            </w:r>
          </w:p>
        </w:tc>
      </w:tr>
      <w:tr>
        <w:trPr>
          <w:trHeight w:val="216"/>
        </w:trPr>
        <w:tc>
          <w:tcPr>
            <w:tcW w:w="260" w:type="dxa"/>
            <w:vAlign w:val="bottom"/>
            <w:shd w:val="clear" w:color="auto" w:fill="CCEEFF"/>
          </w:tcPr>
          <w:p>
            <w:pPr>
              <w:spacing w:after="0"/>
              <w:rPr>
                <w:sz w:val="18"/>
                <w:szCs w:val="18"/>
                <w:color w:val="auto"/>
              </w:rPr>
            </w:pPr>
          </w:p>
        </w:tc>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r>
      <w:tr>
        <w:trPr>
          <w:trHeight w:val="216"/>
        </w:trPr>
        <w:tc>
          <w:tcPr>
            <w:tcW w:w="260" w:type="dxa"/>
            <w:vAlign w:val="bottom"/>
          </w:tcPr>
          <w:p>
            <w:pPr>
              <w:spacing w:after="0"/>
              <w:rPr>
                <w:sz w:val="18"/>
                <w:szCs w:val="18"/>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Net loss (before deemed dividend)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(2,409)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508"/>
              <w:spacing w:after="0"/>
              <w:rPr>
                <w:sz w:val="20"/>
                <w:szCs w:val="20"/>
                <w:color w:val="auto"/>
              </w:rPr>
            </w:pPr>
            <w:r>
              <w:rPr>
                <w:rFonts w:ascii="Arial" w:cs="Arial" w:eastAsia="Arial" w:hAnsi="Arial"/>
                <w:sz w:val="18"/>
                <w:szCs w:val="18"/>
                <w:color w:val="auto"/>
              </w:rPr>
              <w:t>(2,713)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(2,429)</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(4,740)</w:t>
            </w:r>
          </w:p>
        </w:tc>
      </w:tr>
      <w:tr>
        <w:trPr>
          <w:trHeight w:val="216"/>
        </w:trPr>
        <w:tc>
          <w:tcPr>
            <w:tcW w:w="260" w:type="dxa"/>
            <w:vAlign w:val="bottom"/>
            <w:shd w:val="clear" w:color="auto" w:fill="CCEEFF"/>
          </w:tcPr>
          <w:p>
            <w:pPr>
              <w:spacing w:after="0"/>
              <w:rPr>
                <w:sz w:val="18"/>
                <w:szCs w:val="18"/>
                <w:color w:val="auto"/>
              </w:rPr>
            </w:pPr>
          </w:p>
        </w:tc>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applicable to common stockholders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(3,928)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(2,599)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(5,169)</w:t>
            </w:r>
          </w:p>
        </w:tc>
      </w:tr>
      <w:tr>
        <w:trPr>
          <w:trHeight w:val="202"/>
        </w:trPr>
        <w:tc>
          <w:tcPr>
            <w:tcW w:w="260" w:type="dxa"/>
            <w:vAlign w:val="bottom"/>
          </w:tcPr>
          <w:p>
            <w:pPr>
              <w:spacing w:after="0"/>
              <w:rPr>
                <w:sz w:val="17"/>
                <w:szCs w:val="17"/>
                <w:color w:val="auto"/>
              </w:rPr>
            </w:pPr>
          </w:p>
        </w:tc>
        <w:tc>
          <w:tcPr>
            <w:tcW w:w="4440" w:type="dxa"/>
            <w:vAlign w:val="bottom"/>
          </w:tcPr>
          <w:p>
            <w:pPr>
              <w:ind w:left="40"/>
              <w:spacing w:after="0" w:line="201" w:lineRule="exact"/>
              <w:rPr>
                <w:sz w:val="20"/>
                <w:szCs w:val="20"/>
                <w:color w:val="auto"/>
              </w:rPr>
            </w:pPr>
            <w:r>
              <w:rPr>
                <w:rFonts w:ascii="Arial" w:cs="Arial" w:eastAsia="Arial" w:hAnsi="Arial"/>
                <w:sz w:val="18"/>
                <w:szCs w:val="18"/>
                <w:color w:val="auto"/>
              </w:rPr>
              <w:t>Basic and diluted income (loss) per share applicable to</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0"/>
        </w:trPr>
        <w:tc>
          <w:tcPr>
            <w:tcW w:w="26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common stockholders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(0.10)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8"/>
              <w:spacing w:after="0"/>
              <w:rPr>
                <w:sz w:val="20"/>
                <w:szCs w:val="20"/>
                <w:color w:val="auto"/>
              </w:rPr>
            </w:pPr>
            <w:r>
              <w:rPr>
                <w:rFonts w:ascii="Arial" w:cs="Arial" w:eastAsia="Arial" w:hAnsi="Arial"/>
                <w:sz w:val="18"/>
                <w:szCs w:val="18"/>
                <w:color w:val="auto"/>
              </w:rPr>
              <w:t>(0.13)</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(0.08)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adjustment of wind-down accrual — see note 7.</w:t>
      </w:r>
    </w:p>
    <w:p>
      <w:pPr>
        <w:spacing w:after="0" w:line="221"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In January 2005, a warrant issued as part of the June 16, 2004 financing arrangement, was exercised to purchase an aggregate of 50,250 shares of the Company’s common stock at $1.90 per share. The Company issued 50,250 shares of its common stock and received proceeds of $95,475. Also in January 2005, 79,899 shares of unregistered stock were issued upon the cashless exercise by the holder of a warrant acquired as partial compensation for services to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Effectiveness of Disclosure Controls and Procedures</w:t>
      </w:r>
    </w:p>
    <w:p>
      <w:pPr>
        <w:spacing w:after="0" w:line="121"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as of the end of the period covered by this annual report. Based on this evaluation, our principal executive officer and principal financial officer concluded that these disclosure controls and procedures are effective to ensure that the information required to be disclosed in our reports filed or submitted under the Securities Exchange Act of 1934 is recorded, processed, summarized and reported within the requisite time periods, and to provide reasonable assurance that information required to be disclosed by the Company in such reports is accumulated and communicated to the Company’s management, including its chief executive officer and chief financial officer, as appropriate to allow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 Over Financial Reporting</w:t>
      </w:r>
    </w:p>
    <w:p>
      <w:pPr>
        <w:spacing w:after="0" w:line="121"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In connection with its audit of the Company’s consolidated financial statements for the year ended December 31, 2003, Grant Thornton LLP, the Company’s independent auditors, communicated to the Audit Committee and management regarding financial reporting matters that they considered to be significant deficiencies and which they considered, in the aggregate, to constitute a material weakness under standards established by the American Institute of Certified Public Accountants, primarily as a result of a lack of segregation of duties in the Company’s finance and accounting departments. Grant Thornton was concerned that significant finance and accounting duties were the responsibility of a limited number of individuals who were responsible for operational controls, as well as monitoring their performance.</w:t>
      </w:r>
    </w:p>
    <w:p>
      <w:pPr>
        <w:spacing w:after="0" w:line="85"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During fiscal year 2004, the Company continued to evaluate its internal controls over financial reporting in order to allow management to report on, and our independent auditors to attest to, our internal controls over financial reporting, as required by Section 404 of the Sarbanes-Oxley Act of 2002 and the rules and regulations of the SEC and the Public Company Accounting Oversight Board there under. During the course of assessing the effectiveness of both the design and operation of our internal controls over financial reporting and in response to the deficiencies identified by Grant Thornton in connection with the fiscal 2003 audit, we made a number of significant changes in our internal control over financial reporting during fiscal year 2004 and the first quarter of 2005, as summarized below.</w:t>
      </w:r>
    </w:p>
    <w:p>
      <w:pPr>
        <w:spacing w:after="0" w:line="85" w:lineRule="exact"/>
        <w:rPr>
          <w:sz w:val="20"/>
          <w:szCs w:val="20"/>
          <w:color w:val="auto"/>
        </w:rPr>
      </w:pPr>
    </w:p>
    <w:p>
      <w:pPr>
        <w:ind w:right="400" w:firstLine="260"/>
        <w:spacing w:after="0" w:line="277" w:lineRule="auto"/>
        <w:rPr>
          <w:sz w:val="20"/>
          <w:szCs w:val="20"/>
          <w:color w:val="auto"/>
        </w:rPr>
      </w:pPr>
      <w:r>
        <w:rPr>
          <w:rFonts w:ascii="Arial" w:cs="Arial" w:eastAsia="Arial" w:hAnsi="Arial"/>
          <w:sz w:val="18"/>
          <w:szCs w:val="18"/>
          <w:color w:val="auto"/>
        </w:rPr>
        <w:t>As a result of our efforts, we have concluded that the following internal control issues over our financial reporting constituted significant deficiencies during the fiscal year ended December 31, 2004:</w:t>
      </w:r>
    </w:p>
    <w:p>
      <w:pPr>
        <w:spacing w:after="0" w:line="62" w:lineRule="exact"/>
        <w:rPr>
          <w:sz w:val="20"/>
          <w:szCs w:val="20"/>
          <w:color w:val="auto"/>
        </w:rPr>
      </w:pPr>
    </w:p>
    <w:p>
      <w:pPr>
        <w:ind w:left="360" w:firstLine="270"/>
        <w:spacing w:after="0" w:line="279" w:lineRule="auto"/>
        <w:rPr>
          <w:sz w:val="20"/>
          <w:szCs w:val="20"/>
          <w:color w:val="auto"/>
        </w:rPr>
      </w:pPr>
      <w:r>
        <w:rPr>
          <w:rFonts w:ascii="Arial" w:cs="Arial" w:eastAsia="Arial" w:hAnsi="Arial"/>
          <w:sz w:val="17"/>
          <w:szCs w:val="17"/>
          <w:color w:val="auto"/>
        </w:rPr>
        <w:t>a. Segregation of Duties — The lack of segregation of duties in the Company’s accounting and finance department resulted in significant deficiencies in the Company’s general ledger transactions in that some journal entries and reports were both prepared and reviewed by the same individual and not reviewed by another. As discussed above, management determined that these significant deficiencies, in the aggregate, constituted a material weakness in the design and operation of the Company’s internal controls in effect prior to December 31, 2004.</w:t>
      </w:r>
    </w:p>
    <w:p>
      <w:pPr>
        <w:spacing w:after="0" w:line="77" w:lineRule="exact"/>
        <w:rPr>
          <w:sz w:val="20"/>
          <w:szCs w:val="20"/>
          <w:color w:val="auto"/>
        </w:rPr>
      </w:pPr>
    </w:p>
    <w:p>
      <w:pPr>
        <w:ind w:left="360" w:firstLine="270"/>
        <w:spacing w:after="0" w:line="277" w:lineRule="auto"/>
        <w:rPr>
          <w:sz w:val="20"/>
          <w:szCs w:val="20"/>
          <w:color w:val="auto"/>
        </w:rPr>
      </w:pPr>
      <w:r>
        <w:rPr>
          <w:rFonts w:ascii="Arial" w:cs="Arial" w:eastAsia="Arial" w:hAnsi="Arial"/>
          <w:sz w:val="18"/>
          <w:szCs w:val="18"/>
          <w:color w:val="auto"/>
        </w:rPr>
        <w:t>b. Human Resources — During 2004, procedures relating to the hiring of new employees were not followed in all instances. Management determined that this significant deficiency did not constitute a material weakness in its internal controls.</w:t>
      </w:r>
    </w:p>
    <w:p>
      <w:pPr>
        <w:spacing w:after="0" w:line="76" w:lineRule="exact"/>
        <w:rPr>
          <w:sz w:val="20"/>
          <w:szCs w:val="20"/>
          <w:color w:val="auto"/>
        </w:rPr>
      </w:pPr>
    </w:p>
    <w:p>
      <w:pPr>
        <w:ind w:left="360" w:right="40" w:firstLine="270"/>
        <w:spacing w:after="0" w:line="277" w:lineRule="auto"/>
        <w:rPr>
          <w:sz w:val="20"/>
          <w:szCs w:val="20"/>
          <w:color w:val="auto"/>
        </w:rPr>
      </w:pPr>
      <w:r>
        <w:rPr>
          <w:rFonts w:ascii="Arial" w:cs="Arial" w:eastAsia="Arial" w:hAnsi="Arial"/>
          <w:sz w:val="18"/>
          <w:szCs w:val="18"/>
          <w:color w:val="auto"/>
        </w:rPr>
        <w:t>c. Stock Administration — During 2004, procedures relating to administration of the Company’s 2004 Equity Incentive Plan were not followed in all instances. Management determined that these deficiencies did not constitute a material weakness in its internal controls.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underlying cause of a significant number of deficiencies noted during the testing of our internal control processes was the lack of sufficient resources within the Company’s administrative staff, particularly its accounting and finance department. During fiscal year 2004, however, and particularly the fourth quarter of 2004, our management, under the supervision of the Company’s Audit Committee, has added significant resources to remedy the material weakness identified by Grant Thornton in connection with the fiscal 2003 audit and the other significant deficiencies identified during our internal control review in 2004. Specifically, we have taken a number of steps that we believe will improve the effectiveness of our internal control over our financial reporting including the following:</w:t>
      </w:r>
    </w:p>
    <w:p>
      <w:pPr>
        <w:spacing w:after="0" w:line="85" w:lineRule="exact"/>
        <w:rPr>
          <w:sz w:val="20"/>
          <w:szCs w:val="20"/>
          <w:color w:val="auto"/>
        </w:rPr>
      </w:pPr>
    </w:p>
    <w:p>
      <w:pPr>
        <w:ind w:left="360" w:right="80" w:firstLine="270"/>
        <w:spacing w:after="0" w:line="277" w:lineRule="auto"/>
        <w:rPr>
          <w:sz w:val="20"/>
          <w:szCs w:val="20"/>
          <w:color w:val="auto"/>
        </w:rPr>
      </w:pPr>
      <w:r>
        <w:rPr>
          <w:rFonts w:ascii="Arial" w:cs="Arial" w:eastAsia="Arial" w:hAnsi="Arial"/>
          <w:sz w:val="18"/>
          <w:szCs w:val="18"/>
          <w:color w:val="auto"/>
        </w:rPr>
        <w:t>a. Eric Bjerkholt, an individual meeting the SEC definition of audit committee financial expert, joined the Company’s board of directors and became chairman of its Audit Committee in 2004.</w:t>
      </w:r>
    </w:p>
    <w:p>
      <w:pPr>
        <w:spacing w:after="0" w:line="76" w:lineRule="exact"/>
        <w:rPr>
          <w:sz w:val="20"/>
          <w:szCs w:val="20"/>
          <w:color w:val="auto"/>
        </w:rPr>
      </w:pPr>
    </w:p>
    <w:p>
      <w:pPr>
        <w:ind w:left="360" w:right="360" w:firstLine="270"/>
        <w:spacing w:after="0" w:line="277" w:lineRule="auto"/>
        <w:rPr>
          <w:sz w:val="20"/>
          <w:szCs w:val="20"/>
          <w:color w:val="auto"/>
        </w:rPr>
      </w:pPr>
      <w:r>
        <w:rPr>
          <w:rFonts w:ascii="Arial" w:cs="Arial" w:eastAsia="Arial" w:hAnsi="Arial"/>
          <w:sz w:val="18"/>
          <w:szCs w:val="18"/>
          <w:color w:val="auto"/>
        </w:rPr>
        <w:t>b. We retained an independent third party during 2004 to assist the Company in its efforts to comply with Rule 404 of the Sarbanes-Oxley Act of 2002.</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 In November 2004, we appointed Judi Lum as our new Chief Financial Officer.</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 In February 2005 we hired an additional Senior Accountant.</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 In February 2005, we retained a Human Resource Coordinator.</w:t>
      </w:r>
    </w:p>
    <w:p>
      <w:pPr>
        <w:spacing w:after="0" w:line="131" w:lineRule="exact"/>
        <w:rPr>
          <w:sz w:val="20"/>
          <w:szCs w:val="20"/>
          <w:color w:val="auto"/>
        </w:rPr>
      </w:pPr>
    </w:p>
    <w:p>
      <w:pPr>
        <w:ind w:left="360" w:firstLine="270"/>
        <w:spacing w:after="0" w:line="277" w:lineRule="auto"/>
        <w:rPr>
          <w:sz w:val="20"/>
          <w:szCs w:val="20"/>
          <w:color w:val="auto"/>
        </w:rPr>
      </w:pPr>
      <w:r>
        <w:rPr>
          <w:rFonts w:ascii="Arial" w:cs="Arial" w:eastAsia="Arial" w:hAnsi="Arial"/>
          <w:sz w:val="18"/>
          <w:szCs w:val="18"/>
          <w:color w:val="auto"/>
        </w:rPr>
        <w:t>f. In view of its expanded resources, we plan to move stock administration functions to our finance and accounting department during the first quarter of 2005.</w:t>
      </w:r>
    </w:p>
    <w:p>
      <w:pPr>
        <w:spacing w:after="0" w:line="62" w:lineRule="exact"/>
        <w:rPr>
          <w:sz w:val="20"/>
          <w:szCs w:val="20"/>
          <w:color w:val="auto"/>
        </w:rPr>
      </w:pPr>
    </w:p>
    <w:p>
      <w:pPr>
        <w:ind w:right="220" w:firstLine="267"/>
        <w:spacing w:after="0" w:line="277" w:lineRule="auto"/>
        <w:rPr>
          <w:sz w:val="20"/>
          <w:szCs w:val="20"/>
          <w:color w:val="auto"/>
        </w:rPr>
      </w:pPr>
      <w:r>
        <w:rPr>
          <w:rFonts w:ascii="Arial" w:cs="Arial" w:eastAsia="Arial" w:hAnsi="Arial"/>
          <w:sz w:val="18"/>
          <w:szCs w:val="18"/>
          <w:color w:val="auto"/>
        </w:rPr>
        <w:t>We will continue with our on-going evaluation of internal controls and will improve our internal controls over financial reporting as necessary to assure their effectiveness.</w:t>
      </w:r>
    </w:p>
    <w:p>
      <w:pPr>
        <w:spacing w:after="0" w:line="62" w:lineRule="exact"/>
        <w:rPr>
          <w:sz w:val="20"/>
          <w:szCs w:val="20"/>
          <w:color w:val="auto"/>
        </w:rPr>
      </w:pPr>
    </w:p>
    <w:p>
      <w:pPr>
        <w:ind w:right="600" w:firstLine="267"/>
        <w:spacing w:after="0" w:line="277" w:lineRule="auto"/>
        <w:rPr>
          <w:sz w:val="20"/>
          <w:szCs w:val="20"/>
          <w:color w:val="auto"/>
        </w:rPr>
      </w:pPr>
      <w:r>
        <w:rPr>
          <w:rFonts w:ascii="Arial" w:cs="Arial" w:eastAsia="Arial" w:hAnsi="Arial"/>
          <w:sz w:val="18"/>
          <w:szCs w:val="18"/>
          <w:color w:val="auto"/>
        </w:rPr>
        <w:t>The statements contained in Exhibit 31.1 and Exhibit 31.2 should be considered in light of, and read together with, the information set forth in this Item 9A.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21"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During the quarter ended December 31, 2004, there have been changes in our internal controls over financial reporting that have materially affected, and are reasonably likely to materially affect, our internal control over financial reporting. These changes are discussed in detail above under “Management’s Annual Report on Internal Controls Over Financial Reporting.”</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AND EXECUTIVE OFFICERS OF THE REGISTRANT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2005 Annual Meeting of Shareholders.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21" w:lineRule="exact"/>
        <w:rPr>
          <w:sz w:val="20"/>
          <w:szCs w:val="20"/>
          <w:color w:val="auto"/>
        </w:rPr>
      </w:pPr>
    </w:p>
    <w:p>
      <w:pPr>
        <w:ind w:right="20" w:firstLine="267"/>
        <w:spacing w:after="0" w:line="277" w:lineRule="auto"/>
        <w:rPr>
          <w:sz w:val="20"/>
          <w:szCs w:val="20"/>
          <w:color w:val="auto"/>
        </w:rPr>
      </w:pPr>
      <w:r>
        <w:rPr>
          <w:rFonts w:ascii="Arial" w:cs="Arial" w:eastAsia="Arial" w:hAnsi="Arial"/>
          <w:sz w:val="18"/>
          <w:szCs w:val="18"/>
          <w:color w:val="auto"/>
        </w:rPr>
        <w:t>The information required by this Item is incorporated by reference from Item 5 of this Annual Report on Form 10-K and our Proxy Statement for the 2005 Annual Meeting of Shareholders.</w:t>
      </w:r>
    </w:p>
    <w:p>
      <w:pPr>
        <w:spacing w:after="0" w:line="166" w:lineRule="exact"/>
        <w:rPr>
          <w:sz w:val="20"/>
          <w:szCs w:val="20"/>
          <w:color w:val="auto"/>
        </w:rPr>
      </w:pPr>
    </w:p>
    <w:p>
      <w:pPr>
        <w:ind w:left="1160" w:right="760" w:hanging="1147"/>
        <w:spacing w:after="0" w:line="277"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2005 Annual Meeting of Shareholders.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w:t>
      </w:r>
    </w:p>
    <w:p>
      <w:pPr>
        <w:spacing w:after="0" w:line="121" w:lineRule="exact"/>
        <w:rPr>
          <w:sz w:val="20"/>
          <w:szCs w:val="20"/>
          <w:color w:val="auto"/>
        </w:rPr>
      </w:pPr>
    </w:p>
    <w:p>
      <w:pPr>
        <w:ind w:left="5620" w:right="1080" w:hanging="5348"/>
        <w:spacing w:after="0" w:line="496"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2005 Annual Meeting of Shareholders.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2005 Annual Meeting of Shareholders.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21" w:lineRule="exact"/>
        <w:rPr>
          <w:sz w:val="20"/>
          <w:szCs w:val="20"/>
          <w:color w:val="auto"/>
        </w:rPr>
      </w:pPr>
    </w:p>
    <w:p>
      <w:pPr>
        <w:ind w:left="520" w:hanging="24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DOCUMENTS FILED AS PART OF THIS FORM 10-K.</w:t>
      </w:r>
    </w:p>
    <w:p>
      <w:pPr>
        <w:spacing w:after="0" w:line="117"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ind w:left="540" w:hanging="26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Schedules are not included herein because they are not applicable or the required information appears in the Financial Statements or Notes thereto.</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Exhibits.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8900" w:type="dxa"/>
            <w:vAlign w:val="bottom"/>
            <w:tcBorders>
              <w:bottom w:val="single" w:sz="8" w:color="auto"/>
            </w:tcBorders>
          </w:tcPr>
          <w:p>
            <w:pPr>
              <w:ind w:left="3840"/>
              <w:spacing w:after="0"/>
              <w:rPr>
                <w:sz w:val="20"/>
                <w:szCs w:val="20"/>
                <w:color w:val="auto"/>
              </w:rPr>
            </w:pPr>
            <w:r>
              <w:rPr>
                <w:rFonts w:ascii="Arial" w:cs="Arial" w:eastAsia="Arial" w:hAnsi="Arial"/>
                <w:sz w:val="14"/>
                <w:szCs w:val="14"/>
                <w:b w:val="1"/>
                <w:bCs w:val="1"/>
                <w:color w:val="auto"/>
              </w:rPr>
              <w:t>Title or Description</w:t>
            </w:r>
          </w:p>
        </w:tc>
      </w:tr>
      <w:tr>
        <w:trPr>
          <w:trHeight w:val="224"/>
        </w:trPr>
        <w:tc>
          <w:tcPr>
            <w:tcW w:w="2180" w:type="dxa"/>
            <w:vAlign w:val="bottom"/>
          </w:tcPr>
          <w:p>
            <w:pPr>
              <w:ind w:left="6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431"/>
        </w:trPr>
        <w:tc>
          <w:tcPr>
            <w:tcW w:w="2180" w:type="dxa"/>
            <w:vAlign w:val="bottom"/>
          </w:tcPr>
          <w:p>
            <w:pPr>
              <w:ind w:left="60"/>
              <w:spacing w:after="0"/>
              <w:rPr>
                <w:sz w:val="20"/>
                <w:szCs w:val="20"/>
                <w:color w:val="auto"/>
              </w:rPr>
            </w:pPr>
            <w:r>
              <w:rPr>
                <w:rFonts w:ascii="Arial" w:cs="Arial" w:eastAsia="Arial" w:hAnsi="Arial"/>
                <w:sz w:val="18"/>
                <w:szCs w:val="18"/>
                <w:color w:val="auto"/>
              </w:rPr>
              <w:t>3.2++</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Amended and Restated By-Laws of the Registrant.</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3.3{*** }</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Certificate of Amendment to the Restated Certificate of Incorporation of the Registrant.</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3.4^</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Certificate of Amendment of the Restated Certificate of Incorporation of the Registrant.</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4.1^^</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Specimen Common Stock Certificate.</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4.2++++</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Form of Warrant Certificate issued to a certain purchaser of the Registrant’s Common Stock in April 1995.</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4.3X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Warrant to Purchase Common Stock — Mark Angelo</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4.4X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Warrant to Purchase Common Stock — Robert Farrell</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4.5X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Warrant to Purchase Common Stock — Joseph Donahue</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4.6X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Warrant to Purchase Common Stock — Hunter Singer</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4.7X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Warrant to Purchase Common Stock — May Davis</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4.8X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Common Stock Purchase Warrant</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4.9X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Callable Warrant</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4.10XXX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6"/>
              </w:rPr>
              <w:t>Registration Rights Agreement dated as of May 10, 2001 between the Registrant and Sativum Investments Limited.</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4.11XXX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Warrant, dated May 10, 2001, to Purchase Common Stock issued to Sativum Investments Limited.</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4.12XXX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Warrant, dated May 10, 2001, to Purchase Common Stock issued to Pacific Crest Securities, Inc.</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4.13XXX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Warrant dated May 10, 2001 to Purchase Common Stock issued to Granite Financial Group, Inc.</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4.14XXX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Callable Warrant, dated June 21, 2001, issued to Millennium Partners, L.P.</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4.15XXX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Common Stock Purchase Warrant, Class A, dated June 21, 2001, issued to Millennium Partners, L.P.</w:t>
            </w:r>
          </w:p>
        </w:tc>
      </w:tr>
      <w:tr>
        <w:trPr>
          <w:trHeight w:val="418"/>
        </w:trPr>
        <w:tc>
          <w:tcPr>
            <w:tcW w:w="2180" w:type="dxa"/>
            <w:vAlign w:val="bottom"/>
          </w:tcPr>
          <w:p>
            <w:pPr>
              <w:ind w:left="60"/>
              <w:spacing w:after="0"/>
              <w:rPr>
                <w:sz w:val="20"/>
                <w:szCs w:val="20"/>
                <w:color w:val="auto"/>
              </w:rPr>
            </w:pPr>
            <w:r>
              <w:rPr>
                <w:rFonts w:ascii="Arial" w:cs="Arial" w:eastAsia="Arial" w:hAnsi="Arial"/>
                <w:sz w:val="18"/>
                <w:szCs w:val="18"/>
                <w:color w:val="auto"/>
              </w:rPr>
              <w:t>4.16{** }</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4"/>
              </w:rPr>
              <w:t>Certificate of Designations of the Powers, Preferences and Relative, Participating, Optional and other Special Rights of</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4"/>
              </w:rPr>
              <w:t>Preferred Stock and Qualifications, Limitations and Restrictions Thereof of 3% Cumulative Convertible Preferred Stock</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for StemCells, Inc.</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4.17{** }</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Warrant to Purchase Common Stock — Riverview Group, LLC</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4.18XXXX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Warrant to Purchase Common Stock — Cantor Fitzgerald &amp; Co.</w:t>
            </w:r>
          </w:p>
        </w:tc>
      </w:tr>
      <w:tr>
        <w:trPr>
          <w:trHeight w:val="432"/>
        </w:trPr>
        <w:tc>
          <w:tcPr>
            <w:tcW w:w="2180" w:type="dxa"/>
            <w:vAlign w:val="bottom"/>
          </w:tcPr>
          <w:p>
            <w:pPr>
              <w:ind w:left="60"/>
              <w:spacing w:after="0"/>
              <w:rPr>
                <w:sz w:val="20"/>
                <w:szCs w:val="20"/>
                <w:color w:val="auto"/>
              </w:rPr>
            </w:pPr>
            <w:r>
              <w:rPr>
                <w:rFonts w:ascii="Arial" w:cs="Arial" w:eastAsia="Arial" w:hAnsi="Arial"/>
                <w:sz w:val="18"/>
                <w:szCs w:val="18"/>
                <w:color w:val="auto"/>
              </w:rPr>
              <w:t>4.19&amp;&amp;</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Warrant to Purchase Common Stock — Riverview Group, LLC</w:t>
            </w:r>
          </w:p>
        </w:tc>
      </w:tr>
      <w:tr>
        <w:trPr>
          <w:trHeight w:val="405"/>
        </w:trPr>
        <w:tc>
          <w:tcPr>
            <w:tcW w:w="2180" w:type="dxa"/>
            <w:vAlign w:val="bottom"/>
          </w:tcPr>
          <w:p>
            <w:pPr>
              <w:spacing w:after="0"/>
              <w:rPr>
                <w:sz w:val="24"/>
                <w:szCs w:val="24"/>
                <w:color w:val="auto"/>
              </w:rPr>
            </w:pPr>
          </w:p>
        </w:tc>
        <w:tc>
          <w:tcPr>
            <w:tcW w:w="9240" w:type="dxa"/>
            <w:vAlign w:val="bottom"/>
            <w:gridSpan w:val="2"/>
          </w:tcPr>
          <w:p>
            <w:pPr>
              <w:ind w:left="3440"/>
              <w:spacing w:after="0"/>
              <w:rPr>
                <w:sz w:val="20"/>
                <w:szCs w:val="20"/>
                <w:color w:val="auto"/>
              </w:rPr>
            </w:pPr>
            <w:r>
              <w:rPr>
                <w:rFonts w:ascii="Arial" w:cs="Arial" w:eastAsia="Arial" w:hAnsi="Arial"/>
                <w:sz w:val="18"/>
                <w:szCs w:val="18"/>
                <w:color w:val="auto"/>
              </w:rPr>
              <w:t>79</w:t>
            </w:r>
          </w:p>
        </w:tc>
      </w:tr>
      <w:tr>
        <w:trPr>
          <w:trHeight w:val="226"/>
        </w:trPr>
        <w:tc>
          <w:tcPr>
            <w:tcW w:w="2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843"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8900" w:type="dxa"/>
            <w:vAlign w:val="bottom"/>
            <w:tcBorders>
              <w:bottom w:val="single" w:sz="8" w:color="auto"/>
            </w:tcBorders>
          </w:tcPr>
          <w:p>
            <w:pPr>
              <w:ind w:left="3840"/>
              <w:spacing w:after="0"/>
              <w:rPr>
                <w:sz w:val="20"/>
                <w:szCs w:val="20"/>
                <w:color w:val="auto"/>
              </w:rPr>
            </w:pPr>
            <w:r>
              <w:rPr>
                <w:rFonts w:ascii="Arial" w:cs="Arial" w:eastAsia="Arial" w:hAnsi="Arial"/>
                <w:sz w:val="14"/>
                <w:szCs w:val="14"/>
                <w:b w:val="1"/>
                <w:bCs w:val="1"/>
                <w:color w:val="auto"/>
              </w:rPr>
              <w:t>Title or Description</w:t>
            </w:r>
          </w:p>
        </w:tc>
      </w:tr>
      <w:tr>
        <w:trPr>
          <w:trHeight w:val="439"/>
        </w:trPr>
        <w:tc>
          <w:tcPr>
            <w:tcW w:w="2180" w:type="dxa"/>
            <w:vAlign w:val="bottom"/>
          </w:tcPr>
          <w:p>
            <w:pPr>
              <w:spacing w:after="0"/>
              <w:rPr>
                <w:sz w:val="20"/>
                <w:szCs w:val="20"/>
                <w:color w:val="auto"/>
              </w:rPr>
            </w:pPr>
            <w:r>
              <w:rPr>
                <w:rFonts w:ascii="Arial" w:cs="Arial" w:eastAsia="Arial" w:hAnsi="Arial"/>
                <w:sz w:val="18"/>
                <w:szCs w:val="18"/>
                <w:color w:val="auto"/>
              </w:rPr>
              <w:t>10.1*</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3"/>
              </w:rPr>
              <w:t>Amendment to Registration Rights dated as of February 14, 1992 among the Registrant and certain of its stockholders.</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10.2*</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Form of at-will Employment Agreement between the Registrant and most of its employees.</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10.3*</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8"/>
              </w:rPr>
              <w:t>Form of Agreement for Consulting Services between the Registrant and members of its Scientific Advisory Board.</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10.4*</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Form of Nondisclosure Agreement between the Registrant and its Contractors.</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10.5*</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Master Lease and Warrant Agreement dated April 23, 1991 between the Registrant and PacifiCorp Credit, Inc.</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10.6*</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1988 Stock Option Plan.</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10.7*</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1992 Equity Incentive Plan.</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10.8*</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1992 Stock Option Plan for Non-Employee Directors.</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10.9**!!!!</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1992 Employee Stock Purchase Plan.</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10.12++</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Research Agreement dated as of March 16, 1994 between NeuroSpheres, Ltd. and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10.13++</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6"/>
              </w:rPr>
              <w:t>Term Loan Agreement dated as of September 30, 1994 between The First National Bank of Boston and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10.14++</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2"/>
              </w:rPr>
              <w:t>Lease Agreement between the Registrant and Rhode Island Industrial Facilities Corporation, dated as of August 1, 1992.</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10.15++</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1"/>
              </w:rPr>
              <w:t>First Amendment to Lease Agreement between Registrant and The Rhode Island Industrial Facilities Corporation dated as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of September 15, 1994.</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10.17**++++</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9"/>
              </w:rPr>
              <w:t>Development, Marketing and License Agreement, dated as of March 30, 1995 between Registrant and Astra AB.</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10.18++++</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2"/>
              </w:rPr>
              <w:t>Form of Unit Purchase Agreement to be executed by the purchasers of the Common Stock and Warrants offered in April</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1995.</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10.19+++</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8"/>
              </w:rPr>
              <w:t>Form of Common Stock Purchase Agreement to be executed among the Registrant and certain purchasers of the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Registrant’s Common Stock.</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10.22###</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Lease Agreement dated as of November 21, 1997 by and between Hub RI Properties Trust, as Landlord, and</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CytoTherapeutics, Inc., as Tenant.</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10.24!!</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4"/>
              </w:rPr>
              <w:t>CTI individual stockholders option agreement dated as of July 10, 1996 among the Company and the individuals listed</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therein.</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10.25!!</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6"/>
              </w:rPr>
              <w:t>CTI Valoria option agreement dated of July 10, 1996 between the Company and the Societe Financiere Valoria SA.</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10.26!!!</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6"/>
              </w:rPr>
              <w:t>Term Loan Agreement dated as of October 22, 1996 between The First National Bank of Boston and the Registrant.</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10.27***</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3"/>
              </w:rPr>
              <w:t>Agreement and Plan of Merger dated as of August 13, 1997 among StemCells, Inc., the Registrant and CTI Acquisition</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Corp.</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10.28***</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Consulting Agreement dated as of September 25, 1997 between Dr. Irving Weissman 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10.29###</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Letter Agreement among each of Dr. Irving Weissman and Dr. Fred H. Gage 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10.32****</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StemCells, Inc. 1996 Stock Option Plan.</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10.33****</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1997 StemCells Research Stock Option Plan (the “1997 Plan”)</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10.34****</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Form of Performance-Based Incentive Option Agreement issued under the 1997 Plan.</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10.35###</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Employment Agreement dated as of September 25, 1997 between Dr. Richard M. Rose 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10.38{* }</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Rights Agreement, dated as of July 27, 1998 between Bank Boston, N.A. as Rights Agent and the Registrant.</w:t>
            </w:r>
          </w:p>
        </w:tc>
      </w:tr>
      <w:tr>
        <w:trPr>
          <w:trHeight w:val="405"/>
        </w:trPr>
        <w:tc>
          <w:tcPr>
            <w:tcW w:w="2180" w:type="dxa"/>
            <w:vAlign w:val="bottom"/>
          </w:tcPr>
          <w:p>
            <w:pPr>
              <w:spacing w:after="0"/>
              <w:rPr>
                <w:sz w:val="24"/>
                <w:szCs w:val="24"/>
                <w:color w:val="auto"/>
              </w:rPr>
            </w:pPr>
          </w:p>
        </w:tc>
        <w:tc>
          <w:tcPr>
            <w:tcW w:w="9240" w:type="dxa"/>
            <w:vAlign w:val="bottom"/>
            <w:gridSpan w:val="2"/>
          </w:tcPr>
          <w:p>
            <w:pPr>
              <w:ind w:left="3440"/>
              <w:spacing w:after="0"/>
              <w:rPr>
                <w:sz w:val="20"/>
                <w:szCs w:val="20"/>
                <w:color w:val="auto"/>
              </w:rPr>
            </w:pPr>
            <w:r>
              <w:rPr>
                <w:rFonts w:ascii="Arial" w:cs="Arial" w:eastAsia="Arial" w:hAnsi="Arial"/>
                <w:sz w:val="18"/>
                <w:szCs w:val="18"/>
                <w:color w:val="auto"/>
              </w:rPr>
              <w:t>80</w:t>
            </w:r>
          </w:p>
        </w:tc>
      </w:tr>
      <w:tr>
        <w:trPr>
          <w:trHeight w:val="226"/>
        </w:trPr>
        <w:tc>
          <w:tcPr>
            <w:tcW w:w="2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086"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8900" w:type="dxa"/>
            <w:vAlign w:val="bottom"/>
            <w:tcBorders>
              <w:bottom w:val="single" w:sz="8" w:color="auto"/>
            </w:tcBorders>
          </w:tcPr>
          <w:p>
            <w:pPr>
              <w:ind w:left="3840"/>
              <w:spacing w:after="0"/>
              <w:rPr>
                <w:sz w:val="20"/>
                <w:szCs w:val="20"/>
                <w:color w:val="auto"/>
              </w:rPr>
            </w:pPr>
            <w:r>
              <w:rPr>
                <w:rFonts w:ascii="Arial" w:cs="Arial" w:eastAsia="Arial" w:hAnsi="Arial"/>
                <w:sz w:val="14"/>
                <w:szCs w:val="14"/>
                <w:b w:val="1"/>
                <w:bCs w:val="1"/>
                <w:color w:val="auto"/>
              </w:rPr>
              <w:t>Title or Description</w:t>
            </w:r>
          </w:p>
        </w:tc>
      </w:tr>
      <w:tr>
        <w:trPr>
          <w:trHeight w:val="425"/>
        </w:trPr>
        <w:tc>
          <w:tcPr>
            <w:tcW w:w="2180" w:type="dxa"/>
            <w:vAlign w:val="bottom"/>
          </w:tcPr>
          <w:p>
            <w:pPr>
              <w:spacing w:after="0"/>
              <w:rPr>
                <w:sz w:val="20"/>
                <w:szCs w:val="20"/>
                <w:color w:val="auto"/>
              </w:rPr>
            </w:pPr>
            <w:r>
              <w:rPr>
                <w:rFonts w:ascii="Arial" w:cs="Arial" w:eastAsia="Arial" w:hAnsi="Arial"/>
                <w:sz w:val="18"/>
                <w:szCs w:val="18"/>
                <w:color w:val="auto"/>
              </w:rPr>
              <w:t>10.40$**</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1"/>
              </w:rPr>
              <w:t>Consulting Services Agreement dated as of July 27, 1998, as amended December 19, 1998 between Dr. John J. Schwartz</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10.41$**</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Letter Agreement dated as of December 19, 1998 between John J. Schwartz 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10.42$**</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License Agreement dated as of October 27, 1998 between The Scripps Research Institute 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10.43$**</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License Agreement dated as of October 27, 1998 between The Scripps Research Institute 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10.44$**</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9"/>
              </w:rPr>
              <w:t>License Agreement dated as of November 20, 1998 between The Scripps Research Institute 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10.45$$**</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0"/>
              </w:rPr>
              <w:t>Purchase Agreement and License Agreement dated as of December 29, 1999 between Neurotech S.A. 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10.46++++**</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10.47++++**</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10.48X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Form of Registration Rights Agreement dated as of July 31, 2000 between the Registrant and investors.</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10.49X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Subscription Agreement dated as of July 31, 2000 between the Registrant and Millennium Partners, L.P.</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10.50XXX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0"/>
              </w:rPr>
              <w:t>Common Stock Purchase Agreement, dated as of May 10, 2001, between the Registrant and Sativum Investments Limited.</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10.51XXX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1"/>
              </w:rPr>
              <w:t>Escrow Agreement, dated as of May 10, 2001, among the Registrant, Sativum Investments Limited and Epstein, Becker &amp;</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Green, P.C.</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10.52XX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License Agreement, dated as of October 30, 2000, between the Registrant and NeuroSpheres Ltd.</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10.53XX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Letter Agreement, dated January 2, 2001, between the Registrant and Martin McGlynn</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10.54XX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Lease, dated February 1, 2001, between the Board of Trustees of Stanford University and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10.55XXX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2"/>
              </w:rPr>
              <w:t>Registration Rights Agreement, dated as of June 21, 2001, by and between the Registrant and Millennium Partners, L.P.</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10.56XXX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8"/>
              </w:rPr>
              <w:t>Subscription Agreement, dated as of June 21, 2001, by and between the Registrant and Millennium Partners, L.P.</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10.57$$$</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2001 Equity Incentive Plan</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10.58{** }</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Subscription Agreement, dated as of December 4, 2001 between the Registrant and Riverview Group, L.L.C.</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10.59{** }</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6"/>
              </w:rPr>
              <w:t>Registration Rights Agreement, dated as of December 4, 2001 between the Registrant and Riverview Group, L.L.C.</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10.60{** }</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Agreement dated as of December 4, 2001 between the Registrant and Millennium Partners, L.P.</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10.61{** }</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3"/>
              </w:rPr>
              <w:t>Agreement dated as of December 4, 2001 among the Registrant, Millennium Partners, L.P. and Riverview Group, L.L.C.</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10.62$$$$</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3"/>
              </w:rPr>
              <w:t>Common Stock Purchase Agreement, dated as of August 23, 2002, between the Registrant and Triton West Group, Inc.</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10.63&amp;</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Agreement, dated as of April 9, 2003, between the Registrant and Riverview Group, L.L.C.</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10.64&amp;&amp;</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Form of Registration Rights Agreement between the Registrant and Riverview Group, L.L.C.</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10.65&amp;&amp;&amp;</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Securities Purchase Agreement, dated as of May 7, 2003, between the Registrant and Riverview Group, L.L.C.</w:t>
            </w:r>
          </w:p>
        </w:tc>
      </w:tr>
      <w:tr>
        <w:trPr>
          <w:trHeight w:val="405"/>
        </w:trPr>
        <w:tc>
          <w:tcPr>
            <w:tcW w:w="2180" w:type="dxa"/>
            <w:vAlign w:val="bottom"/>
          </w:tcPr>
          <w:p>
            <w:pPr>
              <w:spacing w:after="0"/>
              <w:rPr>
                <w:sz w:val="24"/>
                <w:szCs w:val="24"/>
                <w:color w:val="auto"/>
              </w:rPr>
            </w:pPr>
          </w:p>
        </w:tc>
        <w:tc>
          <w:tcPr>
            <w:tcW w:w="9240" w:type="dxa"/>
            <w:vAlign w:val="bottom"/>
            <w:gridSpan w:val="2"/>
          </w:tcPr>
          <w:p>
            <w:pPr>
              <w:ind w:left="3440"/>
              <w:spacing w:after="0"/>
              <w:rPr>
                <w:sz w:val="20"/>
                <w:szCs w:val="20"/>
                <w:color w:val="auto"/>
              </w:rPr>
            </w:pPr>
            <w:r>
              <w:rPr>
                <w:rFonts w:ascii="Arial" w:cs="Arial" w:eastAsia="Arial" w:hAnsi="Arial"/>
                <w:sz w:val="18"/>
                <w:szCs w:val="18"/>
                <w:color w:val="auto"/>
              </w:rPr>
              <w:t>81</w:t>
            </w:r>
          </w:p>
        </w:tc>
      </w:tr>
      <w:tr>
        <w:trPr>
          <w:trHeight w:val="226"/>
        </w:trPr>
        <w:tc>
          <w:tcPr>
            <w:tcW w:w="2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8900" w:type="dxa"/>
            <w:vAlign w:val="bottom"/>
            <w:tcBorders>
              <w:bottom w:val="single" w:sz="8" w:color="auto"/>
            </w:tcBorders>
          </w:tcPr>
          <w:p>
            <w:pPr>
              <w:ind w:left="3840"/>
              <w:spacing w:after="0"/>
              <w:rPr>
                <w:sz w:val="20"/>
                <w:szCs w:val="20"/>
                <w:color w:val="auto"/>
              </w:rPr>
            </w:pPr>
            <w:r>
              <w:rPr>
                <w:rFonts w:ascii="Arial" w:cs="Arial" w:eastAsia="Arial" w:hAnsi="Arial"/>
                <w:sz w:val="14"/>
                <w:szCs w:val="14"/>
                <w:b w:val="1"/>
                <w:bCs w:val="1"/>
                <w:color w:val="auto"/>
              </w:rPr>
              <w:t>Title or Description</w:t>
            </w:r>
          </w:p>
        </w:tc>
      </w:tr>
      <w:tr>
        <w:trPr>
          <w:trHeight w:val="439"/>
        </w:trPr>
        <w:tc>
          <w:tcPr>
            <w:tcW w:w="2180" w:type="dxa"/>
            <w:vAlign w:val="bottom"/>
          </w:tcPr>
          <w:p>
            <w:pPr>
              <w:spacing w:after="0"/>
              <w:rPr>
                <w:sz w:val="20"/>
                <w:szCs w:val="20"/>
                <w:color w:val="auto"/>
              </w:rPr>
            </w:pPr>
            <w:r>
              <w:rPr>
                <w:rFonts w:ascii="Arial" w:cs="Arial" w:eastAsia="Arial" w:hAnsi="Arial"/>
                <w:sz w:val="18"/>
                <w:szCs w:val="18"/>
                <w:color w:val="auto"/>
              </w:rPr>
              <w:t>10.66%</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5"/>
              </w:rPr>
              <w:t>Securities Purchase Agreement dated as of December 9, 2003, between the Registrant and Riverview Group, L.L.C.</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10.67^^^</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1"/>
              </w:rPr>
              <w:t>Form of Securities Purchase Agreement dated as of June 16, 2004 between the Registrant and certain Purchasers parties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thereto.</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10.68^^^</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Form of Warrant.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10.69^^^^</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Amended and Restated 2004 Equity Incentive Plan of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10.70^^^^^</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Letter Agreement dated as of October 7, 2004 between the Registrant and Judi Lum.</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14.1%%</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Code of Ethics</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21X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23.1</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Consent of Grant Thornton, LLP, Independent Registered Public Accounting Firm.</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23.2</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31.1</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Pursuant to Securities Exchange Act Rule 13(a)-14(a), as Adopted Pursuant to Section 302 of the Sarbanes-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Oxley Act of 2002 (Martin McGlynn, Chief Executive Officer).</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31.2</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Pursuant to Securities Exchange Act Rule 13(a)-14(a), as Adopted Pursuant to Section 302 of the Sarbanes-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Oxley Act of 2002 (Judi Lum, Chief Financial Officer).</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32.1</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(Martin McGlynn, Chief Executive Officer)</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32.2</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(Judi Lum, Chief Financial Officer)</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99</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Cautionary Factors Relevant to Forward-Looking Information</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99.1XX</w:t>
            </w: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w w:val="98"/>
              </w:rPr>
              <w:t>Side Letter, dated March 17, 2001, between the Company and Oleh S. Hnatiuk regarding NeuroSpheres License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340"/>
              <w:spacing w:after="0"/>
              <w:rPr>
                <w:sz w:val="20"/>
                <w:szCs w:val="20"/>
                <w:color w:val="auto"/>
              </w:rPr>
            </w:pPr>
            <w:r>
              <w:rPr>
                <w:rFonts w:ascii="Arial" w:cs="Arial" w:eastAsia="Arial" w:hAnsi="Arial"/>
                <w:sz w:val="18"/>
                <w:szCs w:val="18"/>
                <w:color w:val="auto"/>
              </w:rPr>
              <w:t>Agreement, dated October 30, 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1" w:lineRule="exact"/>
        <w:rPr>
          <w:sz w:val="20"/>
          <w:szCs w:val="20"/>
          <w:color w:val="auto"/>
        </w:rPr>
      </w:pPr>
    </w:p>
    <w:p>
      <w:pPr>
        <w:ind w:left="700" w:right="140" w:hanging="462"/>
        <w:spacing w:after="0" w:line="277" w:lineRule="auto"/>
        <w:tabs>
          <w:tab w:leader="none" w:pos="7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33-85494.</w:t>
      </w:r>
    </w:p>
    <w:p>
      <w:pPr>
        <w:spacing w:after="0" w:line="8" w:lineRule="exact"/>
        <w:rPr>
          <w:rFonts w:ascii="Arial" w:cs="Arial" w:eastAsia="Arial" w:hAnsi="Arial"/>
          <w:sz w:val="18"/>
          <w:szCs w:val="18"/>
          <w:color w:val="auto"/>
        </w:rPr>
      </w:pPr>
    </w:p>
    <w:p>
      <w:pPr>
        <w:ind w:left="700" w:right="140" w:hanging="570"/>
        <w:spacing w:after="0" w:line="277" w:lineRule="auto"/>
        <w:tabs>
          <w:tab w:leader="none" w:pos="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S-3, File No. 33-97272.</w:t>
      </w:r>
    </w:p>
    <w:p>
      <w:pPr>
        <w:spacing w:after="0" w:line="8" w:lineRule="exact"/>
        <w:rPr>
          <w:rFonts w:ascii="Arial" w:cs="Arial" w:eastAsia="Arial" w:hAnsi="Arial"/>
          <w:sz w:val="18"/>
          <w:szCs w:val="18"/>
          <w:color w:val="auto"/>
        </w:rPr>
      </w:pPr>
    </w:p>
    <w:p>
      <w:pPr>
        <w:ind w:left="700" w:right="140" w:hanging="692"/>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33-91228.</w:t>
      </w:r>
    </w:p>
    <w:p>
      <w:pPr>
        <w:spacing w:after="0" w:line="8" w:lineRule="exact"/>
        <w:rPr>
          <w:rFonts w:ascii="Arial" w:cs="Arial" w:eastAsia="Arial" w:hAnsi="Arial"/>
          <w:sz w:val="18"/>
          <w:szCs w:val="18"/>
          <w:color w:val="auto"/>
        </w:rPr>
      </w:pPr>
    </w:p>
    <w:p>
      <w:pPr>
        <w:ind w:left="700" w:right="400" w:hanging="230"/>
        <w:spacing w:after="0" w:line="277" w:lineRule="auto"/>
        <w:rPr>
          <w:rFonts w:ascii="Arial" w:cs="Arial" w:eastAsia="Arial" w:hAnsi="Arial"/>
          <w:sz w:val="18"/>
          <w:szCs w:val="18"/>
          <w:color w:val="auto"/>
        </w:rPr>
      </w:pPr>
      <w:r>
        <w:rPr>
          <w:rFonts w:ascii="Arial" w:cs="Arial" w:eastAsia="Arial" w:hAnsi="Arial"/>
          <w:sz w:val="18"/>
          <w:szCs w:val="18"/>
          <w:color w:val="auto"/>
        </w:rPr>
        <w:t>* Previously filed with the Commission as Exhibits to, and incorporated herein by reference to, Registration Statement on Form S-1, File No. 33-45739.</w:t>
      </w:r>
    </w:p>
    <w:p>
      <w:pPr>
        <w:spacing w:after="0" w:line="8" w:lineRule="exact"/>
        <w:rPr>
          <w:rFonts w:ascii="Arial" w:cs="Arial" w:eastAsia="Arial" w:hAnsi="Arial"/>
          <w:sz w:val="18"/>
          <w:szCs w:val="18"/>
          <w:color w:val="auto"/>
        </w:rPr>
      </w:pPr>
    </w:p>
    <w:p>
      <w:pPr>
        <w:ind w:left="700" w:right="400" w:hanging="341"/>
        <w:spacing w:after="0" w:line="277" w:lineRule="auto"/>
        <w:tabs>
          <w:tab w:leader="none" w:pos="700" w:val="left"/>
        </w:tabs>
        <w:numPr>
          <w:ilvl w:val="3"/>
          <w:numId w:val="40"/>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8" w:lineRule="exact"/>
        <w:rPr>
          <w:sz w:val="20"/>
          <w:szCs w:val="20"/>
          <w:color w:val="auto"/>
        </w:rPr>
      </w:pPr>
    </w:p>
    <w:p>
      <w:pPr>
        <w:ind w:left="700" w:right="540" w:hanging="341"/>
        <w:spacing w:after="0" w:line="277" w:lineRule="auto"/>
        <w:tabs>
          <w:tab w:leader="none" w:pos="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8" w:lineRule="exact"/>
        <w:rPr>
          <w:rFonts w:ascii="Arial" w:cs="Arial" w:eastAsia="Arial" w:hAnsi="Arial"/>
          <w:sz w:val="18"/>
          <w:szCs w:val="18"/>
          <w:color w:val="auto"/>
        </w:rPr>
      </w:pPr>
    </w:p>
    <w:p>
      <w:pPr>
        <w:ind w:left="700" w:right="240" w:hanging="462"/>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8" w:lineRule="exact"/>
        <w:rPr>
          <w:sz w:val="20"/>
          <w:szCs w:val="20"/>
          <w:color w:val="auto"/>
        </w:rPr>
      </w:pPr>
    </w:p>
    <w:p>
      <w:pPr>
        <w:ind w:left="700" w:right="120" w:hanging="341"/>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8" w:lineRule="exact"/>
        <w:rPr>
          <w:sz w:val="20"/>
          <w:szCs w:val="20"/>
          <w:color w:val="auto"/>
        </w:rPr>
      </w:pPr>
    </w:p>
    <w:p>
      <w:pPr>
        <w:ind w:left="700" w:right="360" w:hanging="233"/>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March 31, 1996.</w:t>
      </w:r>
    </w:p>
    <w:p>
      <w:pPr>
        <w:spacing w:after="0" w:line="8" w:lineRule="exact"/>
        <w:rPr>
          <w:sz w:val="20"/>
          <w:szCs w:val="20"/>
          <w:color w:val="auto"/>
        </w:rPr>
      </w:pPr>
    </w:p>
    <w:p>
      <w:pPr>
        <w:ind w:left="700" w:right="360" w:hanging="233"/>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September 30, 1996.</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hanging="341"/>
        <w:spacing w:after="0" w:line="277"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8" w:lineRule="exact"/>
        <w:rPr>
          <w:sz w:val="20"/>
          <w:szCs w:val="20"/>
          <w:color w:val="auto"/>
        </w:rPr>
      </w:pPr>
    </w:p>
    <w:p>
      <w:pPr>
        <w:ind w:left="700" w:right="140" w:hanging="341"/>
        <w:spacing w:after="0" w:line="277" w:lineRule="auto"/>
        <w:tabs>
          <w:tab w:leader="none" w:pos="7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1995.</w:t>
      </w:r>
    </w:p>
    <w:p>
      <w:pPr>
        <w:spacing w:after="0" w:line="8" w:lineRule="exact"/>
        <w:rPr>
          <w:rFonts w:ascii="Arial" w:cs="Arial" w:eastAsia="Arial" w:hAnsi="Arial"/>
          <w:sz w:val="18"/>
          <w:szCs w:val="18"/>
          <w:color w:val="auto"/>
        </w:rPr>
      </w:pPr>
    </w:p>
    <w:p>
      <w:pPr>
        <w:ind w:left="700" w:right="140" w:hanging="462"/>
        <w:spacing w:after="0" w:line="277"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8" w:lineRule="exact"/>
        <w:rPr>
          <w:rFonts w:ascii="Arial" w:cs="Arial" w:eastAsia="Arial" w:hAnsi="Arial"/>
          <w:sz w:val="18"/>
          <w:szCs w:val="18"/>
          <w:color w:val="auto"/>
        </w:rPr>
      </w:pPr>
    </w:p>
    <w:p>
      <w:pPr>
        <w:ind w:left="700" w:right="40" w:hanging="570"/>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S-8, File No. 333-37313.</w:t>
      </w:r>
    </w:p>
    <w:p>
      <w:pPr>
        <w:spacing w:after="0" w:line="8" w:lineRule="exact"/>
        <w:rPr>
          <w:sz w:val="20"/>
          <w:szCs w:val="20"/>
          <w:color w:val="auto"/>
        </w:rPr>
      </w:pPr>
    </w:p>
    <w:p>
      <w:pPr>
        <w:ind w:left="700" w:hanging="570"/>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8" w:lineRule="exact"/>
        <w:rPr>
          <w:sz w:val="20"/>
          <w:szCs w:val="20"/>
          <w:color w:val="auto"/>
        </w:rPr>
      </w:pPr>
    </w:p>
    <w:p>
      <w:pPr>
        <w:ind w:left="520" w:right="140" w:hanging="310"/>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current report on Form 8-K filed on August 3, 1998.</w:t>
      </w:r>
    </w:p>
    <w:p>
      <w:pPr>
        <w:spacing w:after="0" w:line="8" w:lineRule="exact"/>
        <w:rPr>
          <w:sz w:val="20"/>
          <w:szCs w:val="20"/>
          <w:color w:val="auto"/>
        </w:rPr>
      </w:pPr>
    </w:p>
    <w:p>
      <w:pPr>
        <w:ind w:left="500" w:right="160" w:hanging="404"/>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current report on Form 8-K filed on December 7, 2001.</w:t>
      </w:r>
    </w:p>
    <w:p>
      <w:pPr>
        <w:spacing w:after="0" w:line="8" w:lineRule="exact"/>
        <w:rPr>
          <w:sz w:val="20"/>
          <w:szCs w:val="20"/>
          <w:color w:val="auto"/>
        </w:rPr>
      </w:pPr>
    </w:p>
    <w:p>
      <w:pPr>
        <w:ind w:left="700" w:hanging="233"/>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8" w:lineRule="exact"/>
        <w:rPr>
          <w:sz w:val="20"/>
          <w:szCs w:val="20"/>
          <w:color w:val="auto"/>
        </w:rPr>
      </w:pPr>
    </w:p>
    <w:p>
      <w:pPr>
        <w:ind w:left="700" w:right="340" w:hanging="337"/>
        <w:spacing w:after="0" w:line="277" w:lineRule="auto"/>
        <w:tabs>
          <w:tab w:leader="none" w:pos="680" w:val="left"/>
        </w:tabs>
        <w:rPr>
          <w:sz w:val="20"/>
          <w:szCs w:val="20"/>
          <w:color w:val="auto"/>
        </w:rPr>
      </w:pPr>
      <w:r>
        <w:rPr>
          <w:rFonts w:ascii="Arial" w:cs="Arial" w:eastAsia="Arial" w:hAnsi="Arial"/>
          <w:sz w:val="18"/>
          <w:szCs w:val="18"/>
          <w:color w:val="auto"/>
        </w:rPr>
        <w:t>$$</w:t>
        <w:tab/>
        <w:t>Previously filed with the Commission as an Exhibit to, and incorporated herein by reference to, the Registrant’s current report on Form 8-K on January 14, 2000.</w:t>
      </w:r>
    </w:p>
    <w:p>
      <w:pPr>
        <w:spacing w:after="0" w:line="8" w:lineRule="exact"/>
        <w:rPr>
          <w:sz w:val="20"/>
          <w:szCs w:val="20"/>
          <w:color w:val="auto"/>
        </w:rPr>
      </w:pPr>
    </w:p>
    <w:p>
      <w:pPr>
        <w:ind w:left="700" w:right="280" w:hanging="458"/>
        <w:spacing w:after="0" w:line="277" w:lineRule="auto"/>
        <w:tabs>
          <w:tab w:leader="none" w:pos="680" w:val="left"/>
        </w:tabs>
        <w:rPr>
          <w:sz w:val="20"/>
          <w:szCs w:val="20"/>
          <w:color w:val="auto"/>
        </w:rPr>
      </w:pPr>
      <w:r>
        <w:rPr>
          <w:rFonts w:ascii="Arial" w:cs="Arial" w:eastAsia="Arial" w:hAnsi="Arial"/>
          <w:sz w:val="18"/>
          <w:szCs w:val="18"/>
          <w:color w:val="auto"/>
        </w:rPr>
        <w:t>$$$</w:t>
        <w:tab/>
        <w:t>Previously filed with the Commission as an Exhibit to, and incorporated herein by reference to, the Registrant’s definitive proxy statement filed May 1, 2001.</w:t>
      </w:r>
    </w:p>
    <w:p>
      <w:pPr>
        <w:spacing w:after="0" w:line="8" w:lineRule="exact"/>
        <w:rPr>
          <w:sz w:val="20"/>
          <w:szCs w:val="20"/>
          <w:color w:val="auto"/>
        </w:rPr>
      </w:pPr>
    </w:p>
    <w:p>
      <w:pPr>
        <w:ind w:left="700" w:right="40" w:hanging="341"/>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on Form S-1, File No. 333-45496.</w:t>
      </w:r>
    </w:p>
    <w:p>
      <w:pPr>
        <w:spacing w:after="0" w:line="8" w:lineRule="exact"/>
        <w:rPr>
          <w:sz w:val="20"/>
          <w:szCs w:val="20"/>
          <w:color w:val="auto"/>
        </w:rPr>
      </w:pPr>
    </w:p>
    <w:p>
      <w:pPr>
        <w:ind w:left="700" w:right="140" w:hanging="462"/>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8" w:lineRule="exact"/>
        <w:rPr>
          <w:sz w:val="20"/>
          <w:szCs w:val="20"/>
          <w:color w:val="auto"/>
        </w:rPr>
      </w:pPr>
    </w:p>
    <w:p>
      <w:pPr>
        <w:ind w:left="700" w:right="300" w:hanging="570"/>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S-1 as amended to Form S-3, File No. 333-61726.</w:t>
      </w:r>
    </w:p>
    <w:p>
      <w:pPr>
        <w:spacing w:after="0" w:line="8" w:lineRule="exact"/>
        <w:rPr>
          <w:sz w:val="20"/>
          <w:szCs w:val="20"/>
          <w:color w:val="auto"/>
        </w:rPr>
      </w:pPr>
    </w:p>
    <w:p>
      <w:pPr>
        <w:ind w:left="700" w:right="300" w:hanging="692"/>
        <w:spacing w:after="0" w:line="277"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333-75806.</w:t>
      </w:r>
    </w:p>
    <w:p>
      <w:pPr>
        <w:spacing w:after="0" w:line="8" w:lineRule="exact"/>
        <w:rPr>
          <w:sz w:val="20"/>
          <w:szCs w:val="20"/>
          <w:color w:val="auto"/>
        </w:rPr>
      </w:pPr>
    </w:p>
    <w:p>
      <w:pPr>
        <w:ind w:left="600" w:right="200" w:hanging="499"/>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Amendment No. 1 to Registration Statement filed on Form S-3, File No. 333-83992.</w:t>
      </w:r>
    </w:p>
    <w:p>
      <w:pPr>
        <w:spacing w:after="0" w:line="8" w:lineRule="exact"/>
        <w:rPr>
          <w:sz w:val="20"/>
          <w:szCs w:val="20"/>
          <w:color w:val="auto"/>
        </w:rPr>
      </w:pPr>
    </w:p>
    <w:p>
      <w:pPr>
        <w:ind w:left="700" w:right="340" w:hanging="566"/>
        <w:spacing w:after="0" w:line="277" w:lineRule="auto"/>
        <w:tabs>
          <w:tab w:leader="none" w:pos="680" w:val="left"/>
        </w:tabs>
        <w:rPr>
          <w:sz w:val="20"/>
          <w:szCs w:val="20"/>
          <w:color w:val="auto"/>
        </w:rPr>
      </w:pPr>
      <w:r>
        <w:rPr>
          <w:rFonts w:ascii="Arial" w:cs="Arial" w:eastAsia="Arial" w:hAnsi="Arial"/>
          <w:sz w:val="18"/>
          <w:szCs w:val="18"/>
          <w:color w:val="auto"/>
        </w:rPr>
        <w:t>$$$$</w:t>
        <w:tab/>
        <w:t>Previously filed with the Commission as an Exhibit to, and incorporated herein by reference to, the Registrant’s current report on Form 8-K on August 28, 2002.</w:t>
      </w:r>
    </w:p>
    <w:p>
      <w:pPr>
        <w:spacing w:after="0" w:line="8" w:lineRule="exact"/>
        <w:rPr>
          <w:sz w:val="20"/>
          <w:szCs w:val="20"/>
          <w:color w:val="auto"/>
        </w:rPr>
      </w:pPr>
    </w:p>
    <w:p>
      <w:pPr>
        <w:ind w:left="700" w:right="340" w:hanging="341"/>
        <w:spacing w:after="0" w:line="277"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April 15, 2003.</w:t>
      </w:r>
    </w:p>
    <w:p>
      <w:pPr>
        <w:spacing w:after="0" w:line="8" w:lineRule="exact"/>
        <w:rPr>
          <w:sz w:val="20"/>
          <w:szCs w:val="20"/>
          <w:color w:val="auto"/>
        </w:rPr>
      </w:pPr>
    </w:p>
    <w:p>
      <w:pPr>
        <w:ind w:left="700" w:right="340" w:hanging="462"/>
        <w:spacing w:after="0" w:line="277"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May 13, 2003.</w:t>
      </w:r>
    </w:p>
    <w:p>
      <w:pPr>
        <w:spacing w:after="0" w:line="8" w:lineRule="exact"/>
        <w:rPr>
          <w:sz w:val="20"/>
          <w:szCs w:val="20"/>
          <w:color w:val="auto"/>
        </w:rPr>
      </w:pPr>
    </w:p>
    <w:p>
      <w:pPr>
        <w:ind w:left="700" w:right="340" w:hanging="570"/>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May 15, 2003.</w:t>
      </w:r>
    </w:p>
    <w:p>
      <w:pPr>
        <w:spacing w:after="0" w:line="8" w:lineRule="exact"/>
        <w:rPr>
          <w:sz w:val="20"/>
          <w:szCs w:val="20"/>
          <w:color w:val="auto"/>
        </w:rPr>
      </w:pPr>
    </w:p>
    <w:p>
      <w:pPr>
        <w:ind w:left="700" w:right="340" w:hanging="341"/>
        <w:spacing w:after="0" w:line="27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December 10, 2003.</w:t>
      </w:r>
    </w:p>
    <w:p>
      <w:pPr>
        <w:spacing w:after="0" w:line="8" w:lineRule="exact"/>
        <w:rPr>
          <w:sz w:val="20"/>
          <w:szCs w:val="20"/>
          <w:color w:val="auto"/>
        </w:rPr>
      </w:pPr>
    </w:p>
    <w:p>
      <w:pPr>
        <w:ind w:left="700" w:right="140" w:hanging="462"/>
        <w:spacing w:after="0" w:line="277"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2003.</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hanging="233"/>
        <w:spacing w:after="0" w:line="277" w:lineRule="auto"/>
        <w:tabs>
          <w:tab w:leader="none" w:pos="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October 25, 2004.</w:t>
      </w:r>
    </w:p>
    <w:p>
      <w:pPr>
        <w:spacing w:after="0" w:line="8" w:lineRule="exact"/>
        <w:rPr>
          <w:rFonts w:ascii="Arial" w:cs="Arial" w:eastAsia="Arial" w:hAnsi="Arial"/>
          <w:sz w:val="18"/>
          <w:szCs w:val="18"/>
          <w:color w:val="auto"/>
        </w:rPr>
      </w:pPr>
    </w:p>
    <w:p>
      <w:pPr>
        <w:ind w:left="500" w:right="220" w:hanging="168"/>
        <w:spacing w:after="0" w:line="277" w:lineRule="auto"/>
        <w:tabs>
          <w:tab w:leader="none" w:pos="5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Registration Statement on Form S-3, File No. 333-117360.</w:t>
      </w:r>
    </w:p>
    <w:p>
      <w:pPr>
        <w:spacing w:after="0" w:line="8" w:lineRule="exact"/>
        <w:rPr>
          <w:sz w:val="20"/>
          <w:szCs w:val="20"/>
          <w:color w:val="auto"/>
        </w:rPr>
      </w:pPr>
    </w:p>
    <w:p>
      <w:pPr>
        <w:ind w:left="580" w:right="40" w:hanging="248"/>
        <w:spacing w:after="0" w:line="277" w:lineRule="auto"/>
        <w:tabs>
          <w:tab w:leader="none" w:pos="625" w:val="left"/>
        </w:tabs>
        <w:numPr>
          <w:ilvl w:val="1"/>
          <w:numId w:val="5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June 17, 2004.</w:t>
      </w:r>
    </w:p>
    <w:p>
      <w:pPr>
        <w:spacing w:after="0" w:line="8" w:lineRule="exact"/>
        <w:rPr>
          <w:rFonts w:ascii="Arial" w:cs="Arial" w:eastAsia="Arial" w:hAnsi="Arial"/>
          <w:sz w:val="18"/>
          <w:szCs w:val="18"/>
          <w:color w:val="auto"/>
        </w:rPr>
      </w:pPr>
    </w:p>
    <w:p>
      <w:pPr>
        <w:ind w:left="560" w:right="60" w:hanging="349"/>
        <w:spacing w:after="0" w:line="277" w:lineRule="auto"/>
        <w:tabs>
          <w:tab w:leader="none" w:pos="6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on Form S-8, File No. 333-118263.</w:t>
      </w:r>
    </w:p>
    <w:p>
      <w:pPr>
        <w:spacing w:after="0" w:line="8" w:lineRule="exact"/>
        <w:rPr>
          <w:sz w:val="20"/>
          <w:szCs w:val="20"/>
          <w:color w:val="auto"/>
        </w:rPr>
      </w:pPr>
    </w:p>
    <w:p>
      <w:pPr>
        <w:ind w:left="640" w:hanging="429"/>
        <w:spacing w:after="0" w:line="277" w:lineRule="auto"/>
        <w:tabs>
          <w:tab w:leader="none" w:pos="6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November 9, 2004.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40"/>
        <w:spacing w:after="0"/>
        <w:tabs>
          <w:tab w:leader="none" w:pos="724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2005</w:t>
      </w:r>
    </w:p>
    <w:p>
      <w:pPr>
        <w:spacing w:after="0" w:line="117" w:lineRule="exact"/>
        <w:rPr>
          <w:sz w:val="20"/>
          <w:szCs w:val="20"/>
          <w:color w:val="auto"/>
        </w:rPr>
      </w:pPr>
    </w:p>
    <w:p>
      <w:pPr>
        <w:ind w:right="70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4"/>
                <w:szCs w:val="1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Capacity</w:t>
            </w: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25"/>
        </w:trPr>
        <w:tc>
          <w:tcPr>
            <w:tcW w:w="5280" w:type="dxa"/>
            <w:vAlign w:val="bottom"/>
          </w:tcPr>
          <w:p>
            <w:pPr>
              <w:jc w:val="center"/>
              <w:spacing w:after="0"/>
              <w:rPr>
                <w:sz w:val="20"/>
                <w:szCs w:val="20"/>
                <w:color w:val="auto"/>
              </w:rPr>
            </w:pPr>
            <w:r>
              <w:rPr>
                <w:rFonts w:ascii="Arial" w:cs="Arial" w:eastAsia="Arial" w:hAnsi="Arial"/>
                <w:sz w:val="18"/>
                <w:szCs w:val="18"/>
                <w:color w:val="auto"/>
                <w:w w:val="99"/>
              </w:rPr>
              <w:t>/s/ MARTIN M</w:t>
            </w:r>
            <w:r>
              <w:rPr>
                <w:rFonts w:ascii="Arial" w:cs="Arial" w:eastAsia="Arial" w:hAnsi="Arial"/>
                <w:sz w:val="12"/>
                <w:szCs w:val="12"/>
                <w:color w:val="auto"/>
                <w:w w:val="99"/>
              </w:rPr>
              <w:t>C</w:t>
            </w:r>
            <w:r>
              <w:rPr>
                <w:rFonts w:ascii="Arial" w:cs="Arial" w:eastAsia="Arial" w:hAnsi="Arial"/>
                <w:sz w:val="18"/>
                <w:szCs w:val="18"/>
                <w:color w:val="auto"/>
                <w:w w:val="99"/>
              </w:rPr>
              <w:t>GLYNN</w:t>
            </w:r>
          </w:p>
        </w:tc>
        <w:tc>
          <w:tcPr>
            <w:tcW w:w="3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and 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14, 2005</w:t>
            </w:r>
          </w:p>
        </w:tc>
        <w:tc>
          <w:tcPr>
            <w:tcW w:w="0" w:type="dxa"/>
            <w:vAlign w:val="bottom"/>
          </w:tcPr>
          <w:p>
            <w:pPr>
              <w:spacing w:after="0"/>
              <w:rPr>
                <w:sz w:val="1"/>
                <w:szCs w:val="1"/>
                <w:color w:val="auto"/>
              </w:rPr>
            </w:pPr>
          </w:p>
        </w:tc>
      </w:tr>
      <w:tr>
        <w:trPr>
          <w:trHeight w:val="55"/>
        </w:trPr>
        <w:tc>
          <w:tcPr>
            <w:tcW w:w="52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22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6"/>
              </w:rPr>
              <w:t>Martin McGlynn</w:t>
            </w:r>
          </w:p>
        </w:tc>
        <w:tc>
          <w:tcPr>
            <w:tcW w:w="340" w:type="dxa"/>
            <w:vAlign w:val="bottom"/>
          </w:tcPr>
          <w:p>
            <w:pPr>
              <w:spacing w:after="0"/>
              <w:rPr>
                <w:sz w:val="13"/>
                <w:szCs w:val="13"/>
                <w:color w:val="auto"/>
              </w:rPr>
            </w:pPr>
          </w:p>
        </w:tc>
        <w:tc>
          <w:tcPr>
            <w:tcW w:w="42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2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5280" w:type="dxa"/>
            <w:vAlign w:val="bottom"/>
          </w:tcPr>
          <w:p>
            <w:pPr>
              <w:jc w:val="center"/>
              <w:spacing w:after="0"/>
              <w:rPr>
                <w:sz w:val="20"/>
                <w:szCs w:val="20"/>
                <w:color w:val="auto"/>
              </w:rPr>
            </w:pPr>
            <w:r>
              <w:rPr>
                <w:rFonts w:ascii="Arial" w:cs="Arial" w:eastAsia="Arial" w:hAnsi="Arial"/>
                <w:sz w:val="18"/>
                <w:szCs w:val="18"/>
                <w:color w:val="auto"/>
                <w:w w:val="99"/>
              </w:rPr>
              <w:t>/s/ JUDI LUM</w:t>
            </w:r>
          </w:p>
        </w:tc>
        <w:tc>
          <w:tcPr>
            <w:tcW w:w="3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14, 2005</w:t>
            </w:r>
          </w:p>
        </w:tc>
        <w:tc>
          <w:tcPr>
            <w:tcW w:w="0" w:type="dxa"/>
            <w:vAlign w:val="bottom"/>
          </w:tcPr>
          <w:p>
            <w:pPr>
              <w:spacing w:after="0"/>
              <w:rPr>
                <w:sz w:val="1"/>
                <w:szCs w:val="1"/>
                <w:color w:val="auto"/>
              </w:rPr>
            </w:pPr>
          </w:p>
        </w:tc>
      </w:tr>
      <w:tr>
        <w:trPr>
          <w:trHeight w:val="41"/>
        </w:trPr>
        <w:tc>
          <w:tcPr>
            <w:tcW w:w="52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80" w:type="dxa"/>
            <w:vAlign w:val="bottom"/>
          </w:tcPr>
          <w:p>
            <w:pPr>
              <w:jc w:val="center"/>
              <w:spacing w:after="0"/>
              <w:rPr>
                <w:sz w:val="20"/>
                <w:szCs w:val="20"/>
                <w:color w:val="auto"/>
              </w:rPr>
            </w:pPr>
            <w:r>
              <w:rPr>
                <w:rFonts w:ascii="Arial" w:cs="Arial" w:eastAsia="Arial" w:hAnsi="Arial"/>
                <w:sz w:val="18"/>
                <w:szCs w:val="18"/>
                <w:color w:val="auto"/>
                <w:w w:val="95"/>
              </w:rPr>
              <w:t>Judi Lum</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280" w:type="dxa"/>
            <w:vAlign w:val="bottom"/>
          </w:tcPr>
          <w:p>
            <w:pPr>
              <w:jc w:val="center"/>
              <w:spacing w:after="0"/>
              <w:rPr>
                <w:sz w:val="20"/>
                <w:szCs w:val="20"/>
                <w:color w:val="auto"/>
              </w:rPr>
            </w:pPr>
            <w:r>
              <w:rPr>
                <w:rFonts w:ascii="Arial" w:cs="Arial" w:eastAsia="Arial" w:hAnsi="Arial"/>
                <w:sz w:val="18"/>
                <w:szCs w:val="18"/>
                <w:color w:val="auto"/>
                <w:w w:val="94"/>
              </w:rPr>
              <w:t>/s/ GEORGE KOSHY</w:t>
            </w:r>
          </w:p>
        </w:tc>
        <w:tc>
          <w:tcPr>
            <w:tcW w:w="3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4"/>
              </w:rPr>
              <w:t>Controller (principal accounting officer)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14, 2005</w:t>
            </w:r>
          </w:p>
        </w:tc>
        <w:tc>
          <w:tcPr>
            <w:tcW w:w="0" w:type="dxa"/>
            <w:vAlign w:val="bottom"/>
          </w:tcPr>
          <w:p>
            <w:pPr>
              <w:spacing w:after="0"/>
              <w:rPr>
                <w:sz w:val="1"/>
                <w:szCs w:val="1"/>
                <w:color w:val="auto"/>
              </w:rPr>
            </w:pPr>
          </w:p>
        </w:tc>
      </w:tr>
      <w:tr>
        <w:trPr>
          <w:trHeight w:val="41"/>
        </w:trPr>
        <w:tc>
          <w:tcPr>
            <w:tcW w:w="52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80" w:type="dxa"/>
            <w:vAlign w:val="bottom"/>
          </w:tcPr>
          <w:p>
            <w:pPr>
              <w:jc w:val="center"/>
              <w:spacing w:after="0"/>
              <w:rPr>
                <w:sz w:val="20"/>
                <w:szCs w:val="20"/>
                <w:color w:val="auto"/>
              </w:rPr>
            </w:pPr>
            <w:r>
              <w:rPr>
                <w:rFonts w:ascii="Arial" w:cs="Arial" w:eastAsia="Arial" w:hAnsi="Arial"/>
                <w:sz w:val="18"/>
                <w:szCs w:val="18"/>
                <w:color w:val="auto"/>
                <w:w w:val="90"/>
              </w:rPr>
              <w:t>George Koshy</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280" w:type="dxa"/>
            <w:vAlign w:val="bottom"/>
          </w:tcPr>
          <w:p>
            <w:pPr>
              <w:jc w:val="center"/>
              <w:spacing w:after="0"/>
              <w:rPr>
                <w:sz w:val="20"/>
                <w:szCs w:val="20"/>
                <w:color w:val="auto"/>
              </w:rPr>
            </w:pPr>
            <w:r>
              <w:rPr>
                <w:rFonts w:ascii="Arial" w:cs="Arial" w:eastAsia="Arial" w:hAnsi="Arial"/>
                <w:sz w:val="18"/>
                <w:szCs w:val="18"/>
                <w:color w:val="auto"/>
                <w:w w:val="95"/>
              </w:rPr>
              <w:t>/s/ ERIC BJERKHOLT</w:t>
            </w:r>
          </w:p>
        </w:tc>
        <w:tc>
          <w:tcPr>
            <w:tcW w:w="3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14, 2005</w:t>
            </w:r>
          </w:p>
        </w:tc>
        <w:tc>
          <w:tcPr>
            <w:tcW w:w="0" w:type="dxa"/>
            <w:vAlign w:val="bottom"/>
          </w:tcPr>
          <w:p>
            <w:pPr>
              <w:spacing w:after="0"/>
              <w:rPr>
                <w:sz w:val="1"/>
                <w:szCs w:val="1"/>
                <w:color w:val="auto"/>
              </w:rPr>
            </w:pPr>
          </w:p>
        </w:tc>
      </w:tr>
      <w:tr>
        <w:trPr>
          <w:trHeight w:val="41"/>
        </w:trPr>
        <w:tc>
          <w:tcPr>
            <w:tcW w:w="52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80" w:type="dxa"/>
            <w:vAlign w:val="bottom"/>
          </w:tcPr>
          <w:p>
            <w:pPr>
              <w:jc w:val="center"/>
              <w:spacing w:after="0"/>
              <w:rPr>
                <w:sz w:val="20"/>
                <w:szCs w:val="20"/>
                <w:color w:val="auto"/>
              </w:rPr>
            </w:pPr>
            <w:r>
              <w:rPr>
                <w:rFonts w:ascii="Arial" w:cs="Arial" w:eastAsia="Arial" w:hAnsi="Arial"/>
                <w:sz w:val="18"/>
                <w:szCs w:val="18"/>
                <w:color w:val="auto"/>
                <w:w w:val="96"/>
              </w:rPr>
              <w:t>Eric Bjerkholt</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280" w:type="dxa"/>
            <w:vAlign w:val="bottom"/>
          </w:tcPr>
          <w:p>
            <w:pPr>
              <w:jc w:val="center"/>
              <w:spacing w:after="0"/>
              <w:rPr>
                <w:sz w:val="20"/>
                <w:szCs w:val="20"/>
                <w:color w:val="auto"/>
              </w:rPr>
            </w:pPr>
            <w:r>
              <w:rPr>
                <w:rFonts w:ascii="Arial" w:cs="Arial" w:eastAsia="Arial" w:hAnsi="Arial"/>
                <w:sz w:val="18"/>
                <w:szCs w:val="18"/>
                <w:color w:val="auto"/>
                <w:w w:val="95"/>
              </w:rPr>
              <w:t>/s/ RICARDO B. LEVY, PH.D.</w:t>
            </w:r>
          </w:p>
        </w:tc>
        <w:tc>
          <w:tcPr>
            <w:tcW w:w="3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14, 2005</w:t>
            </w:r>
          </w:p>
        </w:tc>
        <w:tc>
          <w:tcPr>
            <w:tcW w:w="0" w:type="dxa"/>
            <w:vAlign w:val="bottom"/>
          </w:tcPr>
          <w:p>
            <w:pPr>
              <w:spacing w:after="0"/>
              <w:rPr>
                <w:sz w:val="1"/>
                <w:szCs w:val="1"/>
                <w:color w:val="auto"/>
              </w:rPr>
            </w:pPr>
          </w:p>
        </w:tc>
      </w:tr>
      <w:tr>
        <w:trPr>
          <w:trHeight w:val="41"/>
        </w:trPr>
        <w:tc>
          <w:tcPr>
            <w:tcW w:w="52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80" w:type="dxa"/>
            <w:vAlign w:val="bottom"/>
          </w:tcPr>
          <w:p>
            <w:pPr>
              <w:jc w:val="center"/>
              <w:spacing w:after="0"/>
              <w:rPr>
                <w:sz w:val="20"/>
                <w:szCs w:val="20"/>
                <w:color w:val="auto"/>
              </w:rPr>
            </w:pPr>
            <w:r>
              <w:rPr>
                <w:rFonts w:ascii="Arial" w:cs="Arial" w:eastAsia="Arial" w:hAnsi="Arial"/>
                <w:sz w:val="18"/>
                <w:szCs w:val="18"/>
                <w:color w:val="auto"/>
                <w:w w:val="92"/>
              </w:rPr>
              <w:t>Ricardo B. Levy, Ph.D.</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280" w:type="dxa"/>
            <w:vAlign w:val="bottom"/>
          </w:tcPr>
          <w:p>
            <w:pPr>
              <w:jc w:val="center"/>
              <w:spacing w:after="0"/>
              <w:rPr>
                <w:sz w:val="20"/>
                <w:szCs w:val="20"/>
                <w:color w:val="auto"/>
              </w:rPr>
            </w:pPr>
            <w:r>
              <w:rPr>
                <w:rFonts w:ascii="Arial" w:cs="Arial" w:eastAsia="Arial" w:hAnsi="Arial"/>
                <w:sz w:val="18"/>
                <w:szCs w:val="18"/>
                <w:color w:val="auto"/>
                <w:w w:val="95"/>
              </w:rPr>
              <w:t>/s/ ROGER PERLMUTTER, M.D.</w:t>
            </w:r>
          </w:p>
        </w:tc>
        <w:tc>
          <w:tcPr>
            <w:tcW w:w="3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14, 2005</w:t>
            </w:r>
          </w:p>
        </w:tc>
        <w:tc>
          <w:tcPr>
            <w:tcW w:w="0" w:type="dxa"/>
            <w:vAlign w:val="bottom"/>
          </w:tcPr>
          <w:p>
            <w:pPr>
              <w:spacing w:after="0"/>
              <w:rPr>
                <w:sz w:val="1"/>
                <w:szCs w:val="1"/>
                <w:color w:val="auto"/>
              </w:rPr>
            </w:pPr>
          </w:p>
        </w:tc>
      </w:tr>
      <w:tr>
        <w:trPr>
          <w:trHeight w:val="41"/>
        </w:trPr>
        <w:tc>
          <w:tcPr>
            <w:tcW w:w="52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80" w:type="dxa"/>
            <w:vAlign w:val="bottom"/>
          </w:tcPr>
          <w:p>
            <w:pPr>
              <w:jc w:val="center"/>
              <w:spacing w:after="0"/>
              <w:rPr>
                <w:sz w:val="20"/>
                <w:szCs w:val="20"/>
                <w:color w:val="auto"/>
              </w:rPr>
            </w:pPr>
            <w:r>
              <w:rPr>
                <w:rFonts w:ascii="Arial" w:cs="Arial" w:eastAsia="Arial" w:hAnsi="Arial"/>
                <w:sz w:val="18"/>
                <w:szCs w:val="18"/>
                <w:color w:val="auto"/>
                <w:w w:val="91"/>
              </w:rPr>
              <w:t>Roger Perlmutter, M.D.</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280" w:type="dxa"/>
            <w:vAlign w:val="bottom"/>
          </w:tcPr>
          <w:p>
            <w:pPr>
              <w:jc w:val="center"/>
              <w:spacing w:after="0"/>
              <w:rPr>
                <w:sz w:val="20"/>
                <w:szCs w:val="20"/>
                <w:color w:val="auto"/>
              </w:rPr>
            </w:pPr>
            <w:r>
              <w:rPr>
                <w:rFonts w:ascii="Arial" w:cs="Arial" w:eastAsia="Arial" w:hAnsi="Arial"/>
                <w:sz w:val="18"/>
                <w:szCs w:val="18"/>
                <w:color w:val="auto"/>
                <w:w w:val="92"/>
              </w:rPr>
              <w:t>/s/ JOHN J. SCHWARTZ, PH.D.</w:t>
            </w:r>
          </w:p>
        </w:tc>
        <w:tc>
          <w:tcPr>
            <w:tcW w:w="3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2"/>
              </w:rPr>
              <w:t>Director, Chairman of the Board</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14, 2005</w:t>
            </w:r>
          </w:p>
        </w:tc>
        <w:tc>
          <w:tcPr>
            <w:tcW w:w="0" w:type="dxa"/>
            <w:vAlign w:val="bottom"/>
          </w:tcPr>
          <w:p>
            <w:pPr>
              <w:spacing w:after="0"/>
              <w:rPr>
                <w:sz w:val="1"/>
                <w:szCs w:val="1"/>
                <w:color w:val="auto"/>
              </w:rPr>
            </w:pPr>
          </w:p>
        </w:tc>
      </w:tr>
      <w:tr>
        <w:trPr>
          <w:trHeight w:val="41"/>
        </w:trPr>
        <w:tc>
          <w:tcPr>
            <w:tcW w:w="52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80" w:type="dxa"/>
            <w:vAlign w:val="bottom"/>
          </w:tcPr>
          <w:p>
            <w:pPr>
              <w:jc w:val="center"/>
              <w:spacing w:after="0"/>
              <w:rPr>
                <w:sz w:val="20"/>
                <w:szCs w:val="20"/>
                <w:color w:val="auto"/>
              </w:rPr>
            </w:pPr>
            <w:r>
              <w:rPr>
                <w:rFonts w:ascii="Arial" w:cs="Arial" w:eastAsia="Arial" w:hAnsi="Arial"/>
                <w:sz w:val="18"/>
                <w:szCs w:val="18"/>
                <w:color w:val="auto"/>
                <w:w w:val="89"/>
              </w:rPr>
              <w:t>John J. Schwartz, Ph.D.</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280" w:type="dxa"/>
            <w:vAlign w:val="bottom"/>
          </w:tcPr>
          <w:p>
            <w:pPr>
              <w:jc w:val="center"/>
              <w:spacing w:after="0"/>
              <w:rPr>
                <w:sz w:val="20"/>
                <w:szCs w:val="20"/>
                <w:color w:val="auto"/>
              </w:rPr>
            </w:pPr>
            <w:r>
              <w:rPr>
                <w:rFonts w:ascii="Arial" w:cs="Arial" w:eastAsia="Arial" w:hAnsi="Arial"/>
                <w:sz w:val="18"/>
                <w:szCs w:val="18"/>
                <w:color w:val="auto"/>
                <w:w w:val="97"/>
              </w:rPr>
              <w:t>/s/ IRVING L. WEISSMAN, M.D.</w:t>
            </w:r>
          </w:p>
        </w:tc>
        <w:tc>
          <w:tcPr>
            <w:tcW w:w="3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14, 2005</w:t>
            </w:r>
          </w:p>
        </w:tc>
        <w:tc>
          <w:tcPr>
            <w:tcW w:w="0" w:type="dxa"/>
            <w:vAlign w:val="bottom"/>
          </w:tcPr>
          <w:p>
            <w:pPr>
              <w:spacing w:after="0"/>
              <w:rPr>
                <w:sz w:val="1"/>
                <w:szCs w:val="1"/>
                <w:color w:val="auto"/>
              </w:rPr>
            </w:pPr>
          </w:p>
        </w:tc>
      </w:tr>
      <w:tr>
        <w:trPr>
          <w:trHeight w:val="41"/>
        </w:trPr>
        <w:tc>
          <w:tcPr>
            <w:tcW w:w="52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80" w:type="dxa"/>
            <w:vAlign w:val="bottom"/>
          </w:tcPr>
          <w:p>
            <w:pPr>
              <w:jc w:val="center"/>
              <w:spacing w:after="0"/>
              <w:rPr>
                <w:sz w:val="20"/>
                <w:szCs w:val="20"/>
                <w:color w:val="auto"/>
              </w:rPr>
            </w:pPr>
            <w:r>
              <w:rPr>
                <w:rFonts w:ascii="Arial" w:cs="Arial" w:eastAsia="Arial" w:hAnsi="Arial"/>
                <w:sz w:val="18"/>
                <w:szCs w:val="18"/>
                <w:color w:val="auto"/>
                <w:w w:val="94"/>
              </w:rPr>
              <w:t>Irving L. Weissman, M.D.</w:t>
            </w: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280" w:type="dxa"/>
            <w:vAlign w:val="bottom"/>
          </w:tcPr>
          <w:p>
            <w:pPr>
              <w:spacing w:after="0"/>
              <w:rPr>
                <w:sz w:val="24"/>
                <w:szCs w:val="24"/>
                <w:color w:val="auto"/>
              </w:rPr>
            </w:pPr>
          </w:p>
        </w:tc>
        <w:tc>
          <w:tcPr>
            <w:tcW w:w="4560" w:type="dxa"/>
            <w:vAlign w:val="bottom"/>
            <w:gridSpan w:val="2"/>
          </w:tcPr>
          <w:p>
            <w:pPr>
              <w:jc w:val="right"/>
              <w:ind w:right="3952"/>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jc w:val="center"/>
              <w:ind w:right="197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20" w:type="dxa"/>
            <w:vAlign w:val="bottom"/>
          </w:tcPr>
          <w:p>
            <w:pPr>
              <w:spacing w:after="0"/>
              <w:rPr>
                <w:sz w:val="24"/>
                <w:szCs w:val="24"/>
                <w:color w:val="auto"/>
              </w:rPr>
            </w:pP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24"/>
                <w:szCs w:val="24"/>
                <w:color w:val="auto"/>
              </w:rPr>
            </w:pPr>
          </w:p>
        </w:tc>
        <w:tc>
          <w:tcPr>
            <w:tcW w:w="9340" w:type="dxa"/>
            <w:vAlign w:val="bottom"/>
            <w:tcBorders>
              <w:bottom w:val="single" w:sz="8" w:color="auto"/>
            </w:tcBorders>
          </w:tcPr>
          <w:p>
            <w:pPr>
              <w:ind w:left="4060"/>
              <w:spacing w:after="0"/>
              <w:rPr>
                <w:sz w:val="20"/>
                <w:szCs w:val="20"/>
                <w:color w:val="auto"/>
              </w:rPr>
            </w:pPr>
            <w:r>
              <w:rPr>
                <w:rFonts w:ascii="Arial" w:cs="Arial" w:eastAsia="Arial" w:hAnsi="Arial"/>
                <w:sz w:val="14"/>
                <w:szCs w:val="14"/>
                <w:b w:val="1"/>
                <w:bCs w:val="1"/>
                <w:color w:val="auto"/>
              </w:rPr>
              <w:t>Title or Description</w:t>
            </w:r>
          </w:p>
        </w:tc>
      </w:tr>
      <w:tr>
        <w:trPr>
          <w:trHeight w:val="224"/>
        </w:trPr>
        <w:tc>
          <w:tcPr>
            <w:tcW w:w="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431"/>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Amended and Restated By-Laws of the Registrant.</w:t>
            </w:r>
          </w:p>
        </w:tc>
      </w:tr>
      <w:tr>
        <w:trPr>
          <w:trHeight w:val="432"/>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3.3{*** }</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Certificate of Amendment to the Restated Certificate of Incorporation of the Registrant.</w:t>
            </w:r>
          </w:p>
        </w:tc>
      </w:tr>
      <w:tr>
        <w:trPr>
          <w:trHeight w:val="432"/>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Certificate of Amendment of the Restated Certificate of Incorporation of the Registrant.</w:t>
            </w:r>
          </w:p>
        </w:tc>
      </w:tr>
      <w:tr>
        <w:trPr>
          <w:trHeight w:val="432"/>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Specimen Common Stock Certificate.</w:t>
            </w:r>
          </w:p>
        </w:tc>
      </w:tr>
      <w:tr>
        <w:trPr>
          <w:trHeight w:val="432"/>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Warrant Certificate issued to a certain purchaser of the Registrant’s Common Stock in April 1995.</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4.3X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Warrant to Purchase Common Stock — Mark Angelo</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4.4X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Warrant to Purchase Common Stock — Robert Farrell</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4.5X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Warrant to Purchase Common Stock — Joseph Donahue</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4.6X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Warrant to Purchase Common Stock — Hunter Singer</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4.7X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Warrant to Purchase Common Stock — May Davis</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4.8X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Common Stock Purchase Warrant</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4.9X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Callable Warrant</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4.10XXX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Registration Rights Agreement dated as of May 10, 2001 between the Registrant and Sativum Investments Limited.</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4.11XXX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Warrant, dated May 10, 2001, to Purchase Common Stock issued to Sativum Investments Limited.</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4.12XXX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Warrant, dated May 10, 2001, to Purchase Common Stock issued to Pacific Crest Securities, Inc.</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4.13XXX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Warrant dated May 10, 2001 to Purchase Common Stock issued to Granite Financial Group, Inc.</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4.14XXX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Callable Warrant, dated June 21, 2001, issued to Millennium Partners, L.P.</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4.15XXX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Common Stock Purchase Warrant, Class A, dated June 21, 2001, issued to Millennium Partners, L.P.</w:t>
            </w:r>
          </w:p>
        </w:tc>
      </w:tr>
      <w:tr>
        <w:trPr>
          <w:trHeight w:val="418"/>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4.16{** }</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0"/>
              </w:rPr>
              <w:t>Certificate of Designations of the Powers, Preferences and Relative, Participating, Optional and other Special Rights of Preferred</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5"/>
              </w:rPr>
              <w:t>Stock and Qualifications, Limitations and Restrictions Thereof of 3% Cumulative Convertible Preferred Stock for StemCells,</w:t>
            </w: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Inc.</w:t>
            </w:r>
          </w:p>
        </w:tc>
      </w:tr>
      <w:tr>
        <w:trPr>
          <w:trHeight w:val="432"/>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4.17{** }</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Warrant to Purchase Common Stock — Riverview Group, LLC</w:t>
            </w:r>
          </w:p>
        </w:tc>
      </w:tr>
      <w:tr>
        <w:trPr>
          <w:trHeight w:val="432"/>
        </w:trPr>
        <w:tc>
          <w:tcPr>
            <w:tcW w:w="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4.18XXXX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Warrant to Purchase Common Stock — Cantor Fitzgerald &amp; Co.</w:t>
            </w:r>
          </w:p>
        </w:tc>
      </w:tr>
      <w:tr>
        <w:trPr>
          <w:trHeight w:val="432"/>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4.19&amp;&amp;</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Warrant to Purchase Common Stock — Riverview Group, LLC</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8"/>
              </w:rPr>
              <w:t>Amendment to Registration Rights dated as of February 14, 1992 among the Registrant and certain of its stockholders.</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at-will Employment Agreement between the Registrant and most of its employees.</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Agreement for Consulting Services between the Registrant and members of its Scientific Advisory Board.</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Nondisclosure Agreement between the Registrant and its Contractors.</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Master Lease and Warrant Agreement dated April 23, 1991 between the Registrant and PacifiCorp Credit, Inc.</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1988 Stock Option Plan.</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1992 Equity Incentive Plan.</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1992 Stock Option Plan for Non-Employee Directors.</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1992 Employee Stock Purchase Plan.</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Research Agreement dated as of March 16, 1994 between NeuroSpheres, Ltd. and Registrant.</w:t>
            </w:r>
          </w:p>
        </w:tc>
      </w:tr>
      <w:tr>
        <w:trPr>
          <w:trHeight w:val="405"/>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700" w:type="dxa"/>
            <w:vAlign w:val="bottom"/>
            <w:gridSpan w:val="2"/>
          </w:tcPr>
          <w:p>
            <w:pPr>
              <w:jc w:val="right"/>
              <w:ind w:right="5530"/>
              <w:spacing w:after="0"/>
              <w:rPr>
                <w:sz w:val="20"/>
                <w:szCs w:val="20"/>
                <w:color w:val="auto"/>
              </w:rPr>
            </w:pPr>
            <w:r>
              <w:rPr>
                <w:rFonts w:ascii="Arial" w:cs="Arial" w:eastAsia="Arial" w:hAnsi="Arial"/>
                <w:sz w:val="18"/>
                <w:szCs w:val="18"/>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4763"/>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14"/>
                <w:szCs w:val="14"/>
                <w:color w:val="auto"/>
              </w:rPr>
            </w:pPr>
          </w:p>
        </w:tc>
        <w:tc>
          <w:tcPr>
            <w:tcW w:w="9340" w:type="dxa"/>
            <w:vAlign w:val="bottom"/>
            <w:tcBorders>
              <w:bottom w:val="single" w:sz="8" w:color="auto"/>
            </w:tcBorders>
          </w:tcPr>
          <w:p>
            <w:pPr>
              <w:ind w:left="4060"/>
              <w:spacing w:after="0"/>
              <w:rPr>
                <w:sz w:val="20"/>
                <w:szCs w:val="20"/>
                <w:color w:val="auto"/>
              </w:rPr>
            </w:pPr>
            <w:r>
              <w:rPr>
                <w:rFonts w:ascii="Arial" w:cs="Arial" w:eastAsia="Arial" w:hAnsi="Arial"/>
                <w:sz w:val="14"/>
                <w:szCs w:val="14"/>
                <w:b w:val="1"/>
                <w:bCs w:val="1"/>
                <w:color w:val="auto"/>
              </w:rPr>
              <w:t>Title or Description</w:t>
            </w:r>
          </w:p>
        </w:tc>
      </w:tr>
      <w:tr>
        <w:trPr>
          <w:trHeight w:val="439"/>
        </w:trPr>
        <w:tc>
          <w:tcPr>
            <w:tcW w:w="1720" w:type="dxa"/>
            <w:vAlign w:val="bottom"/>
          </w:tcPr>
          <w:p>
            <w:pPr>
              <w:spacing w:after="0"/>
              <w:rPr>
                <w:sz w:val="20"/>
                <w:szCs w:val="20"/>
                <w:color w:val="auto"/>
              </w:rPr>
            </w:pPr>
            <w:r>
              <w:rPr>
                <w:rFonts w:ascii="Arial" w:cs="Arial" w:eastAsia="Arial" w:hAnsi="Arial"/>
                <w:sz w:val="18"/>
                <w:szCs w:val="18"/>
                <w:color w:val="auto"/>
              </w:rPr>
              <w:t>10.13++</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Term Loan Agreement dated as of September 30, 1994 between The First National Bank of Boston and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10.14++</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7"/>
              </w:rPr>
              <w:t>Lease Agreement between the Registrant and Rhode Island Industrial Facilities Corporation, dated as of August 1, 1992.</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10.15++</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3"/>
              </w:rPr>
              <w:t>First Amendment to Lease Agreement between Registrant and The Rhode Island Industrial Facilities Corporation dated as of</w:t>
            </w: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September 15, 1994.</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Development, Marketing and License Agreement, dated as of March 30, 1995 between Registrant and Astra AB.</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10.18++++</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2"/>
              </w:rPr>
              <w:t>Form of Unit Purchase Agreement to be executed by the purchasers of the Common Stock and Warrants offered in April 1995.</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10.19+++</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2"/>
              </w:rPr>
              <w:t>Form of Common Stock Purchase Agreement to be executed among the Registrant and certain purchasers of the Registrant’s</w:t>
            </w: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Common Stock.</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10.22###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1"/>
              </w:rPr>
              <w:t>Lease Agreement dated as of November 21, 1997 by and between Hub RI Properties Trust, as Landlord, and CytoTherapeutics,</w:t>
            </w: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Inc., as Tenant.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10.24!!</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2"/>
              </w:rPr>
              <w:t>CTI individual stockholders option agreement dated as of July 10, 1996 among the Company and the individuals listed therein.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10.25!!</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CTI Valoria option agreement dated of July 10, 1996 between the Company and the Societe Financiere Valoria SA.</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10.26!!!</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Term Loan Agreement dated as of October 22, 1996 between The First National Bank of Boston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10.27***</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3"/>
              </w:rPr>
              <w:t>Agreement and Plan of Merger dated as of August 13, 1997 among StemCells, Inc., the Registrant and CTI Acquisition Corp.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10.28***</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Consulting Agreement dated as of September 25, 1997 between Dr. Irving Weissman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10.29###</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Letter Agreement among each of Dr. Irving Weissman and Dr. Fred H. Gage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StemCells, Inc. 1996 Stock Option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10.33****</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1997 StemCells Research Stock Option Plan (the “1997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10.34****</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Performance-Based Incentive Option Agreement issued under the 1997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10.35###</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Employment Agreement dated as of September 25, 1997 between Dr. Richard M. Rose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10.38{*}</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Rights Agreement, dated as of July 27, 1998 between Bank Boston, N.A. as Rights Agent and the Registrant.</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10.40$**</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89"/>
              </w:rPr>
              <w:t>Consulting Services Agreement dated as of July 27, 1998, as amended December 19, 1998 between Dr. John J. Schwartz and the</w:t>
            </w: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Letter Agreement dated as of December 19, 1998 between John J. Schwartz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License Agreement dated as of October 27, 1998 between The Scripps Research Institute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10.43$**</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License Agreement dated as of October 27, 1998 between The Scripps Research Institute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10.44$**</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License Agreement dated as of November 20, 1998 between The Scripps Research Institute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10.45$$**</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5"/>
              </w:rPr>
              <w:t>Purchase Agreement and License Agreement dated as of December 29, 1999 between Neurotech S.A.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10.46++++**</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10.47++++**</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r>
        <w:trPr>
          <w:trHeight w:val="405"/>
        </w:trPr>
        <w:tc>
          <w:tcPr>
            <w:tcW w:w="1720" w:type="dxa"/>
            <w:vAlign w:val="bottom"/>
          </w:tcPr>
          <w:p>
            <w:pPr>
              <w:spacing w:after="0"/>
              <w:rPr>
                <w:sz w:val="24"/>
                <w:szCs w:val="24"/>
                <w:color w:val="auto"/>
              </w:rPr>
            </w:pPr>
          </w:p>
        </w:tc>
        <w:tc>
          <w:tcPr>
            <w:tcW w:w="9700" w:type="dxa"/>
            <w:vAlign w:val="bottom"/>
            <w:gridSpan w:val="2"/>
          </w:tcPr>
          <w:p>
            <w:pPr>
              <w:jc w:val="right"/>
              <w:ind w:right="5531"/>
              <w:spacing w:after="0"/>
              <w:rPr>
                <w:sz w:val="20"/>
                <w:szCs w:val="20"/>
                <w:color w:val="auto"/>
              </w:rPr>
            </w:pPr>
            <w:r>
              <w:rPr>
                <w:rFonts w:ascii="Arial" w:cs="Arial" w:eastAsia="Arial" w:hAnsi="Arial"/>
                <w:sz w:val="18"/>
                <w:szCs w:val="18"/>
                <w:color w:val="auto"/>
              </w:rPr>
              <w:t>87</w:t>
            </w:r>
          </w:p>
        </w:tc>
      </w:tr>
      <w:tr>
        <w:trPr>
          <w:trHeight w:val="226"/>
        </w:trPr>
        <w:tc>
          <w:tcPr>
            <w:tcW w:w="1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14"/>
                <w:szCs w:val="14"/>
                <w:color w:val="auto"/>
              </w:rPr>
            </w:pPr>
          </w:p>
        </w:tc>
        <w:tc>
          <w:tcPr>
            <w:tcW w:w="9340" w:type="dxa"/>
            <w:vAlign w:val="bottom"/>
            <w:tcBorders>
              <w:bottom w:val="single" w:sz="8" w:color="auto"/>
            </w:tcBorders>
          </w:tcPr>
          <w:p>
            <w:pPr>
              <w:ind w:left="4060"/>
              <w:spacing w:after="0"/>
              <w:rPr>
                <w:sz w:val="20"/>
                <w:szCs w:val="20"/>
                <w:color w:val="auto"/>
              </w:rPr>
            </w:pPr>
            <w:r>
              <w:rPr>
                <w:rFonts w:ascii="Arial" w:cs="Arial" w:eastAsia="Arial" w:hAnsi="Arial"/>
                <w:sz w:val="14"/>
                <w:szCs w:val="14"/>
                <w:b w:val="1"/>
                <w:bCs w:val="1"/>
                <w:color w:val="auto"/>
              </w:rPr>
              <w:t>Title or Description</w:t>
            </w:r>
          </w:p>
        </w:tc>
      </w:tr>
      <w:tr>
        <w:trPr>
          <w:trHeight w:val="439"/>
        </w:trPr>
        <w:tc>
          <w:tcPr>
            <w:tcW w:w="1720" w:type="dxa"/>
            <w:vAlign w:val="bottom"/>
          </w:tcPr>
          <w:p>
            <w:pPr>
              <w:spacing w:after="0"/>
              <w:rPr>
                <w:sz w:val="20"/>
                <w:szCs w:val="20"/>
                <w:color w:val="auto"/>
              </w:rPr>
            </w:pPr>
            <w:r>
              <w:rPr>
                <w:rFonts w:ascii="Arial" w:cs="Arial" w:eastAsia="Arial" w:hAnsi="Arial"/>
                <w:sz w:val="18"/>
                <w:szCs w:val="18"/>
                <w:color w:val="auto"/>
              </w:rPr>
              <w:t>10.48X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Registration Rights Agreement dated as of July 31, 2000 between the Registrant and investors.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10.49X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Subscription Agreement dated as of July 31, 2000 between the 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10.50XXX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5"/>
              </w:rPr>
              <w:t>Common Stock Purchase Agreement, dated as of May 10, 2001, between the Registrant and Sativum Investments Limited.</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10.51XXX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6"/>
              </w:rPr>
              <w:t>Escrow Agreement, dated as of May 10, 2001, among the Registrant, Sativum Investments Limited and Epstein, Becker &amp;</w:t>
            </w: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Green, P.C.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10.52XX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License Agreement, dated as of October 30, 2000, between the Registrant and NeuroSpheres Ltd.</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10.53XX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Letter Agreement, dated January 2, 2001, between the Registrant and Martin McGlynn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10.54XX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Lease, dated February 1, 2001, between the Board of Trustees of Stanford University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10.55XXX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7"/>
              </w:rPr>
              <w:t>Registration Rights Agreement, dated as of June 21, 2001, by and between the 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10.56XXX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Subscription Agreement, dated as of June 21, 2001, by and between the 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10.57$$</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2001 Equity Incentive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10.58{**}</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Subscription Agreement, dated as of December 4, 2001 between the Registrant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10.59{**}</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Registration Rights Agreement, dated as of December 4, 2001 between the Registrant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10.60{**}</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Agreement dated as of December 4, 2001 between the 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7"/>
              </w:rPr>
              <w:t>Agreement dated as of December 4, 2001 among the Registrant, Millennium Partners, L.P.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7"/>
              </w:rPr>
              <w:t>Common Stock Purchase Agreement, dated as of August 23, 2002, between the Registrant and Triton West Group, Inc.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10.63&amp;</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Agreement, dated as of April 9, 2003, between the Registrant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10.64&amp;&amp;</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Registration Rights Agreement between the Registrant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10.65&amp;&amp;&amp;</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Securities Purchase Agreement, dated as of May 7, 2003, between the Registrant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10.66%</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Securities Purchase Agreement dated as of December 9, 2003, between the Registrant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10.67^^^</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89"/>
              </w:rPr>
              <w:t>Form of Securities Purchase Agreement dated as of June 16, 2004 between the Registrant and certain Purchasers parties thereto.</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10.68^^^</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Warrant.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10.69^^^^</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Amended and Restated 2004 Equity Incentive Plan of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10.70^^^^^</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Letter Agreement dated as of October 7, 2004 between the Registrant and Judi Lum.</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Code of Ethics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21X</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Consent of Grant Thornton, LLP , Independent Registered Public Accounting Firm.</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2"/>
              </w:rPr>
              <w:t>Certification Pursuant to Securities Exchange Act Rule 13(a)-14(a), as Adopted Pursuant to Section 302 of the Sarbanes-Oxley</w:t>
            </w: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Act of 2002 (Martin McGlynn, Chief Executive Officer).</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2"/>
              </w:rPr>
              <w:t>Certification Pursuant to Securities Exchange Act Rule 13(a)-14(a), as Adopted Pursuant to Section 302 of the Sarbanes-Oxley</w:t>
            </w: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Act of 2002 (Judi Lum, Chief Financial Officer).</w:t>
            </w: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240" w:type="dxa"/>
            <w:vAlign w:val="bottom"/>
            <w:tcBorders>
              <w:bottom w:val="single" w:sz="8" w:color="auto"/>
            </w:tcBorders>
          </w:tcPr>
          <w:p>
            <w:pPr>
              <w:ind w:left="4020"/>
              <w:spacing w:after="0"/>
              <w:rPr>
                <w:sz w:val="20"/>
                <w:szCs w:val="20"/>
                <w:color w:val="auto"/>
              </w:rPr>
            </w:pPr>
            <w:r>
              <w:rPr>
                <w:rFonts w:ascii="Arial" w:cs="Arial" w:eastAsia="Arial" w:hAnsi="Arial"/>
                <w:sz w:val="14"/>
                <w:szCs w:val="14"/>
                <w:b w:val="1"/>
                <w:bCs w:val="1"/>
                <w:color w:val="auto"/>
              </w:rPr>
              <w:t>Title or Description</w:t>
            </w:r>
          </w:p>
        </w:tc>
      </w:tr>
      <w:tr>
        <w:trPr>
          <w:trHeight w:val="425"/>
        </w:trPr>
        <w:tc>
          <w:tcPr>
            <w:tcW w:w="184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w:t>
            </w:r>
          </w:p>
        </w:tc>
      </w:tr>
      <w:tr>
        <w:trPr>
          <w:trHeight w:val="230"/>
        </w:trPr>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(Martin McGlynn, Chief Executive Officer)</w:t>
            </w:r>
          </w:p>
        </w:tc>
      </w:tr>
      <w:tr>
        <w:trPr>
          <w:trHeight w:val="418"/>
        </w:trPr>
        <w:tc>
          <w:tcPr>
            <w:tcW w:w="184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(Judi</w:t>
            </w:r>
          </w:p>
        </w:tc>
      </w:tr>
      <w:tr>
        <w:trPr>
          <w:trHeight w:val="216"/>
        </w:trPr>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Lum, Chief Financial Officer)</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Cautionary Factors Relevant to Forward-Looking Information</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99.1XX</w:t>
            </w:r>
          </w:p>
        </w:tc>
        <w:tc>
          <w:tcPr>
            <w:tcW w:w="34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2"/>
              </w:rPr>
              <w:t>Side Letter, dated March 17, 2001, between the Company and Oleh S. Hnatiuk regarding NeuroSpheres License Agreement,</w:t>
            </w:r>
          </w:p>
        </w:tc>
      </w:tr>
      <w:tr>
        <w:trPr>
          <w:trHeight w:val="230"/>
        </w:trPr>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October 30, 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700" w:right="140" w:hanging="462"/>
        <w:spacing w:after="0" w:line="277" w:lineRule="auto"/>
        <w:tabs>
          <w:tab w:leader="none" w:pos="7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33-85494.</w:t>
      </w:r>
    </w:p>
    <w:p>
      <w:pPr>
        <w:spacing w:after="0" w:line="8" w:lineRule="exact"/>
        <w:rPr>
          <w:rFonts w:ascii="Arial" w:cs="Arial" w:eastAsia="Arial" w:hAnsi="Arial"/>
          <w:sz w:val="18"/>
          <w:szCs w:val="18"/>
          <w:color w:val="auto"/>
        </w:rPr>
      </w:pPr>
    </w:p>
    <w:p>
      <w:pPr>
        <w:ind w:left="700" w:right="140" w:hanging="570"/>
        <w:spacing w:after="0" w:line="277" w:lineRule="auto"/>
        <w:tabs>
          <w:tab w:leader="none" w:pos="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S-3, File No. 33-97272.</w:t>
      </w:r>
    </w:p>
    <w:p>
      <w:pPr>
        <w:spacing w:after="0" w:line="8" w:lineRule="exact"/>
        <w:rPr>
          <w:rFonts w:ascii="Arial" w:cs="Arial" w:eastAsia="Arial" w:hAnsi="Arial"/>
          <w:sz w:val="18"/>
          <w:szCs w:val="18"/>
          <w:color w:val="auto"/>
        </w:rPr>
      </w:pPr>
    </w:p>
    <w:p>
      <w:pPr>
        <w:ind w:left="700" w:right="140" w:hanging="692"/>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33-91228.</w:t>
      </w:r>
    </w:p>
    <w:p>
      <w:pPr>
        <w:spacing w:after="0" w:line="8" w:lineRule="exact"/>
        <w:rPr>
          <w:rFonts w:ascii="Arial" w:cs="Arial" w:eastAsia="Arial" w:hAnsi="Arial"/>
          <w:sz w:val="18"/>
          <w:szCs w:val="18"/>
          <w:color w:val="auto"/>
        </w:rPr>
      </w:pPr>
    </w:p>
    <w:p>
      <w:pPr>
        <w:ind w:left="700" w:right="400" w:hanging="230"/>
        <w:spacing w:after="0" w:line="277" w:lineRule="auto"/>
        <w:rPr>
          <w:rFonts w:ascii="Arial" w:cs="Arial" w:eastAsia="Arial" w:hAnsi="Arial"/>
          <w:sz w:val="18"/>
          <w:szCs w:val="18"/>
          <w:color w:val="auto"/>
        </w:rPr>
      </w:pPr>
      <w:r>
        <w:rPr>
          <w:rFonts w:ascii="Arial" w:cs="Arial" w:eastAsia="Arial" w:hAnsi="Arial"/>
          <w:sz w:val="18"/>
          <w:szCs w:val="18"/>
          <w:color w:val="auto"/>
        </w:rPr>
        <w:t>* Previously filed with the Commission as Exhibits to, and incorporated herein by reference to, Registration Statement on Form S-1, File No. 33-45739.</w:t>
      </w:r>
    </w:p>
    <w:p>
      <w:pPr>
        <w:spacing w:after="0" w:line="8" w:lineRule="exact"/>
        <w:rPr>
          <w:rFonts w:ascii="Arial" w:cs="Arial" w:eastAsia="Arial" w:hAnsi="Arial"/>
          <w:sz w:val="18"/>
          <w:szCs w:val="18"/>
          <w:color w:val="auto"/>
        </w:rPr>
      </w:pPr>
    </w:p>
    <w:p>
      <w:pPr>
        <w:ind w:left="700" w:right="400" w:hanging="341"/>
        <w:spacing w:after="0" w:line="277" w:lineRule="auto"/>
        <w:tabs>
          <w:tab w:leader="none" w:pos="700" w:val="left"/>
        </w:tabs>
        <w:numPr>
          <w:ilvl w:val="3"/>
          <w:numId w:val="6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8" w:lineRule="exact"/>
        <w:rPr>
          <w:sz w:val="20"/>
          <w:szCs w:val="20"/>
          <w:color w:val="auto"/>
        </w:rPr>
      </w:pPr>
    </w:p>
    <w:p>
      <w:pPr>
        <w:ind w:left="700" w:right="540" w:hanging="341"/>
        <w:spacing w:after="0" w:line="277" w:lineRule="auto"/>
        <w:tabs>
          <w:tab w:leader="none" w:pos="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8" w:lineRule="exact"/>
        <w:rPr>
          <w:rFonts w:ascii="Arial" w:cs="Arial" w:eastAsia="Arial" w:hAnsi="Arial"/>
          <w:sz w:val="18"/>
          <w:szCs w:val="18"/>
          <w:color w:val="auto"/>
        </w:rPr>
      </w:pPr>
    </w:p>
    <w:p>
      <w:pPr>
        <w:ind w:left="700" w:right="240" w:hanging="462"/>
        <w:spacing w:after="0" w:line="277"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8" w:lineRule="exact"/>
        <w:rPr>
          <w:sz w:val="20"/>
          <w:szCs w:val="20"/>
          <w:color w:val="auto"/>
        </w:rPr>
      </w:pPr>
    </w:p>
    <w:p>
      <w:pPr>
        <w:ind w:left="700" w:right="120" w:hanging="341"/>
        <w:spacing w:after="0" w:line="277"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8" w:lineRule="exact"/>
        <w:rPr>
          <w:sz w:val="20"/>
          <w:szCs w:val="20"/>
          <w:color w:val="auto"/>
        </w:rPr>
      </w:pPr>
    </w:p>
    <w:p>
      <w:pPr>
        <w:ind w:left="700" w:right="360" w:hanging="233"/>
        <w:spacing w:after="0" w:line="277"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March 31, 1996.</w:t>
      </w:r>
    </w:p>
    <w:p>
      <w:pPr>
        <w:spacing w:after="0" w:line="8" w:lineRule="exact"/>
        <w:rPr>
          <w:sz w:val="20"/>
          <w:szCs w:val="20"/>
          <w:color w:val="auto"/>
        </w:rPr>
      </w:pPr>
    </w:p>
    <w:p>
      <w:pPr>
        <w:ind w:left="700" w:right="360" w:hanging="233"/>
        <w:spacing w:after="0" w:line="277" w:lineRule="auto"/>
        <w:tabs>
          <w:tab w:leader="none" w:pos="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September 30, 1996.</w:t>
      </w:r>
    </w:p>
    <w:p>
      <w:pPr>
        <w:spacing w:after="0" w:line="8" w:lineRule="exact"/>
        <w:rPr>
          <w:rFonts w:ascii="Arial" w:cs="Arial" w:eastAsia="Arial" w:hAnsi="Arial"/>
          <w:sz w:val="18"/>
          <w:szCs w:val="18"/>
          <w:color w:val="auto"/>
        </w:rPr>
      </w:pPr>
    </w:p>
    <w:p>
      <w:pPr>
        <w:ind w:left="700" w:right="240" w:hanging="341"/>
        <w:spacing w:after="0" w:line="277"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8" w:lineRule="exact"/>
        <w:rPr>
          <w:sz w:val="20"/>
          <w:szCs w:val="20"/>
          <w:color w:val="auto"/>
        </w:rPr>
      </w:pPr>
    </w:p>
    <w:p>
      <w:pPr>
        <w:ind w:left="700" w:right="240" w:hanging="341"/>
        <w:spacing w:after="0" w:line="277" w:lineRule="auto"/>
        <w:tabs>
          <w:tab w:leader="none" w:pos="700" w:val="left"/>
        </w:tabs>
        <w:numPr>
          <w:ilvl w:val="2"/>
          <w:numId w:val="6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1995.</w:t>
      </w:r>
    </w:p>
    <w:p>
      <w:pPr>
        <w:spacing w:after="0" w:line="8" w:lineRule="exact"/>
        <w:rPr>
          <w:rFonts w:ascii="Arial" w:cs="Arial" w:eastAsia="Arial" w:hAnsi="Arial"/>
          <w:sz w:val="18"/>
          <w:szCs w:val="18"/>
          <w:color w:val="auto"/>
        </w:rPr>
      </w:pPr>
    </w:p>
    <w:p>
      <w:pPr>
        <w:ind w:left="700" w:right="240" w:hanging="462"/>
        <w:spacing w:after="0" w:line="277" w:lineRule="auto"/>
        <w:tabs>
          <w:tab w:leader="none" w:pos="7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8" w:lineRule="exact"/>
        <w:rPr>
          <w:rFonts w:ascii="Arial" w:cs="Arial" w:eastAsia="Arial" w:hAnsi="Arial"/>
          <w:sz w:val="18"/>
          <w:szCs w:val="18"/>
          <w:color w:val="auto"/>
        </w:rPr>
      </w:pPr>
    </w:p>
    <w:p>
      <w:pPr>
        <w:ind w:left="700" w:right="140" w:hanging="570"/>
        <w:spacing w:after="0" w:line="277"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S-8, File No. 333-37313.</w:t>
      </w:r>
    </w:p>
    <w:p>
      <w:pPr>
        <w:spacing w:after="0" w:line="8" w:lineRule="exact"/>
        <w:rPr>
          <w:sz w:val="20"/>
          <w:szCs w:val="20"/>
          <w:color w:val="auto"/>
        </w:rPr>
      </w:pPr>
    </w:p>
    <w:p>
      <w:pPr>
        <w:ind w:left="700" w:right="100" w:hanging="570"/>
        <w:spacing w:after="0" w:line="277"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8" w:lineRule="exact"/>
        <w:rPr>
          <w:sz w:val="20"/>
          <w:szCs w:val="20"/>
          <w:color w:val="auto"/>
        </w:rPr>
      </w:pPr>
    </w:p>
    <w:p>
      <w:pPr>
        <w:ind w:left="640" w:right="120" w:hanging="310"/>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current report on Form 8-K filed on August 3, 1998.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20" w:right="160" w:hanging="404"/>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current report on Form 8-K filed on December 7, 2001.</w:t>
      </w:r>
    </w:p>
    <w:p>
      <w:pPr>
        <w:spacing w:after="0" w:line="8" w:lineRule="exact"/>
        <w:rPr>
          <w:sz w:val="20"/>
          <w:szCs w:val="20"/>
          <w:color w:val="auto"/>
        </w:rPr>
      </w:pPr>
    </w:p>
    <w:p>
      <w:pPr>
        <w:ind w:left="700" w:right="100" w:hanging="233"/>
        <w:spacing w:after="0" w:line="277"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8" w:lineRule="exact"/>
        <w:rPr>
          <w:sz w:val="20"/>
          <w:szCs w:val="20"/>
          <w:color w:val="auto"/>
        </w:rPr>
      </w:pPr>
    </w:p>
    <w:p>
      <w:pPr>
        <w:ind w:left="700" w:right="440" w:hanging="337"/>
        <w:spacing w:after="0" w:line="277" w:lineRule="auto"/>
        <w:tabs>
          <w:tab w:leader="none" w:pos="680" w:val="left"/>
        </w:tabs>
        <w:rPr>
          <w:sz w:val="20"/>
          <w:szCs w:val="20"/>
          <w:color w:val="auto"/>
        </w:rPr>
      </w:pPr>
      <w:r>
        <w:rPr>
          <w:rFonts w:ascii="Arial" w:cs="Arial" w:eastAsia="Arial" w:hAnsi="Arial"/>
          <w:sz w:val="18"/>
          <w:szCs w:val="18"/>
          <w:color w:val="auto"/>
        </w:rPr>
        <w:t>$$</w:t>
        <w:tab/>
        <w:t>Previously filed with the Commission as an Exhibit to, and incorporated herein by reference to, the Registrant’s current report on Form 8-K on January 14, 2000.</w:t>
      </w:r>
    </w:p>
    <w:p>
      <w:pPr>
        <w:spacing w:after="0" w:line="8" w:lineRule="exact"/>
        <w:rPr>
          <w:sz w:val="20"/>
          <w:szCs w:val="20"/>
          <w:color w:val="auto"/>
        </w:rPr>
      </w:pPr>
    </w:p>
    <w:p>
      <w:pPr>
        <w:ind w:left="820" w:right="260" w:hanging="458"/>
        <w:spacing w:after="0" w:line="277" w:lineRule="auto"/>
        <w:tabs>
          <w:tab w:leader="none" w:pos="800" w:val="left"/>
        </w:tabs>
        <w:rPr>
          <w:sz w:val="20"/>
          <w:szCs w:val="20"/>
          <w:color w:val="auto"/>
        </w:rPr>
      </w:pPr>
      <w:r>
        <w:rPr>
          <w:rFonts w:ascii="Arial" w:cs="Arial" w:eastAsia="Arial" w:hAnsi="Arial"/>
          <w:sz w:val="18"/>
          <w:szCs w:val="18"/>
          <w:color w:val="auto"/>
        </w:rPr>
        <w:t>$$$</w:t>
        <w:tab/>
        <w:t>Previously filed with the Commission as an Exhibit to, and incorporated herein by reference to, the Registrant’s definitive proxy statement filed May 1, 2001.</w:t>
      </w:r>
    </w:p>
    <w:p>
      <w:pPr>
        <w:spacing w:after="0" w:line="22" w:lineRule="exact"/>
        <w:rPr>
          <w:sz w:val="20"/>
          <w:szCs w:val="20"/>
          <w:color w:val="auto"/>
        </w:rPr>
      </w:pPr>
    </w:p>
    <w:p>
      <w:pPr>
        <w:ind w:left="820" w:right="20" w:hanging="461"/>
        <w:spacing w:after="0" w:line="277" w:lineRule="auto"/>
        <w:tabs>
          <w:tab w:leader="none" w:pos="8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33-85494.</w:t>
      </w:r>
    </w:p>
    <w:p>
      <w:pPr>
        <w:spacing w:after="0" w:line="8" w:lineRule="exact"/>
        <w:rPr>
          <w:rFonts w:ascii="Arial" w:cs="Arial" w:eastAsia="Arial" w:hAnsi="Arial"/>
          <w:sz w:val="18"/>
          <w:szCs w:val="18"/>
          <w:color w:val="auto"/>
        </w:rPr>
      </w:pPr>
    </w:p>
    <w:p>
      <w:pPr>
        <w:ind w:left="700" w:right="140" w:hanging="570"/>
        <w:spacing w:after="0" w:line="277"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S-3, File No. 33-97272.</w:t>
      </w:r>
    </w:p>
    <w:p>
      <w:pPr>
        <w:spacing w:after="0" w:line="8" w:lineRule="exact"/>
        <w:rPr>
          <w:sz w:val="20"/>
          <w:szCs w:val="20"/>
          <w:color w:val="auto"/>
        </w:rPr>
      </w:pPr>
    </w:p>
    <w:p>
      <w:pPr>
        <w:ind w:left="820" w:right="20" w:hanging="690"/>
        <w:spacing w:after="0" w:line="277"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33-91228.</w:t>
      </w:r>
    </w:p>
    <w:p>
      <w:pPr>
        <w:spacing w:after="0" w:line="8" w:lineRule="exact"/>
        <w:rPr>
          <w:rFonts w:ascii="Arial" w:cs="Arial" w:eastAsia="Arial" w:hAnsi="Arial"/>
          <w:sz w:val="18"/>
          <w:szCs w:val="18"/>
          <w:color w:val="auto"/>
        </w:rPr>
      </w:pPr>
    </w:p>
    <w:p>
      <w:pPr>
        <w:ind w:left="700" w:right="400" w:hanging="230"/>
        <w:spacing w:after="0" w:line="277" w:lineRule="auto"/>
        <w:rPr>
          <w:rFonts w:ascii="Arial" w:cs="Arial" w:eastAsia="Arial" w:hAnsi="Arial"/>
          <w:sz w:val="18"/>
          <w:szCs w:val="18"/>
          <w:color w:val="auto"/>
        </w:rPr>
      </w:pPr>
      <w:r>
        <w:rPr>
          <w:rFonts w:ascii="Arial" w:cs="Arial" w:eastAsia="Arial" w:hAnsi="Arial"/>
          <w:sz w:val="18"/>
          <w:szCs w:val="18"/>
          <w:color w:val="auto"/>
        </w:rPr>
        <w:t>* Previously filed with the Commission as Exhibits to, and incorporated herein by reference to, Registration Statement on Form S-1, File No. 33-45739.</w:t>
      </w:r>
    </w:p>
    <w:p>
      <w:pPr>
        <w:spacing w:after="0" w:line="8" w:lineRule="exact"/>
        <w:rPr>
          <w:sz w:val="20"/>
          <w:szCs w:val="20"/>
          <w:color w:val="auto"/>
        </w:rPr>
      </w:pPr>
    </w:p>
    <w:p>
      <w:pPr>
        <w:ind w:left="820" w:right="260" w:hanging="353"/>
        <w:spacing w:after="0" w:line="277" w:lineRule="auto"/>
        <w:tabs>
          <w:tab w:leader="none" w:pos="8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8" w:lineRule="exact"/>
        <w:rPr>
          <w:rFonts w:ascii="Arial" w:cs="Arial" w:eastAsia="Arial" w:hAnsi="Arial"/>
          <w:sz w:val="18"/>
          <w:szCs w:val="18"/>
          <w:color w:val="auto"/>
        </w:rPr>
      </w:pPr>
    </w:p>
    <w:p>
      <w:pPr>
        <w:ind w:left="700" w:right="540" w:hanging="341"/>
        <w:spacing w:after="0" w:line="27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8" w:lineRule="exact"/>
        <w:rPr>
          <w:sz w:val="20"/>
          <w:szCs w:val="20"/>
          <w:color w:val="auto"/>
        </w:rPr>
      </w:pPr>
    </w:p>
    <w:p>
      <w:pPr>
        <w:ind w:left="820" w:right="100" w:hanging="461"/>
        <w:spacing w:after="0" w:line="277"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8" w:lineRule="exact"/>
        <w:rPr>
          <w:rFonts w:ascii="Arial" w:cs="Arial" w:eastAsia="Arial" w:hAnsi="Arial"/>
          <w:sz w:val="18"/>
          <w:szCs w:val="18"/>
          <w:color w:val="auto"/>
        </w:rPr>
      </w:pPr>
    </w:p>
    <w:p>
      <w:pPr>
        <w:ind w:left="820" w:hanging="353"/>
        <w:spacing w:after="0" w:line="277" w:lineRule="auto"/>
        <w:tabs>
          <w:tab w:leader="none" w:pos="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8" w:lineRule="exact"/>
        <w:rPr>
          <w:sz w:val="20"/>
          <w:szCs w:val="20"/>
          <w:color w:val="auto"/>
        </w:rPr>
      </w:pPr>
    </w:p>
    <w:p>
      <w:pPr>
        <w:ind w:left="820" w:right="240" w:hanging="231"/>
        <w:spacing w:after="0" w:line="277"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March 31, 1996.</w:t>
      </w:r>
    </w:p>
    <w:p>
      <w:pPr>
        <w:spacing w:after="0" w:line="8" w:lineRule="exact"/>
        <w:rPr>
          <w:rFonts w:ascii="Arial" w:cs="Arial" w:eastAsia="Arial" w:hAnsi="Arial"/>
          <w:sz w:val="18"/>
          <w:szCs w:val="18"/>
          <w:color w:val="auto"/>
        </w:rPr>
      </w:pPr>
    </w:p>
    <w:p>
      <w:pPr>
        <w:ind w:left="700" w:right="360" w:hanging="233"/>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September 30, 1996.</w:t>
      </w:r>
    </w:p>
    <w:p>
      <w:pPr>
        <w:spacing w:after="0" w:line="8" w:lineRule="exact"/>
        <w:rPr>
          <w:sz w:val="20"/>
          <w:szCs w:val="20"/>
          <w:color w:val="auto"/>
        </w:rPr>
      </w:pPr>
    </w:p>
    <w:p>
      <w:pPr>
        <w:ind w:left="820" w:right="120" w:hanging="353"/>
        <w:spacing w:after="0" w:line="277" w:lineRule="auto"/>
        <w:tabs>
          <w:tab w:leader="none" w:pos="8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8" w:lineRule="exact"/>
        <w:rPr>
          <w:rFonts w:ascii="Arial" w:cs="Arial" w:eastAsia="Arial" w:hAnsi="Arial"/>
          <w:sz w:val="18"/>
          <w:szCs w:val="18"/>
          <w:color w:val="auto"/>
        </w:rPr>
      </w:pPr>
    </w:p>
    <w:p>
      <w:pPr>
        <w:ind w:left="700" w:right="240" w:hanging="341"/>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1995.</w:t>
      </w:r>
    </w:p>
    <w:p>
      <w:pPr>
        <w:spacing w:after="0" w:line="8" w:lineRule="exact"/>
        <w:rPr>
          <w:sz w:val="20"/>
          <w:szCs w:val="20"/>
          <w:color w:val="auto"/>
        </w:rPr>
      </w:pPr>
    </w:p>
    <w:p>
      <w:pPr>
        <w:ind w:left="820" w:right="100" w:hanging="461"/>
        <w:spacing w:after="0" w:line="277" w:lineRule="auto"/>
        <w:tabs>
          <w:tab w:leader="none" w:pos="8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8" w:lineRule="exact"/>
        <w:rPr>
          <w:rFonts w:ascii="Arial" w:cs="Arial" w:eastAsia="Arial" w:hAnsi="Arial"/>
          <w:sz w:val="18"/>
          <w:szCs w:val="18"/>
          <w:color w:val="auto"/>
        </w:rPr>
      </w:pPr>
    </w:p>
    <w:p>
      <w:pPr>
        <w:ind w:left="820" w:right="20" w:hanging="582"/>
        <w:spacing w:after="0" w:line="277" w:lineRule="auto"/>
        <w:tabs>
          <w:tab w:leader="none" w:pos="8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S-8, File No. 333-37313.</w:t>
      </w:r>
    </w:p>
    <w:p>
      <w:pPr>
        <w:spacing w:after="0" w:line="8" w:lineRule="exact"/>
        <w:rPr>
          <w:rFonts w:ascii="Arial" w:cs="Arial" w:eastAsia="Arial" w:hAnsi="Arial"/>
          <w:sz w:val="18"/>
          <w:szCs w:val="18"/>
          <w:color w:val="auto"/>
        </w:rPr>
      </w:pPr>
    </w:p>
    <w:p>
      <w:pPr>
        <w:ind w:left="700" w:right="100" w:hanging="570"/>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8" w:lineRule="exact"/>
        <w:rPr>
          <w:sz w:val="20"/>
          <w:szCs w:val="20"/>
          <w:color w:val="auto"/>
        </w:rPr>
      </w:pPr>
    </w:p>
    <w:p>
      <w:pPr>
        <w:ind w:left="640" w:right="120" w:hanging="310"/>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current report on Form 8-K filed on August 3, 1998.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20" w:right="160" w:hanging="404"/>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current report on Form 8-K filed on December 7, 2001.</w:t>
      </w:r>
    </w:p>
    <w:p>
      <w:pPr>
        <w:spacing w:after="0" w:line="8" w:lineRule="exact"/>
        <w:rPr>
          <w:sz w:val="20"/>
          <w:szCs w:val="20"/>
          <w:color w:val="auto"/>
        </w:rPr>
      </w:pPr>
    </w:p>
    <w:p>
      <w:pPr>
        <w:ind w:left="700" w:right="100" w:hanging="233"/>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62" w:lineRule="exact"/>
        <w:rPr>
          <w:sz w:val="20"/>
          <w:szCs w:val="20"/>
          <w:color w:val="auto"/>
        </w:rPr>
      </w:pPr>
    </w:p>
    <w:p>
      <w:pPr>
        <w:ind w:left="700" w:right="440" w:hanging="337"/>
        <w:spacing w:after="0" w:line="277" w:lineRule="auto"/>
        <w:tabs>
          <w:tab w:leader="none" w:pos="680" w:val="left"/>
        </w:tabs>
        <w:rPr>
          <w:sz w:val="20"/>
          <w:szCs w:val="20"/>
          <w:color w:val="auto"/>
        </w:rPr>
      </w:pPr>
      <w:r>
        <w:rPr>
          <w:rFonts w:ascii="Arial" w:cs="Arial" w:eastAsia="Arial" w:hAnsi="Arial"/>
          <w:sz w:val="18"/>
          <w:szCs w:val="18"/>
          <w:color w:val="auto"/>
        </w:rPr>
        <w:t>$$</w:t>
        <w:tab/>
        <w:t>Previously filed with the Commission as an Exhibit to, and incorporated herein by reference to, the Registrant’s current report on Form 8-K on January 14, 2000.</w:t>
      </w:r>
    </w:p>
    <w:p>
      <w:pPr>
        <w:spacing w:after="0" w:line="8" w:lineRule="exact"/>
        <w:rPr>
          <w:sz w:val="20"/>
          <w:szCs w:val="20"/>
          <w:color w:val="auto"/>
        </w:rPr>
      </w:pPr>
    </w:p>
    <w:p>
      <w:pPr>
        <w:ind w:left="820" w:right="260" w:hanging="458"/>
        <w:spacing w:after="0" w:line="277" w:lineRule="auto"/>
        <w:tabs>
          <w:tab w:leader="none" w:pos="800" w:val="left"/>
        </w:tabs>
        <w:rPr>
          <w:sz w:val="20"/>
          <w:szCs w:val="20"/>
          <w:color w:val="auto"/>
        </w:rPr>
      </w:pPr>
      <w:r>
        <w:rPr>
          <w:rFonts w:ascii="Arial" w:cs="Arial" w:eastAsia="Arial" w:hAnsi="Arial"/>
          <w:sz w:val="18"/>
          <w:szCs w:val="18"/>
          <w:color w:val="auto"/>
        </w:rPr>
        <w:t>$$$</w:t>
        <w:tab/>
        <w:t>Previously filed with the Commission as an Exhibit to, and incorporated herein by reference to, the Registrant’s definitive proxy statement filed May 1, 2001.</w:t>
      </w:r>
    </w:p>
    <w:p>
      <w:pPr>
        <w:spacing w:after="0" w:line="8" w:lineRule="exact"/>
        <w:rPr>
          <w:sz w:val="20"/>
          <w:szCs w:val="20"/>
          <w:color w:val="auto"/>
        </w:rPr>
      </w:pPr>
    </w:p>
    <w:p>
      <w:pPr>
        <w:ind w:left="820" w:hanging="353"/>
        <w:spacing w:after="0" w:line="277" w:lineRule="auto"/>
        <w:tabs>
          <w:tab w:leader="none" w:pos="8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on Form S-1, File No. 333-45496.</w:t>
      </w:r>
    </w:p>
    <w:p>
      <w:pPr>
        <w:spacing w:after="0" w:line="8" w:lineRule="exact"/>
        <w:rPr>
          <w:sz w:val="20"/>
          <w:szCs w:val="20"/>
          <w:color w:val="auto"/>
        </w:rPr>
      </w:pPr>
    </w:p>
    <w:p>
      <w:pPr>
        <w:ind w:left="820" w:right="120" w:hanging="461"/>
        <w:spacing w:after="0" w:line="277" w:lineRule="auto"/>
        <w:tabs>
          <w:tab w:leader="none" w:pos="8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8" w:lineRule="exact"/>
        <w:rPr>
          <w:rFonts w:ascii="Arial" w:cs="Arial" w:eastAsia="Arial" w:hAnsi="Arial"/>
          <w:sz w:val="18"/>
          <w:szCs w:val="18"/>
          <w:color w:val="auto"/>
        </w:rPr>
      </w:pPr>
    </w:p>
    <w:p>
      <w:pPr>
        <w:ind w:left="700" w:right="480" w:hanging="570"/>
        <w:spacing w:after="0" w:line="277"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 herein by reference to, the Registrant’s Registration Statement filed on Form S-1 as amended to Form S-3, File No. 333-61726.</w:t>
      </w:r>
    </w:p>
    <w:p>
      <w:pPr>
        <w:spacing w:after="0" w:line="8" w:lineRule="exact"/>
        <w:rPr>
          <w:sz w:val="20"/>
          <w:szCs w:val="20"/>
          <w:color w:val="auto"/>
        </w:rPr>
      </w:pPr>
    </w:p>
    <w:p>
      <w:pPr>
        <w:ind w:left="700" w:right="400" w:hanging="692"/>
        <w:spacing w:after="0" w:line="277"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333-75806.</w:t>
      </w:r>
    </w:p>
    <w:p>
      <w:pPr>
        <w:spacing w:after="0" w:line="8" w:lineRule="exact"/>
        <w:rPr>
          <w:sz w:val="20"/>
          <w:szCs w:val="20"/>
          <w:color w:val="auto"/>
        </w:rPr>
      </w:pPr>
    </w:p>
    <w:p>
      <w:pPr>
        <w:ind w:left="600" w:right="300" w:hanging="499"/>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Amendment No. 1 to Registration Statement filed on Form S-3, File No. 333-83992.</w:t>
      </w:r>
    </w:p>
    <w:p>
      <w:pPr>
        <w:spacing w:after="0" w:line="8" w:lineRule="exact"/>
        <w:rPr>
          <w:sz w:val="20"/>
          <w:szCs w:val="20"/>
          <w:color w:val="auto"/>
        </w:rPr>
      </w:pPr>
    </w:p>
    <w:p>
      <w:pPr>
        <w:ind w:left="700" w:right="440" w:hanging="566"/>
        <w:spacing w:after="0" w:line="277" w:lineRule="auto"/>
        <w:tabs>
          <w:tab w:leader="none" w:pos="680" w:val="left"/>
        </w:tabs>
        <w:rPr>
          <w:sz w:val="20"/>
          <w:szCs w:val="20"/>
          <w:color w:val="auto"/>
        </w:rPr>
      </w:pPr>
      <w:r>
        <w:rPr>
          <w:rFonts w:ascii="Arial" w:cs="Arial" w:eastAsia="Arial" w:hAnsi="Arial"/>
          <w:sz w:val="18"/>
          <w:szCs w:val="18"/>
          <w:color w:val="auto"/>
        </w:rPr>
        <w:t>$$$$</w:t>
        <w:tab/>
        <w:t>Previously filed with the Commission as an Exhibit to, and incorporated herein by reference to, the Registrant’s current report on Form 8-K on August 28, 2002.</w:t>
      </w:r>
    </w:p>
    <w:p>
      <w:pPr>
        <w:spacing w:after="0" w:line="8" w:lineRule="exact"/>
        <w:rPr>
          <w:sz w:val="20"/>
          <w:szCs w:val="20"/>
          <w:color w:val="auto"/>
        </w:rPr>
      </w:pPr>
    </w:p>
    <w:p>
      <w:pPr>
        <w:ind w:left="700" w:right="440" w:hanging="341"/>
        <w:spacing w:after="0" w:line="277" w:lineRule="auto"/>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April 15, 2003.</w:t>
      </w:r>
    </w:p>
    <w:p>
      <w:pPr>
        <w:spacing w:after="0" w:line="8" w:lineRule="exact"/>
        <w:rPr>
          <w:sz w:val="20"/>
          <w:szCs w:val="20"/>
          <w:color w:val="auto"/>
        </w:rPr>
      </w:pPr>
    </w:p>
    <w:p>
      <w:pPr>
        <w:ind w:left="700" w:right="440" w:hanging="462"/>
        <w:spacing w:after="0" w:line="277" w:lineRule="auto"/>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May 13, 2003.</w:t>
      </w:r>
    </w:p>
    <w:p>
      <w:pPr>
        <w:spacing w:after="0" w:line="8" w:lineRule="exact"/>
        <w:rPr>
          <w:sz w:val="20"/>
          <w:szCs w:val="20"/>
          <w:color w:val="auto"/>
        </w:rPr>
      </w:pPr>
    </w:p>
    <w:p>
      <w:pPr>
        <w:ind w:left="700" w:right="440" w:hanging="570"/>
        <w:spacing w:after="0" w:line="277" w:lineRule="auto"/>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May 15, 2003.</w:t>
      </w:r>
    </w:p>
    <w:p>
      <w:pPr>
        <w:spacing w:after="0" w:line="8" w:lineRule="exact"/>
        <w:rPr>
          <w:sz w:val="20"/>
          <w:szCs w:val="20"/>
          <w:color w:val="auto"/>
        </w:rPr>
      </w:pPr>
    </w:p>
    <w:p>
      <w:pPr>
        <w:ind w:left="700" w:right="440" w:hanging="341"/>
        <w:spacing w:after="0" w:line="277"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December 10, 2003.</w:t>
      </w:r>
    </w:p>
    <w:p>
      <w:pPr>
        <w:spacing w:after="0" w:line="8" w:lineRule="exact"/>
        <w:rPr>
          <w:sz w:val="20"/>
          <w:szCs w:val="20"/>
          <w:color w:val="auto"/>
        </w:rPr>
      </w:pPr>
    </w:p>
    <w:p>
      <w:pPr>
        <w:ind w:left="700" w:right="240" w:hanging="462"/>
        <w:spacing w:after="0" w:line="277"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2003.</w:t>
      </w:r>
    </w:p>
    <w:p>
      <w:pPr>
        <w:spacing w:after="0" w:line="8" w:lineRule="exact"/>
        <w:rPr>
          <w:rFonts w:ascii="Arial" w:cs="Arial" w:eastAsia="Arial" w:hAnsi="Arial"/>
          <w:sz w:val="18"/>
          <w:szCs w:val="18"/>
          <w:color w:val="auto"/>
        </w:rPr>
      </w:pPr>
    </w:p>
    <w:p>
      <w:pPr>
        <w:ind w:left="700" w:right="80" w:hanging="233"/>
        <w:spacing w:after="0" w:line="277" w:lineRule="auto"/>
        <w:tabs>
          <w:tab w:leader="none" w:pos="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October 25, 2004.</w:t>
      </w:r>
    </w:p>
    <w:p>
      <w:pPr>
        <w:spacing w:after="0" w:line="8" w:lineRule="exact"/>
        <w:rPr>
          <w:sz w:val="20"/>
          <w:szCs w:val="20"/>
          <w:color w:val="auto"/>
        </w:rPr>
      </w:pPr>
    </w:p>
    <w:p>
      <w:pPr>
        <w:ind w:left="580" w:right="280" w:hanging="221"/>
        <w:spacing w:after="0" w:line="277" w:lineRule="auto"/>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Registration Statement on Form S-3, File No. 333-117360.</w:t>
      </w:r>
    </w:p>
    <w:p>
      <w:pPr>
        <w:spacing w:after="0" w:line="8" w:lineRule="exact"/>
        <w:rPr>
          <w:sz w:val="20"/>
          <w:szCs w:val="20"/>
          <w:color w:val="auto"/>
        </w:rPr>
      </w:pPr>
    </w:p>
    <w:p>
      <w:pPr>
        <w:ind w:left="700" w:right="80" w:hanging="341"/>
        <w:spacing w:after="0" w:line="277" w:lineRule="auto"/>
        <w:tabs>
          <w:tab w:leader="none" w:pos="700" w:val="left"/>
        </w:tabs>
        <w:numPr>
          <w:ilvl w:val="2"/>
          <w:numId w:val="8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June 17, 2004.</w:t>
      </w:r>
    </w:p>
    <w:p>
      <w:pPr>
        <w:spacing w:after="0" w:line="8" w:lineRule="exact"/>
        <w:rPr>
          <w:rFonts w:ascii="Arial" w:cs="Arial" w:eastAsia="Arial" w:hAnsi="Arial"/>
          <w:sz w:val="18"/>
          <w:szCs w:val="18"/>
          <w:color w:val="auto"/>
        </w:rPr>
      </w:pPr>
    </w:p>
    <w:p>
      <w:pPr>
        <w:ind w:left="700" w:right="40" w:hanging="462"/>
        <w:spacing w:after="0" w:line="277" w:lineRule="auto"/>
        <w:tabs>
          <w:tab w:leader="none" w:pos="7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on Form S-8, File No. 333-118263.</w:t>
      </w:r>
    </w:p>
    <w:p>
      <w:pPr>
        <w:spacing w:after="0" w:line="8" w:lineRule="exact"/>
        <w:rPr>
          <w:rFonts w:ascii="Arial" w:cs="Arial" w:eastAsia="Arial" w:hAnsi="Arial"/>
          <w:sz w:val="18"/>
          <w:szCs w:val="18"/>
          <w:color w:val="auto"/>
        </w:rPr>
      </w:pPr>
    </w:p>
    <w:p>
      <w:pPr>
        <w:ind w:left="580" w:right="180" w:hanging="464"/>
        <w:spacing w:after="0" w:line="277" w:lineRule="auto"/>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November 9, 2004.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19" w:right="239" w:bottom="1440" w:gutter="0" w:footer="0" w:header="0"/>
        </w:sectPr>
      </w:pPr>
    </w:p>
    <w:bookmarkStart w:id="93" w:name="page94"/>
    <w:bookmarkEnd w:id="93"/>
    <w:p>
      <w:pPr>
        <w:ind w:left="7180"/>
        <w:spacing w:after="0"/>
        <w:rPr>
          <w:sz w:val="20"/>
          <w:szCs w:val="20"/>
          <w:color w:val="auto"/>
        </w:rPr>
      </w:pPr>
      <w:r>
        <w:rPr>
          <w:rFonts w:ascii="Courier New" w:cs="Courier New" w:eastAsia="Courier New" w:hAnsi="Courier New"/>
          <w:sz w:val="16"/>
          <w:szCs w:val="16"/>
          <w:color w:val="auto"/>
        </w:rPr>
        <w:t>EXHIBIT 23.1</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CONSENT OF GRANT THORNTON LLP, INDEPENDENT REGISTERED PUBLIC ACCOUNTING FIRM</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We have issued our reports dated March 4, 2005, accompanying the consolidated financial statements and management's assessment of the effectiveness of internal control over financial reporting included in the Annual Report of Stemcells, Inc. on Form 10-K for the year ended December 31, 2004. We hereby consent to the incorporation by reference of said reports in the Registration Statements of Stemcells, Inc. on Forms S-3 (File No. 333-117360 effective July 14, 2004, File No. 333-105664, effective May 29, 2003, File No. 333-83992, effective March 8, 2002, File No. 333-75806, effective December 21, 2001, File No. 333-66692, effective August 3, 2001, and File No. 333-61726, effective June 29, 2001) and Forms S-8 (File No. 333-118263 effective August 16, 2004, File No. 333-66700, effective August 3, 2001, File No. 333-37313, effective October 7, 1997, File No. 333-29335, effective June 16, 1997, File No. 333-10773, effective August 23, 1996, and File No. 33-49524, effective July 10, 1992) and Registration Statements of CytoTherapeutics, Inc. on Forms S-3 (File No. 33-91228, effective April 14, 1995, and File No. 33-68900, effective September 15, 1993).</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Jose, California</w:t>
      </w:r>
    </w:p>
    <w:p>
      <w:pPr>
        <w:spacing w:after="0" w:line="238" w:lineRule="auto"/>
        <w:rPr>
          <w:sz w:val="20"/>
          <w:szCs w:val="20"/>
          <w:color w:val="auto"/>
        </w:rPr>
      </w:pPr>
      <w:r>
        <w:rPr>
          <w:rFonts w:ascii="Courier New" w:cs="Courier New" w:eastAsia="Courier New" w:hAnsi="Courier New"/>
          <w:sz w:val="18"/>
          <w:szCs w:val="18"/>
          <w:color w:val="auto"/>
        </w:rPr>
        <w:t>March 14, 2005</w:t>
      </w:r>
    </w:p>
    <w:p>
      <w:pPr>
        <w:sectPr>
          <w:pgSz w:w="11900" w:h="16838" w:orient="portrait"/>
          <w:cols w:equalWidth="0" w:num="1">
            <w:col w:w="10219"/>
          </w:cols>
          <w:pgMar w:left="240" w:top="547" w:right="1440" w:bottom="1440" w:gutter="0" w:footer="0" w:header="0"/>
        </w:sectPr>
      </w:pPr>
    </w:p>
    <w:bookmarkStart w:id="94" w:name="page95"/>
    <w:bookmarkEnd w:id="94"/>
    <w:p>
      <w:pPr>
        <w:ind w:left="7180"/>
        <w:spacing w:after="0"/>
        <w:rPr>
          <w:sz w:val="20"/>
          <w:szCs w:val="20"/>
          <w:color w:val="auto"/>
        </w:rPr>
      </w:pPr>
      <w:r>
        <w:rPr>
          <w:rFonts w:ascii="Courier New" w:cs="Courier New" w:eastAsia="Courier New" w:hAnsi="Courier New"/>
          <w:sz w:val="16"/>
          <w:szCs w:val="16"/>
          <w:color w:val="auto"/>
        </w:rPr>
        <w:t>EXHIBIT 23.2</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CONSENT OF ERNST &amp; YOUNG LLP, INDEPENDENT REGISTERED PUBLIC ACCOUNTING FIRM</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No. 333-66700) pertaining to the 2001 Equity Incentive Plan, in the Registration Statements (Form S-8 No. 333-49524 and 333-29335) pertaining to the 1998 Incentive Stock Plan, 1992 Equity Incentive Plan, 1992 Employee Stock Purchase Plan and 1992 Stock Option Plan for Non-Employee Directors, in the Registration Statement (Form S-8 No. 333-10773) pertaining to the 1992 Equity Incentive Plan, in the Registration Statement (Form S-8 No. 333-37313) pertaining to the 1996 StemCells, Inc. Stock Option Plan and the 1997 CytoTherapeutics, Inc. StemCells Research Stock Option Plan, in the Registration Statements (Form S-3 No. 333-75806, No. 333-66692, No. 333-61726 and No.</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333-83992) of StemCells, Inc. and in the Registration Statements (Form S-3 No. 333-68900 and No. 333-91228) of CytoTherapeutics, Inc. and in the related Prospectuses of our report dated March 4, 2003, except for Note 1, as to which the date is March 25, 2004, with respect to the consolidated financial statements of StemCells, Inc. included in the Annual Report (Form 10-K) for the year ended December 31, 2004.</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March 14, 2005</w:t>
      </w:r>
    </w:p>
    <w:p>
      <w:pPr>
        <w:sectPr>
          <w:pgSz w:w="11900" w:h="16838" w:orient="portrait"/>
          <w:cols w:equalWidth="0" w:num="1">
            <w:col w:w="10219"/>
          </w:cols>
          <w:pgMar w:left="240" w:top="547" w:right="1440" w:bottom="1440" w:gutter="0" w:footer="0" w:header="0"/>
        </w:sectPr>
      </w:pPr>
    </w:p>
    <w:bookmarkStart w:id="95" w:name="page96"/>
    <w:bookmarkEnd w:id="95"/>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ind w:left="2000"/>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McGlynn, certify that:</w:t>
      </w:r>
    </w:p>
    <w:p>
      <w:pPr>
        <w:spacing w:after="0" w:line="207" w:lineRule="exact"/>
        <w:rPr>
          <w:sz w:val="20"/>
          <w:szCs w:val="20"/>
          <w:color w:val="auto"/>
        </w:rPr>
      </w:pPr>
    </w:p>
    <w:p>
      <w:pPr>
        <w:ind w:left="1280" w:hanging="640"/>
        <w:spacing w:after="0"/>
        <w:tabs>
          <w:tab w:leader="none" w:pos="12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StemCells, Inc.;</w:t>
      </w:r>
    </w:p>
    <w:p>
      <w:pPr>
        <w:spacing w:after="0" w:line="223"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280" w:right="1779" w:hanging="640"/>
        <w:spacing w:after="0" w:line="268" w:lineRule="auto"/>
        <w:tabs>
          <w:tab w:leader="none" w:pos="12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the registrant and have:</w:t>
      </w:r>
    </w:p>
    <w:p>
      <w:pPr>
        <w:spacing w:after="0" w:line="207" w:lineRule="exact"/>
        <w:rPr>
          <w:rFonts w:ascii="Courier New" w:cs="Courier New" w:eastAsia="Courier New" w:hAnsi="Courier New"/>
          <w:sz w:val="16"/>
          <w:szCs w:val="16"/>
          <w:color w:val="auto"/>
        </w:rPr>
      </w:pPr>
    </w:p>
    <w:p>
      <w:pPr>
        <w:ind w:left="2540" w:right="1779" w:hanging="636"/>
        <w:spacing w:after="0" w:line="271" w:lineRule="auto"/>
        <w:tabs>
          <w:tab w:leader="none" w:pos="254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Courier New" w:cs="Courier New" w:eastAsia="Courier New" w:hAnsi="Courier New"/>
          <w:sz w:val="16"/>
          <w:szCs w:val="16"/>
          <w:color w:val="auto"/>
        </w:rPr>
      </w:pPr>
    </w:p>
    <w:p>
      <w:pPr>
        <w:ind w:left="2540" w:right="1779" w:hanging="636"/>
        <w:spacing w:after="0" w:line="271" w:lineRule="auto"/>
        <w:tabs>
          <w:tab w:leader="none" w:pos="254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540" w:right="1779" w:hanging="636"/>
        <w:spacing w:after="0" w:line="271" w:lineRule="auto"/>
        <w:tabs>
          <w:tab w:leader="none" w:pos="254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1280" w:right="1879" w:hanging="640"/>
        <w:spacing w:after="0" w:line="237" w:lineRule="auto"/>
        <w:tabs>
          <w:tab w:leader="none" w:pos="12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540" w:right="1879" w:hanging="636"/>
        <w:spacing w:after="0" w:line="237" w:lineRule="auto"/>
        <w:tabs>
          <w:tab w:leader="none" w:pos="254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540" w:right="1779" w:hanging="636"/>
        <w:spacing w:after="0" w:line="237" w:lineRule="auto"/>
        <w:tabs>
          <w:tab w:leader="none" w:pos="254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14,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sectPr>
          <w:pgSz w:w="11900" w:h="16838" w:orient="portrait"/>
          <w:cols w:equalWidth="0" w:num="1">
            <w:col w:w="10219"/>
          </w:cols>
          <w:pgMar w:left="240" w:top="541" w:right="1440" w:bottom="0" w:gutter="0" w:footer="0" w:header="0"/>
        </w:sectPr>
      </w:pPr>
    </w:p>
    <w:bookmarkStart w:id="96" w:name="page97"/>
    <w:bookmarkEnd w:id="96"/>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142" w:right="1440" w:bottom="1440" w:gutter="0" w:footer="0" w:header="0"/>
        </w:sectPr>
      </w:pPr>
    </w:p>
    <w:bookmarkStart w:id="97" w:name="page98"/>
    <w:bookmarkEnd w:id="97"/>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OF ACTING CHIEF FINANCIAL OFFICER</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Judi Lum, certify that:</w:t>
      </w:r>
    </w:p>
    <w:p>
      <w:pPr>
        <w:spacing w:after="0" w:line="207" w:lineRule="exact"/>
        <w:rPr>
          <w:sz w:val="20"/>
          <w:szCs w:val="20"/>
          <w:color w:val="auto"/>
        </w:rPr>
      </w:pPr>
    </w:p>
    <w:p>
      <w:pPr>
        <w:ind w:left="1280" w:hanging="640"/>
        <w:spacing w:after="0"/>
        <w:tabs>
          <w:tab w:leader="none" w:pos="12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StemCells, Inc.;</w:t>
      </w:r>
    </w:p>
    <w:p>
      <w:pPr>
        <w:spacing w:after="0" w:line="223"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280" w:right="1779" w:hanging="640"/>
        <w:spacing w:after="0" w:line="268" w:lineRule="auto"/>
        <w:tabs>
          <w:tab w:leader="none" w:pos="12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the registrant and have:</w:t>
      </w:r>
    </w:p>
    <w:p>
      <w:pPr>
        <w:spacing w:after="0" w:line="207" w:lineRule="exact"/>
        <w:rPr>
          <w:rFonts w:ascii="Courier New" w:cs="Courier New" w:eastAsia="Courier New" w:hAnsi="Courier New"/>
          <w:sz w:val="16"/>
          <w:szCs w:val="16"/>
          <w:color w:val="auto"/>
        </w:rPr>
      </w:pPr>
    </w:p>
    <w:p>
      <w:pPr>
        <w:ind w:left="2540" w:right="1779" w:hanging="636"/>
        <w:spacing w:after="0" w:line="271" w:lineRule="auto"/>
        <w:tabs>
          <w:tab w:leader="none" w:pos="254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sz w:val="20"/>
          <w:szCs w:val="20"/>
          <w:color w:val="auto"/>
        </w:rPr>
      </w:pPr>
    </w:p>
    <w:p>
      <w:pPr>
        <w:ind w:left="2540" w:right="1779" w:hanging="636"/>
        <w:spacing w:after="0" w:line="271" w:lineRule="auto"/>
        <w:tabs>
          <w:tab w:leader="none" w:pos="254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540" w:right="1779" w:hanging="636"/>
        <w:spacing w:after="0" w:line="271" w:lineRule="auto"/>
        <w:tabs>
          <w:tab w:leader="none" w:pos="254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1280" w:right="1879" w:hanging="640"/>
        <w:spacing w:after="0" w:line="237" w:lineRule="auto"/>
        <w:tabs>
          <w:tab w:leader="none" w:pos="12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540" w:right="1879" w:hanging="636"/>
        <w:spacing w:after="0" w:line="237" w:lineRule="auto"/>
        <w:tabs>
          <w:tab w:leader="none" w:pos="254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540" w:right="1779" w:hanging="636"/>
        <w:spacing w:after="0" w:line="237" w:lineRule="auto"/>
        <w:tabs>
          <w:tab w:leader="none" w:pos="254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14,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Judi Lum</w:t>
      </w:r>
    </w:p>
    <w:p>
      <w:pPr>
        <w:sectPr>
          <w:pgSz w:w="11900" w:h="16838" w:orient="portrait"/>
          <w:cols w:equalWidth="0" w:num="1">
            <w:col w:w="10219"/>
          </w:cols>
          <w:pgMar w:left="240" w:top="541" w:right="1440" w:bottom="0" w:gutter="0" w:footer="0" w:header="0"/>
        </w:sectPr>
      </w:pPr>
    </w:p>
    <w:bookmarkStart w:id="98" w:name="page99"/>
    <w:bookmarkEnd w:id="98"/>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Judi Lum</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142" w:right="1440" w:bottom="1440" w:gutter="0" w:footer="0" w:header="0"/>
        </w:sectPr>
      </w:pPr>
    </w:p>
    <w:bookmarkStart w:id="99" w:name="page100"/>
    <w:bookmarkEnd w:id="99"/>
    <w:p>
      <w:pPr>
        <w:ind w:left="7180"/>
        <w:spacing w:after="0"/>
        <w:rPr>
          <w:sz w:val="20"/>
          <w:szCs w:val="20"/>
          <w:color w:val="auto"/>
        </w:rPr>
      </w:pPr>
      <w:r>
        <w:rPr>
          <w:rFonts w:ascii="Courier New" w:cs="Courier New" w:eastAsia="Courier New" w:hAnsi="Courier New"/>
          <w:sz w:val="16"/>
          <w:szCs w:val="16"/>
          <w:color w:val="auto"/>
        </w:rPr>
        <w:t>EXHIBIT 32.1</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Annual Report on Form 10-K for the year ended December 31, 2004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204"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jc w:val="center"/>
        <w:ind w:right="1239"/>
        <w:spacing w:after="0" w:line="238" w:lineRule="auto"/>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207" w:lineRule="exact"/>
        <w:rPr>
          <w:sz w:val="20"/>
          <w:szCs w:val="20"/>
          <w:color w:val="auto"/>
        </w:rPr>
      </w:pPr>
    </w:p>
    <w:p>
      <w:pPr>
        <w:ind w:left="1280" w:right="1779" w:hanging="631"/>
        <w:spacing w:after="0" w:line="236"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14,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7" w:right="1440" w:bottom="1440" w:gutter="0" w:footer="0" w:header="0"/>
        </w:sectPr>
      </w:pPr>
    </w:p>
    <w:bookmarkStart w:id="100" w:name="page101"/>
    <w:bookmarkEnd w:id="100"/>
    <w:p>
      <w:pPr>
        <w:ind w:left="7180"/>
        <w:spacing w:after="0"/>
        <w:rPr>
          <w:sz w:val="20"/>
          <w:szCs w:val="20"/>
          <w:color w:val="auto"/>
        </w:rPr>
      </w:pPr>
      <w:r>
        <w:rPr>
          <w:rFonts w:ascii="Courier New" w:cs="Courier New" w:eastAsia="Courier New" w:hAnsi="Courier New"/>
          <w:sz w:val="16"/>
          <w:szCs w:val="16"/>
          <w:color w:val="auto"/>
        </w:rPr>
        <w:t>EXHIBIT 32.2</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Annual Report on Form 10-K for the year ended December 31, 2004 as filed with the Securities and Exchange Commission on the date hereof (the "Report"), I, Judi Lum, Chief Financial Officer of the Company, certify pursuant to 18 U.S.C. Section 1350, as adopted pursuant to Section 906 of the Sarbanes-Oxley Act of 2002, that, to the best of my knowledge:</w:t>
      </w:r>
    </w:p>
    <w:p>
      <w:pPr>
        <w:spacing w:after="0" w:line="204"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jc w:val="center"/>
        <w:ind w:right="1239"/>
        <w:spacing w:after="0" w:line="238" w:lineRule="auto"/>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207" w:lineRule="exact"/>
        <w:rPr>
          <w:sz w:val="20"/>
          <w:szCs w:val="20"/>
          <w:color w:val="auto"/>
        </w:rPr>
      </w:pPr>
    </w:p>
    <w:p>
      <w:pPr>
        <w:ind w:left="1280" w:right="1779" w:hanging="631"/>
        <w:spacing w:after="0" w:line="236"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14,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Judi Lum</w:t>
      </w:r>
    </w:p>
    <w:p>
      <w:pPr>
        <w:ind w:left="220" w:hanging="212"/>
        <w:spacing w:after="0" w:line="238" w:lineRule="auto"/>
        <w:tabs>
          <w:tab w:leader="none" w:pos="2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Judi Lum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547" w:right="1440" w:bottom="1440" w:gutter="0" w:footer="0" w:header="0"/>
        </w:sectPr>
      </w:pPr>
    </w:p>
    <w:bookmarkStart w:id="101" w:name="page102"/>
    <w:bookmarkEnd w:id="101"/>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YOU SHOULD CAREFULLY CONSIDER THE RISKS DESCRIBED BELOW BEFORE MAKING AN INVESTMENT DECISION REGARDING STEMCELLS, INC. Any of the following risks could materially adversely affect our business, financial conditions or results of operation. Additional risks and uncertainties not known to us or that we currently deem immaterial may also impair our business operations.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OUR FINANCIAL SITUATION IS PRECARIOUS AND, BASED ON CURRENTLY ESTIMATED OPERATING EXPENSES, OUR EXISTING CAPITAL RESOURCES MAY NOT BE SUFFICIENT TO FUND OUR OPERATIONS BEYOND 2006.</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and for acquisition of technologies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may not be sufficient to fund our operations beyond 2006. These conditions raise doubt about our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FDA MAY FAIL TO APPROVE OUR INVESTIGATIONAL NEW DRUG APPLICATION FOR OUR PROPOSED PHASE I CLINICAL TRIAL OF OUR PROPRIETARY NEURAL CELL THERAPY PRODUCT IN BATTEN DISEASE, AND THE INSTITUTIONAL REVIEW BOARD (IRB) AT THE CLINICAL SITE MAY FAIL TO APPROVE THE CLINICAL PROTOCOL FOR THE TRIAL.</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We filed our first Investigational New Drug, or IND, application to the U.S. Food and Drug Administration (FDA) in late December, 2004, for our proposed Phase I clinical trial of our proprietary neural cell therapy product - HuCNS SC</w:t>
      </w:r>
    </w:p>
    <w:p>
      <w:pPr>
        <w:spacing w:after="0" w:line="1" w:lineRule="exact"/>
        <w:rPr>
          <w:sz w:val="20"/>
          <w:szCs w:val="20"/>
          <w:color w:val="auto"/>
        </w:rPr>
      </w:pPr>
    </w:p>
    <w:p>
      <w:pPr>
        <w:ind w:right="1779" w:firstLine="8"/>
        <w:spacing w:after="0" w:line="237" w:lineRule="auto"/>
        <w:tabs>
          <w:tab w:leader="none" w:pos="21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Batten disease. The FDA has informed us that it has suggestions and questions related to the proposed trial that require additional information and has placed our proposed trial on hold. We cannot be certain whether the FDA will remove the clinical hold on the Company's proposed initial clinical trial and permit the Company to proceed to clinical testing despite the novel and unproven nature of our technology. We may not be able to satisfy the FDA's concerns without conducting extensive and time consuming additional preclinical studies, if at all. Even if approved, our clinical trial could be substantially delayed beyond its expected dates. In addition to requiring FDA approval, the trial cannot go forward until the IRB of the trial site has approved the proposed clinical protocol. The IRB for</w:t>
      </w:r>
    </w:p>
    <w:p>
      <w:pPr>
        <w:sectPr>
          <w:pgSz w:w="11900" w:h="16838" w:orient="portrait"/>
          <w:cols w:equalWidth="0" w:num="1">
            <w:col w:w="10219"/>
          </w:cols>
          <w:pgMar w:left="240" w:top="541" w:right="1440" w:bottom="546" w:gutter="0" w:footer="0" w:header="0"/>
        </w:sectPr>
      </w:pPr>
    </w:p>
    <w:bookmarkStart w:id="102" w:name="page103"/>
    <w:bookmarkEnd w:id="102"/>
    <w:p>
      <w:pPr>
        <w:ind w:right="1879"/>
        <w:spacing w:after="0" w:line="237" w:lineRule="auto"/>
        <w:rPr>
          <w:sz w:val="20"/>
          <w:szCs w:val="20"/>
          <w:color w:val="auto"/>
        </w:rPr>
      </w:pPr>
      <w:r>
        <w:rPr>
          <w:rFonts w:ascii="Courier New" w:cs="Courier New" w:eastAsia="Courier New" w:hAnsi="Courier New"/>
          <w:sz w:val="18"/>
          <w:szCs w:val="18"/>
          <w:color w:val="auto"/>
        </w:rPr>
        <w:t>Stanford University, the proposed site of the trial, has not yet acted on the protocol. Should it fail to approve the trial, or require modifications to the protocol that are not acceptable to the Company, the Company would need to find another trial site.</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20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We have yet to develop any products. Our stem cell technology is still at the discovery phase for the liver and pancreas stem cells and, while we have filed an IND with respect to our human neural (brain) stem cells, the U.S. Food and Drug Administration (FDA) has placed a clinical hold on our proposed clinical trial pending the Company's response to its concerns. We may fail to discover the stem cells we are seeking, to develop any products, to obtain regulatory approvals, to enter clinical trials, or to commercialize any products. Any product using stem cell technology may fail to:</w:t>
      </w:r>
    </w:p>
    <w:p>
      <w:pPr>
        <w:spacing w:after="0" w:line="180" w:lineRule="exact"/>
        <w:rPr>
          <w:sz w:val="20"/>
          <w:szCs w:val="20"/>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6"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39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Moreover, because our cell therapy treatments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 infection, cancer, cardiovascular disease, renal dysfunction and other side effects depending upon which immunosuppressive regimen is employed. Immunosuppression has not been tested with our therapies since we have not yet conducted any clinical trials.</w:t>
      </w:r>
    </w:p>
    <w:p>
      <w:pPr>
        <w:spacing w:after="0" w:line="21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 noted above, we filed an IND with the FDA earlier this year which is currently on clinical hold. Before we are permitted to move forward, as part of the IND process, the FDA will need to be satisfied that the cell bank to be used in these trials qualifies as a suitable source of the cells for the proposed clinical trial, and that the pre-clinical safety testing (i.e., pharmacology and toxicology studies) we conducted in various animal models is adequate. We must also obtain the approval of the internal review board at the medical institution where the clinical trial would be conducted. We may not be able to satisfy all of the requirements to move the Batten disease program into clinical trials, which could have a material adverse effect on our product development timeline.</w:t>
      </w:r>
    </w:p>
    <w:p>
      <w:pPr>
        <w:spacing w:after="0" w:line="18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Prior to our reorganization in 1999 and the consolidation of our business in</w:t>
      </w:r>
    </w:p>
    <w:p>
      <w:pPr>
        <w:spacing w:after="0" w:line="238" w:lineRule="auto"/>
        <w:rPr>
          <w:sz w:val="20"/>
          <w:szCs w:val="20"/>
          <w:color w:val="auto"/>
        </w:rPr>
      </w:pPr>
      <w:r>
        <w:rPr>
          <w:rFonts w:ascii="Courier New" w:cs="Courier New" w:eastAsia="Courier New" w:hAnsi="Courier New"/>
          <w:sz w:val="18"/>
          <w:szCs w:val="18"/>
          <w:color w:val="auto"/>
        </w:rPr>
        <w:t>California, we carried out our former encapsulated cell therapy programs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Lincoln, Rhode Island, where we also had our administrative offices. Although we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have vacated the Rhode Island facilities, we remain obligated to make on</w:t>
      </w:r>
    </w:p>
    <w:p>
      <w:pPr>
        <w:spacing w:after="0" w:line="238" w:lineRule="auto"/>
        <w:rPr>
          <w:sz w:val="20"/>
          <w:szCs w:val="20"/>
          <w:color w:val="auto"/>
        </w:rPr>
      </w:pPr>
      <w:r>
        <w:rPr>
          <w:rFonts w:ascii="Courier New" w:cs="Courier New" w:eastAsia="Courier New" w:hAnsi="Courier New"/>
          <w:sz w:val="18"/>
          <w:szCs w:val="18"/>
          <w:color w:val="auto"/>
        </w:rPr>
        <w:t>average, lease payments and payments for operating costs of approximately</w:t>
      </w:r>
    </w:p>
    <w:p>
      <w:pPr>
        <w:spacing w:after="0"/>
        <w:rPr>
          <w:sz w:val="20"/>
          <w:szCs w:val="20"/>
          <w:color w:val="auto"/>
        </w:rPr>
      </w:pPr>
      <w:r>
        <w:rPr>
          <w:rFonts w:ascii="Courier New" w:cs="Courier New" w:eastAsia="Courier New" w:hAnsi="Courier New"/>
          <w:sz w:val="18"/>
          <w:szCs w:val="18"/>
          <w:color w:val="auto"/>
        </w:rPr>
        <w:t>$1,450,000 per year before sub-tenant rent income for our former science and</w:t>
      </w:r>
    </w:p>
    <w:p>
      <w:pPr>
        <w:spacing w:after="0" w:line="237" w:lineRule="auto"/>
        <w:rPr>
          <w:sz w:val="20"/>
          <w:szCs w:val="20"/>
          <w:color w:val="auto"/>
        </w:rPr>
      </w:pPr>
      <w:r>
        <w:rPr>
          <w:rFonts w:ascii="Courier New" w:cs="Courier New" w:eastAsia="Courier New" w:hAnsi="Courier New"/>
          <w:sz w:val="18"/>
          <w:szCs w:val="18"/>
          <w:color w:val="auto"/>
        </w:rPr>
        <w:t>administrative facility, which we have leased through June 30, 2013, and 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 payments and payments for operating costs of approximately $500,000 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for our former encapsulated cell therapy pilot manufacturing facility,</w:t>
      </w:r>
    </w:p>
    <w:p>
      <w:pPr>
        <w:spacing w:after="0" w:line="238" w:lineRule="auto"/>
        <w:rPr>
          <w:sz w:val="20"/>
          <w:szCs w:val="20"/>
          <w:color w:val="auto"/>
        </w:rPr>
      </w:pPr>
      <w:r>
        <w:rPr>
          <w:rFonts w:ascii="Courier New" w:cs="Courier New" w:eastAsia="Courier New" w:hAnsi="Courier New"/>
          <w:sz w:val="18"/>
          <w:szCs w:val="18"/>
          <w:color w:val="auto"/>
        </w:rPr>
        <w:t>which we own. We have currently subleased a portion of the science and</w:t>
      </w:r>
    </w:p>
    <w:p>
      <w:pPr>
        <w:spacing w:after="0"/>
        <w:rPr>
          <w:sz w:val="20"/>
          <w:szCs w:val="20"/>
          <w:color w:val="auto"/>
        </w:rPr>
      </w:pPr>
      <w:r>
        <w:rPr>
          <w:rFonts w:ascii="Courier New" w:cs="Courier New" w:eastAsia="Courier New" w:hAnsi="Courier New"/>
          <w:sz w:val="18"/>
          <w:szCs w:val="18"/>
          <w:color w:val="auto"/>
        </w:rPr>
        <w:t>administrative facility, and are</w:t>
      </w:r>
    </w:p>
    <w:p>
      <w:pPr>
        <w:sectPr>
          <w:pgSz w:w="11900" w:h="16838" w:orient="portrait"/>
          <w:cols w:equalWidth="0" w:num="1">
            <w:col w:w="10219"/>
          </w:cols>
          <w:pgMar w:left="240" w:top="722" w:right="1440" w:bottom="158" w:gutter="0" w:footer="0" w:header="0"/>
        </w:sectPr>
      </w:pPr>
    </w:p>
    <w:bookmarkStart w:id="103" w:name="page104"/>
    <w:bookmarkEnd w:id="103"/>
    <w:p>
      <w:pPr>
        <w:ind w:right="1779"/>
        <w:spacing w:after="0" w:line="269" w:lineRule="auto"/>
        <w:rPr>
          <w:sz w:val="20"/>
          <w:szCs w:val="20"/>
          <w:color w:val="auto"/>
        </w:rPr>
      </w:pPr>
      <w:r>
        <w:rPr>
          <w:rFonts w:ascii="Courier New" w:cs="Courier New" w:eastAsia="Courier New" w:hAnsi="Courier New"/>
          <w:sz w:val="16"/>
          <w:szCs w:val="16"/>
          <w:color w:val="auto"/>
        </w:rPr>
        <w:t>seeking to sublease the remaining portion, but we cannot be sure that we will be able to keep any part of the facility subleased for the duration of our obligation. We have currently subleased the entire pilot manufacturing facility to a privately-held biotechnology company, but may not be able to sublease or sell the facility in the future once the current sublease agreements expire. These continuing costs significantly reduce our cash resources and adversely affect our ability to fund further development of our stem cell technology.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2004, the reserve was $5,528,000. In 2004, we incurred $1,152,000 in operating expenses net of sub-tenant income for this facility. In 2004 and 2003 respectively, we incurred $1,152,000 and $984,000 in lease payments and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200" w:lineRule="exact"/>
        <w:rPr>
          <w:sz w:val="20"/>
          <w:szCs w:val="20"/>
          <w:color w:val="auto"/>
        </w:rPr>
      </w:pPr>
    </w:p>
    <w:p>
      <w:pPr>
        <w:spacing w:after="0" w:line="393"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we have only one current research grant for our stem cell technology, and we may not obtain any such agreements or additional grants in the future or receive any revenues from them.</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WE ARE UNABLE TO PROTECT OUR PATENTS AND PROPRIETARY RIGHTS, OUR BUSINESS, FINANCIAL CONDITION AND RESULTS OF OPERATIONS WILL BE HARMED.</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w:t>
      </w:r>
    </w:p>
    <w:p>
      <w:pPr>
        <w:sectPr>
          <w:pgSz w:w="11900" w:h="16838" w:orient="portrait"/>
          <w:cols w:equalWidth="0" w:num="1">
            <w:col w:w="10219"/>
          </w:cols>
          <w:pgMar w:left="240" w:top="722" w:right="1440" w:bottom="0" w:gutter="0" w:footer="0" w:header="0"/>
        </w:sectPr>
      </w:pPr>
    </w:p>
    <w:bookmarkStart w:id="104" w:name="page105"/>
    <w:bookmarkEnd w:id="104"/>
    <w:p>
      <w:pPr>
        <w:ind w:right="2319"/>
        <w:spacing w:after="0" w:line="236" w:lineRule="auto"/>
        <w:rPr>
          <w:sz w:val="20"/>
          <w:szCs w:val="20"/>
          <w:color w:val="auto"/>
        </w:rPr>
      </w:pPr>
      <w:r>
        <w:rPr>
          <w:rFonts w:ascii="Courier New" w:cs="Courier New" w:eastAsia="Courier New" w:hAnsi="Courier New"/>
          <w:sz w:val="18"/>
          <w:szCs w:val="18"/>
          <w:color w:val="auto"/>
        </w:rPr>
        <w:t>in the issuance of patents, if any existing or future patents will provide sufficient protection or significant commercial advantage or if others will circumvent these patents. We cannot be</w:t>
      </w:r>
    </w:p>
    <w:p>
      <w:pPr>
        <w:sectPr>
          <w:pgSz w:w="11900" w:h="16838" w:orient="portrait"/>
          <w:cols w:equalWidth="0" w:num="1">
            <w:col w:w="10219"/>
          </w:cols>
          <w:pgMar w:left="240" w:top="142" w:right="1440" w:bottom="1440" w:gutter="0" w:footer="0" w:header="0"/>
        </w:sectPr>
      </w:pPr>
    </w:p>
    <w:bookmarkStart w:id="105" w:name="page106"/>
    <w:bookmarkEnd w:id="105"/>
    <w:p>
      <w:pPr>
        <w:ind w:right="1779"/>
        <w:spacing w:after="0" w:line="238" w:lineRule="auto"/>
        <w:rPr>
          <w:sz w:val="20"/>
          <w:szCs w:val="20"/>
          <w:color w:val="auto"/>
        </w:rPr>
      </w:pPr>
      <w:r>
        <w:rPr>
          <w:rFonts w:ascii="Courier New" w:cs="Courier New" w:eastAsia="Courier New" w:hAnsi="Courier New"/>
          <w:sz w:val="18"/>
          <w:szCs w:val="18"/>
          <w:color w:val="auto"/>
        </w:rPr>
        <w:t>certain that we were the first to discover the inventions covered by each of our pending 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 commercial benefit to us. In addition, our patents may not afford us adequate protection from competing products.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 Under the procedures of the European Patent Office, third parties may oppose our issued European patents during the relevant opposition period. Such oppositions could result in substantial uncertainties and cost for us, even if the eventual outcome is favorable to us, and the outcome might not be favorable to us. One party has opposed two of our granted European patents. While we are confident in our position, there is no guarantee that we will prevail. If we are unsuccessful in our defense of the opposed patents, all claimed rights in the opposed patents will be lost in Europe.</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21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85"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IF WE ARE UNABLE TO OBTAIN NECESSARY LICENSES TO THIRD-PARTY PATENTS AND OTHER RIGHTS, WE MAY NOT BE ABLE TO COMMERCIALLY DEVELOP OUR EXPECTED PRODUCTS.</w:t>
      </w:r>
    </w:p>
    <w:p>
      <w:pPr>
        <w:spacing w:after="0" w:line="17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valid claims that our technology infringes upon their technology,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risks of third-party patents and/or technology. We can give no assurance that any of these licenses will provide effective protection against our competitors.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w:t>
      </w:r>
    </w:p>
    <w:p>
      <w:pPr>
        <w:sectPr>
          <w:pgSz w:w="11900" w:h="16838" w:orient="portrait"/>
          <w:cols w:equalWidth="0" w:num="1">
            <w:col w:w="10219"/>
          </w:cols>
          <w:pgMar w:left="240" w:top="722" w:right="1440" w:bottom="0" w:gutter="0" w:footer="0" w:header="0"/>
        </w:sectPr>
      </w:pPr>
    </w:p>
    <w:bookmarkStart w:id="106" w:name="page107"/>
    <w:bookmarkEnd w:id="106"/>
    <w:p>
      <w:pPr>
        <w:spacing w:after="0"/>
        <w:rPr>
          <w:sz w:val="20"/>
          <w:szCs w:val="20"/>
          <w:color w:val="auto"/>
        </w:rPr>
      </w:pPr>
      <w:r>
        <w:rPr>
          <w:rFonts w:ascii="Courier New" w:cs="Courier New" w:eastAsia="Courier New" w:hAnsi="Courier New"/>
          <w:sz w:val="16"/>
          <w:szCs w:val="16"/>
          <w:color w:val="auto"/>
        </w:rPr>
        <w:t>of biotechnology companies with resources far greater than ours may also</w:t>
      </w:r>
    </w:p>
    <w:p>
      <w:pPr>
        <w:sectPr>
          <w:pgSz w:w="11900" w:h="16838" w:orient="portrait"/>
          <w:cols w:equalWidth="0" w:num="1">
            <w:col w:w="10219"/>
          </w:cols>
          <w:pgMar w:left="240" w:top="142" w:right="1440" w:bottom="1440" w:gutter="0" w:footer="0" w:header="0"/>
        </w:sectPr>
      </w:pPr>
    </w:p>
    <w:bookmarkStart w:id="107" w:name="page108"/>
    <w:bookmarkEnd w:id="107"/>
    <w:p>
      <w:pPr>
        <w:ind w:right="1999"/>
        <w:spacing w:after="0" w:line="237" w:lineRule="auto"/>
        <w:rPr>
          <w:sz w:val="20"/>
          <w:szCs w:val="20"/>
          <w:color w:val="auto"/>
        </w:rPr>
      </w:pPr>
      <w:r>
        <w:rPr>
          <w:rFonts w:ascii="Courier New" w:cs="Courier New" w:eastAsia="Courier New" w:hAnsi="Courier New"/>
          <w:sz w:val="18"/>
          <w:szCs w:val="18"/>
          <w:color w:val="auto"/>
        </w:rPr>
        <w:t>emerge as competitors. These include Genzyme, Amgen, Cephalon, Transkaryotic Therapies, BioMarin, Celgene, Biogen, and Titan Pharmaceuticals. Finally, we also expect to compete with smaller biotechnology companies, some of which are privately owned, such as Neuralstem, Geron, NeuroNova, ReNeuron, ES Cell International, and CellFactors/Diacrin.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that our human neural stem cells may have application to many or most of the Lysosomal Storage Diseases ("LSDs") with CNS involvement. We have submitted our first IND for Batten Disease, which is one of the LSDs that affect the CNS; that IND is currently on clinical hold, and we have no assurance as to when or whether the FDA will release the hold and permit the clinical trial to begin. There are, so far as we know, no approved therapies for Batten's or any of the other CNS-specific LSDs, but other companies, including Genzyme, BioMarin, and Transkaryotic Therapies, have products approved to treat peripheral aspects of some of the other LSDs, and other products are in clinical trials.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field of diabetes, a number of major companies currently market products for the treatment of diabetes and are also engaged in the research and development of new therapies. Such companies include Eli Lilly, Novo Nordisk, J&amp;J, Amylin, Serono. Consequently, should we successfully develop a cell-based therapy for diabetes, we would expect to face severe competition from these and similar companies.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 WHICH COULD IMPEDE OUR BUSINESS.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 - 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Although we do not use embryonic stem cells, government regulation and threatened regulation of embryonic tissue may lead top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the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20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We may apply for status under the Orphan Drug Act for some of our therapies to gain a seven-year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w:t>
      </w:r>
    </w:p>
    <w:p>
      <w:pPr>
        <w:sectPr>
          <w:pgSz w:w="11900" w:h="16838" w:orient="portrait"/>
          <w:cols w:equalWidth="0" w:num="1">
            <w:col w:w="10219"/>
          </w:cols>
          <w:pgMar w:left="240" w:top="723" w:right="1440" w:bottom="0" w:gutter="0" w:footer="0" w:header="0"/>
        </w:sectPr>
      </w:pPr>
    </w:p>
    <w:bookmarkStart w:id="108" w:name="page109"/>
    <w:bookmarkEnd w:id="108"/>
    <w:p>
      <w:pPr>
        <w:ind w:right="1879"/>
        <w:spacing w:after="0" w:line="235" w:lineRule="auto"/>
        <w:rPr>
          <w:sz w:val="20"/>
          <w:szCs w:val="20"/>
          <w:color w:val="auto"/>
        </w:rPr>
      </w:pPr>
      <w:r>
        <w:rPr>
          <w:rFonts w:ascii="Courier New" w:cs="Courier New" w:eastAsia="Courier New" w:hAnsi="Courier New"/>
          <w:sz w:val="18"/>
          <w:szCs w:val="18"/>
          <w:color w:val="auto"/>
        </w:rPr>
        <w:t>were to apply for and be granted orphan drug status with respect to a potential product.</w:t>
      </w:r>
    </w:p>
    <w:p>
      <w:pPr>
        <w:sectPr>
          <w:pgSz w:w="11900" w:h="16838" w:orient="portrait"/>
          <w:cols w:equalWidth="0" w:num="1">
            <w:col w:w="10219"/>
          </w:cols>
          <w:pgMar w:left="240" w:top="142"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8"/>
          <w:szCs w:val="18"/>
          <w:color w:val="auto"/>
        </w:rPr>
        <w:t>WE ARE DEPENDENT ON THE SERVICES OF KEY PERSONNEL.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NEED TO IMPROVE OUR FINANCIAL CONTROL PROCEDURES.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Management's Annual Report on Internal Controls Over Financial Reporting found deficiencies in the operating effectiveness of its internal controls over financial reporting that collectively constitute significant deficiencies and a material weakness under standards established by the American Institute of Certified Public Accountants, resulting in more than a remote likelihood that a material misstatement of the annual or interim financial statements of the Company will not be prevented or detected. In the opinion of Grant Thornton LLP, the Company's independent auditors, Management's assessment that that StemCells Inc. did not maintain effective internal control over financial reporting as of December 31, 2004, is fairly stated, in all material respects. It is also the opinion of Grant Thornton that because of the effect of the material weakness identified by management (i.e., instances where both the preparation and review of general journal entries were performed by the same individual) on the achievement of the objectives of the control criteria, StemCells Inc. has not maintained effective internal control over financial reporting as of December 31, 2004, based on criteria established in Internal Control -- Integrated Framework issued by the Committee of Sponsoring Organizations of the Treadway Commission. The Company has already taken remedial steps, and will continue its on-going evaluation of internal controls and attempts to improve its internal controls over financial reporting as necessary to assure their effectiveness, but there can be no assurance that it will succeed or that other deficiencies will not be identified.</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SINCE HEALTH CARE INSURERS AND OTHER ORGANIZATIONS MAY NOT PAY FOR OUR PRODUCTS OR MAY IMPOSE LIMITS ON REIMBURSEMENTS, OUR ABILITY TO BECOME PROFITABLE COULD BE REDUCED.</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or novel therapies such as ours.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200" w:lineRule="exact"/>
        <w:rPr>
          <w:sz w:val="20"/>
          <w:szCs w:val="20"/>
          <w:color w:val="auto"/>
        </w:rPr>
      </w:pPr>
    </w:p>
    <w:p>
      <w:pPr>
        <w:spacing w:after="0" w:line="393" w:lineRule="exact"/>
        <w:rPr>
          <w:sz w:val="20"/>
          <w:szCs w:val="20"/>
          <w:color w:val="auto"/>
        </w:rPr>
      </w:pPr>
    </w:p>
    <w:p>
      <w:pPr>
        <w:jc w:val="both"/>
        <w:ind w:right="2839"/>
        <w:spacing w:after="0" w:line="236"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ectPr>
          <w:pgSz w:w="11900" w:h="16838" w:orient="portrait"/>
          <w:cols w:equalWidth="0" w:num="1">
            <w:col w:w="10219"/>
          </w:cols>
          <w:pgMar w:left="240" w:top="717" w:right="1440" w:bottom="566" w:gutter="0" w:footer="0" w:header="0"/>
        </w:sectPr>
      </w:pPr>
    </w:p>
    <w:bookmarkStart w:id="110" w:name="page111"/>
    <w:bookmarkEnd w:id="110"/>
    <w:p>
      <w:pPr>
        <w:ind w:right="1779"/>
        <w:spacing w:after="0" w:line="269" w:lineRule="auto"/>
        <w:rPr>
          <w:sz w:val="20"/>
          <w:szCs w:val="20"/>
          <w:color w:val="auto"/>
        </w:rPr>
      </w:pPr>
      <w:r>
        <w:rPr>
          <w:rFonts w:ascii="Courier New" w:cs="Courier New" w:eastAsia="Courier New" w:hAnsi="Courier New"/>
          <w:sz w:val="16"/>
          <w:szCs w:val="16"/>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commercialize them ourselves.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in our research and development efforts.</w:t>
      </w:r>
    </w:p>
    <w:p>
      <w:pPr>
        <w:spacing w:after="0" w:line="39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RISKS RELATED TO THE SECURITIES MARKET</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OUR STOCK PRICE HAS BEEN, AND WILL LIKELY CONTINUE TO BE, HIGHLY VOLATILE, WHICH MAY NEGATIVELY AFFECT OUR ABILITY TO OBTAIN ADDITIONAL FINANCING IN THE FUTURE.</w:t>
      </w:r>
    </w:p>
    <w:p>
      <w:pPr>
        <w:spacing w:after="0" w:line="170"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market price of our stock has been and is likely to continue to be highly volatile due to the risks and uncertainties described in this section of the prospectus, as well as other factors, including:</w:t>
      </w:r>
    </w:p>
    <w:p>
      <w:pPr>
        <w:spacing w:after="0" w:line="203" w:lineRule="exact"/>
        <w:rPr>
          <w:sz w:val="20"/>
          <w:szCs w:val="20"/>
          <w:color w:val="auto"/>
        </w:rPr>
      </w:pPr>
    </w:p>
    <w:p>
      <w:pPr>
        <w:ind w:left="1280" w:hanging="640"/>
        <w:spacing w:after="0"/>
        <w:tabs>
          <w:tab w:leader="none" w:pos="12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develop and test our technology;</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patent or obtain licenses to necessary technology;</w:t>
      </w:r>
    </w:p>
    <w:p>
      <w:pPr>
        <w:spacing w:after="0" w:line="206"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and publicity regarding the industry in which we operate, as well as the specific areas our product candidates seek to address;</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in our industry;</w:t>
      </w:r>
    </w:p>
    <w:p>
      <w:pPr>
        <w:spacing w:after="0" w:line="206"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and volume fluctuations in the stock market at large that are unrelated to our operating performance; and</w:t>
      </w:r>
    </w:p>
    <w:p>
      <w:pPr>
        <w:spacing w:after="0" w:line="208" w:lineRule="exact"/>
        <w:rPr>
          <w:rFonts w:ascii="Courier New" w:cs="Courier New" w:eastAsia="Courier New" w:hAnsi="Courier New"/>
          <w:sz w:val="18"/>
          <w:szCs w:val="18"/>
          <w:color w:val="auto"/>
        </w:rPr>
      </w:pPr>
    </w:p>
    <w:p>
      <w:pPr>
        <w:ind w:left="1280" w:right="2419" w:hanging="640"/>
        <w:spacing w:after="0" w:line="235" w:lineRule="auto"/>
        <w:tabs>
          <w:tab w:leader="none" w:pos="12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comments by securities analysts, or our failure to meet market expectations.</w:t>
      </w:r>
    </w:p>
    <w:p>
      <w:pPr>
        <w:spacing w:after="0" w:line="20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Over the two-year period ended December 31, 2004, the closing price of our common stock as reported on the Nasdaq SmallCap Market ranged from a high of $4.48 to a low of $.66. As a result of this volatility, your investment in our stock is subject to substantial risk. Furthermore, the volatility of our stock price could negatively impact our ability to raise capital in the future.</w:t>
      </w:r>
    </w:p>
    <w:p>
      <w:pPr>
        <w:spacing w:after="0" w:line="18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ARE CONTRACTUALLY OBLIGATED TO ISSUE SHARES IN THE FUTURE, DILUTING YOUR INTEREST IN US.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December 31, 2004, there were outstanding and exercisable warrants to purchase 5,490,285 shares of our common stock, at a weighted average exercise price of $2.08 per share. As of December 31, 2004, there were also outstanding and exercisable options to purchase 6,682,201 shares of our common stock, at a weighted average exercise price of $2.67 per share.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further diluting the interest of the purchasers of the securities being sold in this offering.</w:t>
      </w:r>
    </w:p>
    <w:sectPr>
      <w:pgSz w:w="11900" w:h="16838" w:orient="portrait"/>
      <w:cols w:equalWidth="0" w:num="1">
        <w:col w:w="10219"/>
      </w:cols>
      <w:pgMar w:left="240" w:top="7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o"/>
      <w:numFmt w:val="bullet"/>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1."/>
      <w:numFmt w:val="decimal"/>
      <w:start w:val="1"/>
    </w:lvl>
  </w:abstractNum>
  <w:abstractNum w:abstractNumId="7">
    <w:nsid w:val="70C6A529"/>
    <w:multiLevelType w:val="hybridMultilevel"/>
    <w:lvl w:ilvl="0">
      <w:lvlJc w:val="left"/>
      <w:lvlText w:val="%1."/>
      <w:numFmt w:val="decimal"/>
      <w:start w:val="2"/>
    </w:lvl>
  </w:abstractNum>
  <w:abstractNum w:abstractNumId="8">
    <w:nsid w:val="520EEDD1"/>
    <w:multiLevelType w:val="hybridMultilevel"/>
    <w:lvl w:ilvl="0">
      <w:lvlJc w:val="left"/>
      <w:lvlText w:val="%1."/>
      <w:numFmt w:val="decimal"/>
      <w:start w:val="3"/>
    </w:lvl>
  </w:abstractNum>
  <w:abstractNum w:abstractNumId="9">
    <w:nsid w:val="374A3FE6"/>
    <w:multiLevelType w:val="hybridMultilevel"/>
    <w:lvl w:ilvl="0">
      <w:lvlJc w:val="left"/>
      <w:lvlText w:val="•"/>
      <w:numFmt w:val="bullet"/>
      <w:start w:val="1"/>
    </w:lvl>
    <w:lvl w:ilvl="1">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1)"/>
      <w:numFmt w:val="decimal"/>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1."/>
      <w:numFmt w:val="decimal"/>
      <w:start w:val="4"/>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1)"/>
      <w:numFmt w:val="decimal"/>
      <w:start w:val="1"/>
    </w:lvl>
  </w:abstractNum>
  <w:abstractNum w:abstractNumId="18">
    <w:nsid w:val="47398C89"/>
    <w:multiLevelType w:val="hybridMultilevel"/>
    <w:lvl w:ilvl="0">
      <w:lvlJc w:val="left"/>
      <w:lvlText w:val="(%1)"/>
      <w:numFmt w:val="decimal"/>
      <w:start w:val="2"/>
    </w:lvl>
    <w:lvl w:ilvl="1">
      <w:lvlJc w:val="left"/>
      <w:lvlText w:val="•"/>
      <w:numFmt w:val="bullet"/>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decimal"/>
      <w:start w:val="5"/>
    </w:lvl>
  </w:abstractNum>
  <w:abstractNum w:abstractNumId="26">
    <w:nsid w:val="7E0C57B1"/>
    <w:multiLevelType w:val="hybridMultilevel"/>
    <w:lvl w:ilvl="0">
      <w:lvlJc w:val="left"/>
      <w:lvlText w:val="(%1)"/>
      <w:numFmt w:val="decimal"/>
      <w:start w:val="1"/>
    </w:lvl>
  </w:abstractNum>
  <w:abstractNum w:abstractNumId="27">
    <w:nsid w:val="77AE35EB"/>
    <w:multiLevelType w:val="hybridMultilevel"/>
    <w:lvl w:ilvl="0">
      <w:lvlJc w:val="left"/>
      <w:lvlText w:val="%1."/>
      <w:numFmt w:val="decimal"/>
      <w:start w:val="6"/>
    </w:lvl>
  </w:abstractNum>
  <w:abstractNum w:abstractNumId="28">
    <w:nsid w:val="579BE4F1"/>
    <w:multiLevelType w:val="hybridMultilevel"/>
    <w:lvl w:ilvl="0">
      <w:lvlJc w:val="left"/>
      <w:lvlText w:val="%1."/>
      <w:numFmt w:val="decimal"/>
      <w:start w:val="7"/>
    </w:lvl>
  </w:abstractNum>
  <w:abstractNum w:abstractNumId="29">
    <w:nsid w:val="310C50B3"/>
    <w:multiLevelType w:val="hybridMultilevel"/>
    <w:lvl w:ilvl="0">
      <w:lvlJc w:val="left"/>
      <w:lvlText w:val="%1."/>
      <w:numFmt w:val="decimal"/>
      <w:start w:val="8"/>
    </w:lvl>
  </w:abstractNum>
  <w:abstractNum w:abstractNumId="30">
    <w:nsid w:val="5FF87E05"/>
    <w:multiLevelType w:val="hybridMultilevel"/>
    <w:lvl w:ilvl="0">
      <w:lvlJc w:val="left"/>
      <w:lvlText w:val="%1."/>
      <w:numFmt w:val="decimal"/>
      <w:start w:val="9"/>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1."/>
      <w:numFmt w:val="decimal"/>
      <w:start w:val="10"/>
    </w:lvl>
  </w:abstractNum>
  <w:abstractNum w:abstractNumId="33">
    <w:nsid w:val="1DBABF00"/>
    <w:multiLevelType w:val="hybridMultilevel"/>
    <w:lvl w:ilvl="0">
      <w:lvlJc w:val="left"/>
      <w:lvlText w:val="%1."/>
      <w:numFmt w:val="decimal"/>
      <w:start w:val="11"/>
    </w:lvl>
  </w:abstractNum>
  <w:abstractNum w:abstractNumId="34">
    <w:nsid w:val="4AD084E9"/>
    <w:multiLevelType w:val="hybridMultilevel"/>
    <w:lvl w:ilvl="0">
      <w:lvlJc w:val="left"/>
      <w:lvlText w:val="%1."/>
      <w:numFmt w:val="decimal"/>
      <w:start w:val="12"/>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1."/>
      <w:numFmt w:val="decimal"/>
      <w:start w:val="14"/>
    </w:lvl>
  </w:abstractNum>
  <w:abstractNum w:abstractNumId="37">
    <w:nsid w:val="5DB70AE5"/>
    <w:multiLevelType w:val="hybridMultilevel"/>
    <w:lvl w:ilvl="0">
      <w:lvlJc w:val="left"/>
      <w:lvlText w:val="(%1)"/>
      <w:numFmt w:val="lowerLetter"/>
      <w:start w:val="1"/>
    </w:lvl>
  </w:abstractNum>
  <w:abstractNum w:abstractNumId="38">
    <w:nsid w:val="100F8FCA"/>
    <w:multiLevelType w:val="hybridMultilevel"/>
    <w:lvl w:ilvl="0">
      <w:lvlJc w:val="left"/>
      <w:lvlText w:val="(%1)"/>
      <w:numFmt w:val="decimal"/>
      <w:start w:val="2"/>
    </w:lvl>
  </w:abstractNum>
  <w:abstractNum w:abstractNumId="39">
    <w:nsid w:val="6590700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40">
    <w:nsid w:val="15014ACB"/>
    <w:multiLevelType w:val="hybridMultilevel"/>
    <w:lvl w:ilvl="0">
      <w:lvlJc w:val="left"/>
      <w:lvlText w:val="##"/>
      <w:numFmt w:val="bullet"/>
      <w:start w:val="1"/>
    </w:lvl>
    <w:lvl w:ilvl="1">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X"/>
      <w:numFmt w:val="bullet"/>
      <w:start w:val="1"/>
    </w:lvl>
  </w:abstractNum>
  <w:abstractNum w:abstractNumId="49">
    <w:nsid w:val="5DC79EA8"/>
    <w:multiLevelType w:val="hybridMultilevel"/>
    <w:lvl w:ilvl="0">
      <w:lvlJc w:val="left"/>
      <w:lvlText w:val="%1"/>
      <w:numFmt w:val="upperLetter"/>
      <w:start w:val="50"/>
    </w:lvl>
  </w:abstractNum>
  <w:abstractNum w:abstractNumId="50">
    <w:nsid w:val="540A471C"/>
    <w:multiLevelType w:val="hybridMultilevel"/>
    <w:lvl w:ilvl="0">
      <w:lvlJc w:val="left"/>
      <w:lvlText w:val="%1"/>
      <w:numFmt w:val="upperLetter"/>
      <w:start w:val="76"/>
    </w:lvl>
  </w:abstractNum>
  <w:abstractNum w:abstractNumId="51">
    <w:nsid w:val="7BD3EE7B"/>
    <w:multiLevelType w:val="hybridMultilevel"/>
    <w:lvl w:ilvl="0">
      <w:lvlJc w:val="left"/>
      <w:lvlText w:val="%1"/>
      <w:numFmt w:val="upperLetter"/>
      <w:start w:val="102"/>
    </w:lvl>
  </w:abstractNum>
  <w:abstractNum w:abstractNumId="52">
    <w:nsid w:val="51D9C564"/>
    <w:multiLevelType w:val="hybridMultilevel"/>
    <w:lvl w:ilvl="0">
      <w:lvlJc w:val="left"/>
      <w:lvlText w:val="&amp;"/>
      <w:numFmt w:val="bullet"/>
      <w:start w:val="1"/>
    </w:lvl>
  </w:abstractNum>
  <w:abstractNum w:abstractNumId="53">
    <w:nsid w:val="613EFDC5"/>
    <w:multiLevelType w:val="hybridMultilevel"/>
    <w:lvl w:ilvl="0">
      <w:lvlJc w:val="left"/>
      <w:lvlText w:val="&amp;&amp;"/>
      <w:numFmt w:val="bullet"/>
      <w:start w:val="1"/>
    </w:lvl>
  </w:abstractNum>
  <w:abstractNum w:abstractNumId="54">
    <w:nsid w:val="BF72B14"/>
    <w:multiLevelType w:val="hybridMultilevel"/>
    <w:lvl w:ilvl="0">
      <w:lvlJc w:val="left"/>
      <w:lvlText w:val="&amp;&amp;&amp;"/>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lvl w:ilvl="1">
      <w:lvlJc w:val="left"/>
      <w:lvlText w:val="^"/>
      <w:numFmt w:val="bullet"/>
      <w:start w:val="1"/>
    </w:lvl>
  </w:abstractNum>
  <w:abstractNum w:abstractNumId="58">
    <w:nsid w:val="8F2B15E"/>
    <w:multiLevelType w:val="hybridMultilevel"/>
    <w:lvl w:ilvl="0">
      <w:lvlJc w:val="left"/>
      <w:lvlText w:val="^^^^"/>
      <w:numFmt w:val="bullet"/>
      <w:start w:val="1"/>
    </w:lvl>
    <w:lvl w:ilvl="1">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61">
    <w:nsid w:val="68EB2F63"/>
    <w:multiLevelType w:val="hybridMultilevel"/>
    <w:lvl w:ilvl="0">
      <w:lvlJc w:val="left"/>
      <w:lvlText w:val="##"/>
      <w:numFmt w:val="bullet"/>
      <w:start w:val="1"/>
    </w:lvl>
    <w:lvl w:ilvl="1">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lvl w:ilvl="1">
      <w:lvlJc w:val="left"/>
      <w:lvlText w:val="!!"/>
      <w:numFmt w:val="bullet"/>
      <w:start w:val="1"/>
    </w:lvl>
  </w:abstractNum>
  <w:abstractNum w:abstractNumId="65">
    <w:nsid w:val="1433062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lvl w:ilvl="1">
      <w:lvlJc w:val="left"/>
      <w:lvlText w:val="++"/>
      <w:numFmt w:val="bullet"/>
      <w:start w:val="1"/>
    </w:lvl>
  </w:abstractNum>
  <w:abstractNum w:abstractNumId="69">
    <w:nsid w:val="100F59DC"/>
    <w:multiLevelType w:val="hybridMultilevel"/>
    <w:lvl w:ilvl="0">
      <w:lvlJc w:val="left"/>
      <w:lvlText w:val="++++"/>
      <w:numFmt w:val="bullet"/>
      <w:start w:val="1"/>
    </w:lvl>
    <w:lvl w:ilvl="1">
      <w:lvlJc w:val="left"/>
      <w:lvlText w:val="*"/>
      <w:numFmt w:val="bullet"/>
      <w:start w:val="1"/>
    </w:lvl>
  </w:abstractNum>
  <w:abstractNum w:abstractNumId="70">
    <w:nsid w:val="7FB7E0AA"/>
    <w:multiLevelType w:val="hybridMultilevel"/>
    <w:lvl w:ilvl="0">
      <w:lvlJc w:val="left"/>
      <w:lvlText w:val="**"/>
      <w:numFmt w:val="bullet"/>
      <w:start w:val="1"/>
    </w:lvl>
    <w:lvl w:ilvl="1">
      <w:lvlJc w:val="left"/>
      <w:lvlText w:val="#"/>
      <w:numFmt w:val="bullet"/>
      <w:start w:val="1"/>
    </w:lvl>
  </w:abstractNum>
  <w:abstractNum w:abstractNumId="71">
    <w:nsid w:val="6EB5BD4"/>
    <w:multiLevelType w:val="hybridMultilevel"/>
    <w:lvl w:ilvl="0">
      <w:lvlJc w:val="left"/>
      <w:lvlText w:val="##"/>
      <w:numFmt w:val="bullet"/>
      <w:start w:val="1"/>
    </w:lvl>
    <w:lvl w:ilvl="1">
      <w:lvlJc w:val="left"/>
      <w:lvlText w:val="+"/>
      <w:numFmt w:val="bullet"/>
      <w:start w:val="1"/>
    </w:lvl>
  </w:abstractNum>
  <w:abstractNum w:abstractNumId="72">
    <w:nsid w:val="6F6DD9AC"/>
    <w:multiLevelType w:val="hybridMultilevel"/>
    <w:lvl w:ilvl="0">
      <w:lvlJc w:val="left"/>
      <w:lvlText w:val="!!"/>
      <w:numFmt w:val="bullet"/>
      <w:start w:val="1"/>
    </w:lvl>
    <w:lvl w:ilvl="1">
      <w:lvlJc w:val="left"/>
      <w:lvlText w:val="!"/>
      <w:numFmt w:val="bullet"/>
      <w:start w:val="1"/>
    </w:lvl>
  </w:abstractNum>
  <w:abstractNum w:abstractNumId="73">
    <w:nsid w:val="94211F2"/>
    <w:multiLevelType w:val="hybridMultilevel"/>
    <w:lvl w:ilvl="0">
      <w:lvlJc w:val="left"/>
      <w:lvlText w:val="!!!!"/>
      <w:numFmt w:val="bullet"/>
      <w:start w:val="1"/>
    </w:lvl>
    <w:lvl w:ilvl="1">
      <w:lvlJc w:val="left"/>
      <w:lvlText w:val="!!!"/>
      <w:numFmt w:val="bullet"/>
      <w:start w:val="1"/>
    </w:lvl>
  </w:abstractNum>
  <w:abstractNum w:abstractNumId="74">
    <w:nsid w:val="885E1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X"/>
      <w:numFmt w:val="bullet"/>
      <w:start w:val="1"/>
    </w:lvl>
  </w:abstractNum>
  <w:abstractNum w:abstractNumId="77">
    <w:nsid w:val="1716703B"/>
    <w:multiLevelType w:val="hybridMultilevel"/>
    <w:lvl w:ilvl="0">
      <w:lvlJc w:val="left"/>
      <w:lvlText w:val="%1"/>
      <w:numFmt w:val="upperLetter"/>
      <w:start w:val="1"/>
    </w:lvl>
    <w:lvl w:ilvl="1">
      <w:lvlJc w:val="left"/>
      <w:lvlText w:val="%2"/>
      <w:numFmt w:val="upperLetter"/>
      <w:start w:val="50"/>
    </w:lvl>
  </w:abstractNum>
  <w:abstractNum w:abstractNumId="78">
    <w:nsid w:val="14E17E33"/>
    <w:multiLevelType w:val="hybridMultilevel"/>
    <w:lvl w:ilvl="0">
      <w:lvlJc w:val="left"/>
      <w:lvlText w:val="%1"/>
      <w:numFmt w:val="upperLetter"/>
      <w:start w:val="76"/>
    </w:lvl>
    <w:lvl w:ilvl="1">
      <w:lvlJc w:val="left"/>
      <w:lvlText w:val="%2"/>
      <w:numFmt w:val="upperLetter"/>
      <w:start w:val="1"/>
    </w:lvl>
  </w:abstractNum>
  <w:abstractNum w:abstractNumId="79">
    <w:nsid w:val="3222E7CD"/>
    <w:multiLevelType w:val="hybridMultilevel"/>
    <w:lvl w:ilvl="0">
      <w:lvlJc w:val="left"/>
      <w:lvlText w:val="%1"/>
      <w:numFmt w:val="upperLetter"/>
      <w:start w:val="102"/>
    </w:lvl>
  </w:abstractNum>
  <w:abstractNum w:abstractNumId="80">
    <w:nsid w:val="74DE0EE3"/>
    <w:multiLevelType w:val="hybridMultilevel"/>
    <w:lvl w:ilvl="0">
      <w:lvlJc w:val="left"/>
      <w:lvlText w:val="&amp;"/>
      <w:numFmt w:val="bullet"/>
      <w:start w:val="1"/>
    </w:lvl>
  </w:abstractNum>
  <w:abstractNum w:abstractNumId="81">
    <w:nsid w:val="68EBC550"/>
    <w:multiLevelType w:val="hybridMultilevel"/>
    <w:lvl w:ilvl="0">
      <w:lvlJc w:val="left"/>
      <w:lvlText w:val="&amp;&amp;"/>
      <w:numFmt w:val="bullet"/>
      <w:start w:val="1"/>
    </w:lvl>
  </w:abstractNum>
  <w:abstractNum w:abstractNumId="82">
    <w:nsid w:val="2DF6D648"/>
    <w:multiLevelType w:val="hybridMultilevel"/>
    <w:lvl w:ilvl="0">
      <w:lvlJc w:val="left"/>
      <w:lvlText w:val="&amp;&amp;&amp;"/>
      <w:numFmt w:val="bullet"/>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lvl w:ilvl="1">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7">
    <w:nsid w:val="CC1016F"/>
    <w:multiLevelType w:val="hybridMultilevel"/>
    <w:lvl w:ilvl="0">
      <w:lvlJc w:val="left"/>
      <w:lvlText w:val="(%1)"/>
      <w:numFmt w:val="decimal"/>
      <w:start w:val="1"/>
    </w:lvl>
    <w:lvl w:ilvl="1">
      <w:lvlJc w:val="left"/>
      <w:lvlText w:val="%2."/>
      <w:numFmt w:val="lowerLetter"/>
      <w:start w:val="1"/>
    </w:lvl>
  </w:abstractNum>
  <w:abstractNum w:abstractNumId="88">
    <w:nsid w:val="43F18422"/>
    <w:multiLevelType w:val="hybridMultilevel"/>
    <w:lvl w:ilvl="0">
      <w:lvlJc w:val="left"/>
      <w:lvlText w:val="-"/>
      <w:numFmt w:val="bullet"/>
      <w:start w:val="1"/>
    </w:lvl>
  </w:abstractNum>
  <w:abstractNum w:abstractNumId="89">
    <w:nsid w:val="60EF0119"/>
    <w:multiLevelType w:val="hybridMultilevel"/>
    <w:lvl w:ilvl="0">
      <w:lvlJc w:val="left"/>
      <w:lvlText w:val="(%1)"/>
      <w:numFmt w:val="decimal"/>
      <w:start w:val="1"/>
    </w:lvl>
    <w:lvl w:ilvl="1">
      <w:lvlJc w:val="left"/>
      <w:lvlText w:val="%2."/>
      <w:numFmt w:val="lowerLetter"/>
      <w:start w:val="1"/>
    </w:lvl>
  </w:abstractNum>
  <w:abstractNum w:abstractNumId="90">
    <w:nsid w:val="26F324BA"/>
    <w:multiLevelType w:val="hybridMultilevel"/>
    <w:lvl w:ilvl="0">
      <w:lvlJc w:val="left"/>
      <w:lvlText w:val="%1"/>
      <w:numFmt w:val="decimal"/>
      <w:start w:val="1"/>
    </w:lvl>
    <w:lvl w:ilvl="1">
      <w:lvlJc w:val="left"/>
      <w:lvlText w:val="%2."/>
      <w:numFmt w:val="lowerLetter"/>
      <w:start w:val="1"/>
    </w:lvl>
  </w:abstractNum>
  <w:abstractNum w:abstractNumId="91">
    <w:nsid w:val="7F01579B"/>
    <w:multiLevelType w:val="hybridMultilevel"/>
    <w:lvl w:ilvl="0">
      <w:lvlJc w:val="left"/>
      <w:lvlText w:val="(%1)"/>
      <w:numFmt w:val="decimal"/>
      <w:start w:val="5"/>
    </w:lvl>
    <w:lvl w:ilvl="1">
      <w:lvlJc w:val="left"/>
      <w:lvlText w:val="%2."/>
      <w:numFmt w:val="lowerLetter"/>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
      <w:numFmt w:val="bullet"/>
      <w:start w:val="1"/>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2019-12-13T21:00:40Z</dcterms:created>
  <dcterms:modified xsi:type="dcterms:W3CDTF">2019-12-13T21:00:40Z</dcterms:modified>
</cp:coreProperties>
</file>