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7, 2019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7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7, 2019, Microbot Medical Inc. issued a press release announcing anticipated operational and product milestones, including a pivotal pre-clinical study and FDA pre-submission milestones, for 2019. The press release also summarized key 2018 operational and product achievements. A copy of the press release is furnished as Exhibit 99.1 to this Current Report on Form 8-K and is incorporated herein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in Exhibit 99.1 of Item 9.01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 of Item 9.01.</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46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January 7, 2019</w:t>
            </w:r>
          </w:p>
        </w:tc>
      </w:tr>
      <w:tr>
        <w:trPr>
          <w:trHeight w:val="460"/>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w:t>
      </w:r>
      <w:r>
        <w:rPr>
          <w:rFonts w:ascii="Times New Roman" w:cs="Times New Roman" w:eastAsia="Times New Roman" w:hAnsi="Times New Roman"/>
          <w:sz w:val="12"/>
          <w:szCs w:val="12"/>
          <w:i w:val="1"/>
          <w:iCs w:val="1"/>
          <w:color w:val="auto"/>
        </w:rPr>
        <w:t>AREL</w:t>
      </w:r>
      <w:r>
        <w:rPr>
          <w:rFonts w:ascii="Times New Roman" w:cs="Times New Roman" w:eastAsia="Times New Roman" w:hAnsi="Times New Roman"/>
          <w:sz w:val="18"/>
          <w:szCs w:val="18"/>
          <w:i w:val="1"/>
          <w:iCs w:val="1"/>
          <w:color w:val="auto"/>
        </w:rPr>
        <w:t xml:space="preserve"> G</w:t>
      </w:r>
      <w:r>
        <w:rPr>
          <w:rFonts w:ascii="Times New Roman" w:cs="Times New Roman" w:eastAsia="Times New Roman" w:hAnsi="Times New Roman"/>
          <w:sz w:val="12"/>
          <w:szCs w:val="12"/>
          <w:i w:val="1"/>
          <w:iCs w:val="1"/>
          <w:color w:val="auto"/>
        </w:rPr>
        <w:t>ADOT</w:t>
      </w:r>
    </w:p>
    <w:p>
      <w:pPr>
        <w:spacing w:after="0" w:line="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2601595</wp:posOffset>
            </wp:positionH>
            <wp:positionV relativeFrom="page">
              <wp:posOffset>226060</wp:posOffset>
            </wp:positionV>
            <wp:extent cx="2358390" cy="1191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5839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FDA Pre-Submission Milestones for 2019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Regulatory Pre-Submission of the Self-Cleaning Shunt (SCS </w:t>
      </w:r>
      <w:r>
        <w:rPr>
          <w:rFonts w:ascii="Times New Roman" w:cs="Times New Roman" w:eastAsia="Times New Roman" w:hAnsi="Times New Roman"/>
          <w:sz w:val="30"/>
          <w:szCs w:val="30"/>
          <w:b w:val="1"/>
          <w:bCs w:val="1"/>
          <w:color w:val="auto"/>
          <w:vertAlign w:val="superscript"/>
        </w:rPr>
        <w:t>TM</w:t>
      </w:r>
      <w:r>
        <w:rPr>
          <w:rFonts w:ascii="Times New Roman" w:cs="Times New Roman" w:eastAsia="Times New Roman" w:hAnsi="Times New Roman"/>
          <w:sz w:val="18"/>
          <w:szCs w:val="18"/>
          <w:i w:val="1"/>
          <w:iCs w:val="1"/>
          <w:color w:val="auto"/>
        </w:rPr>
        <w:t>) Remains the Primary Operational Objective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Hingham, MA – January 7, 2019 – Microbot Medical Inc. (Nasdaq CM: MBOT) announced today anticipated operational and product milestones, including pivotal pre-clinical study and FDA pre-submission milestones, for 2019. The progress and successful execution of key objectives in 2018, which included, among other things, Microbot’s successful completion of the first phase of the ongoing pre-clinical trials, the expansion of Microbot’s portfolio of technologies and intellectual property and the strengthening of Microbot’s management team to meet the next phase of the Company’s development efforts, are expected to position Microbot to achieve the milestones listed below during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2018 Operational and Product Achievements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and announced the results of two pre-clinical studies which were performed by leading U.S. academic institutions.</w:t>
      </w:r>
    </w:p>
    <w:p>
      <w:pPr>
        <w:spacing w:after="0" w:line="229" w:lineRule="exact"/>
        <w:rPr>
          <w:sz w:val="20"/>
          <w:szCs w:val="20"/>
          <w:color w:val="auto"/>
        </w:rPr>
      </w:pPr>
    </w:p>
    <w:p>
      <w:pPr>
        <w:ind w:left="980" w:hanging="324"/>
        <w:spacing w:after="0" w:line="188" w:lineRule="auto"/>
        <w:tabs>
          <w:tab w:leader="none" w:pos="980" w:val="left"/>
        </w:tabs>
        <w:numPr>
          <w:ilvl w:val="1"/>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in-vitro study, which was performed at Wayne State University, supports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’s potential as a viable technology for preventing occlusion in shunts used to treat hydrocephalus.</w:t>
      </w:r>
    </w:p>
    <w:p>
      <w:pPr>
        <w:spacing w:after="0" w:line="198" w:lineRule="exact"/>
        <w:rPr>
          <w:rFonts w:ascii="Times New Roman" w:cs="Times New Roman" w:eastAsia="Times New Roman" w:hAnsi="Times New Roman"/>
          <w:sz w:val="36"/>
          <w:szCs w:val="36"/>
          <w:color w:val="auto"/>
          <w:vertAlign w:val="superscript"/>
        </w:rPr>
      </w:pPr>
    </w:p>
    <w:p>
      <w:pPr>
        <w:ind w:left="980" w:hanging="324"/>
        <w:spacing w:after="0" w:line="283"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in-vivo animal study, which was performed at Washington University in St. Louis School of Medicine, supports the safety profile of the Company’s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as a CSF catheter.</w:t>
      </w:r>
    </w:p>
    <w:p>
      <w:pPr>
        <w:spacing w:after="0" w:line="41"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Demonstrated to leading neurologists for the first time, the activated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from a working prototype of its customized headset at the 2018 International Hydrocephalus Conference, held in Bologna, Italy in October 2018.</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the results of the in-vivo animal study supporting the initial safety profile of the SCS™ at the 2018 International Hydrocephalus Conference, held in Bologna, Italy in October 2018</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pivotal pre-clinical study with a larger sample size to further evaluate the safety and efficacy of the SCS™ in the same in-vitro and in-vivo (animal) models. Microbot plans to use the findings for its future regulatory submissions in the US, Europe and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 novel technology from CardioSert Ltd., which the Company believes will bring added value to its current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its IP Portfolio with Global Patent Allowances resulting in a total of 30 patents granted and 18 patent applications pending approval.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awarded a non-dilutive grant from the European Commission to continue developing the SCS™. The Commission’s decision, in part, was based upon substantial demand for the SCS™ with the potential to create new market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Relocated its global Research &amp; Development operations to a state-of-the-art facility to meet the next phase of the Company’s development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its management team and enhanced its Scientific Advisory Board with leading medical device expertise.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2019 Operational and Product Milestones</w:t>
      </w:r>
    </w:p>
    <w:p>
      <w:pPr>
        <w:spacing w:after="0" w:line="21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Announce the results of an independent in-vitro study validating the operational effectiveness of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Complete the pivotal pre-clinical study to further evaluate the safety and efficacy of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being performed at Washington University in St. Louis School of Medicine and Wayne State University in the third quarter of 2019.</w:t>
      </w:r>
    </w:p>
    <w:p>
      <w:pPr>
        <w:spacing w:after="0" w:line="182"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Finalize the FDA regulatory pre-submission request for the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in the second half of 2019.</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balance sheet, including through non-dilutive sources of cash such as grants, to execute its near and long-term business plan.</w:t>
      </w:r>
    </w:p>
    <w:p>
      <w:pPr>
        <w:spacing w:after="0" w:line="2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related market opportunities with significant medical needs and high procedure volumes that will benefit from the Company’s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protect the Company’s global IP portfolio which creates barriers to entry.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the Company’s senior leadership.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platforms, ViRob</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TipCAT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and CardioSert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are comprised of three highly advanced technologies, from which the Company</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is 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spacing w:after="0" w:line="235" w:lineRule="auto"/>
        <w:rPr>
          <w:sz w:val="20"/>
          <w:szCs w:val="20"/>
          <w:color w:val="auto"/>
        </w:rPr>
      </w:pPr>
      <w:r>
        <w:rPr>
          <w:rFonts w:ascii="Times New Roman" w:cs="Times New Roman" w:eastAsia="Times New Roman" w:hAnsi="Times New Roman"/>
          <w:sz w:val="18"/>
          <w:szCs w:val="18"/>
          <w:color w:val="auto"/>
        </w:rPr>
        <w:t>The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please visit http://www.microbotmedical.com/technology/virob/.</w:t>
      </w:r>
    </w:p>
    <w:p>
      <w:pPr>
        <w:spacing w:after="0" w:line="8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spacing w:after="0" w:line="2" w:lineRule="exact"/>
        <w:rPr>
          <w:sz w:val="20"/>
          <w:szCs w:val="20"/>
          <w:color w:val="auto"/>
        </w:rPr>
      </w:pPr>
    </w:p>
    <w:p>
      <w:pPr>
        <w:ind w:right="20" w:firstLine="8"/>
        <w:spacing w:after="0" w:line="270" w:lineRule="auto"/>
        <w:tabs>
          <w:tab w:leader="none" w:pos="1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tubular lumens, applying the minimal necessary pressure to achieve the adequate friction required for gentle, fast, and safe advancement within the human body. To learn more about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visit http://www.microbotmedical.com/technology/tipcat/.</w:t>
      </w:r>
    </w:p>
    <w:p>
      <w:pPr>
        <w:spacing w:after="0" w:line="53"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contemplates a unique combination of a guidewire and microcatheter, technologies that are broadly used for endoluminal surgery.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Times New Roman" w:cs="Times New Roman" w:eastAsia="Times New Roman" w:hAnsi="Times New Roman"/>
          <w:sz w:val="18"/>
          <w:szCs w:val="18"/>
          <w:color w:val="auto"/>
        </w:rPr>
        <w:t>the potential to be used in other spaces and applications, such as peripheral intervention, neurosurgery and urology.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2019-12-28T17:10:33Z</dcterms:created>
  <dcterms:modified xsi:type="dcterms:W3CDTF">2019-12-28T17:10:33Z</dcterms:modified>
</cp:coreProperties>
</file>