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On November 18, 2022, Microbot Medical Inc. (the “Company”) issued a press release announcing that in a continuation of its efforts to create barriers and expand its global intellectual property portfolio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the Company was issued a design patent allowance by the US Patent &amp; Trademark Office (USPTO), covering the LIBERTY Robotic System’s remote controller unique interface design.</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900" w:type="dxa"/>
            <w:vAlign w:val="bottom"/>
          </w:tcPr>
          <w:p>
            <w:pPr>
              <w:spacing w:after="0"/>
              <w:rPr>
                <w:sz w:val="20"/>
                <w:szCs w:val="20"/>
                <w:color w:val="auto"/>
              </w:rPr>
            </w:pPr>
          </w:p>
        </w:tc>
        <w:tc>
          <w:tcPr>
            <w:tcW w:w="72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0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9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November 18, 2022</w:t>
            </w:r>
          </w:p>
        </w:tc>
        <w:tc>
          <w:tcPr>
            <w:tcW w:w="724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Medical’s Novel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Robotic System Continues to be Validated with Latest U.S. Design Patent Allowance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Advanced Features of Remote Controller Specifically Developed to Deliver an Enhanced User Experience During Endovascular Procedures</w:t>
      </w:r>
    </w:p>
    <w:p>
      <w:pPr>
        <w:spacing w:after="0" w:line="223"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HINGHAM, Mass., November 18, 2022 </w:t>
      </w:r>
      <w:r>
        <w:rPr>
          <w:rFonts w:ascii="Times New Roman" w:cs="Times New Roman" w:eastAsia="Times New Roman" w:hAnsi="Times New Roman"/>
          <w:sz w:val="18"/>
          <w:szCs w:val="18"/>
          <w:color w:val="auto"/>
        </w:rPr>
        <w:t>– Microbot Medical Inc. (Nasdaq: MBOT), in a continuation of its efforts to create barriers and expand its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portfolio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was issued a design patent allowance by the US Patent &amp; Trademark Office (USPTO), covering the LIBERTY Robotic System’s remote controller unique interface design.</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remote controller for the LIBERTY Robotic System is unique and was developed with feedback based on the hands-on experience of key physicians over the course of its development,” commented Simon Sharon, General Manager and Chief Technology Officer. “The evolution of the feedback generated during development, lab and pre-clinical settings has resulted in continued improvement over the years. We wanted to perfect the remote controller so as to replicate the hand motion during endovascular procedures, and to streamline the interaction with the guidewire, microcatheter and guiding catheter to shorten the time of endovascular procedures.”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be showcasing and demonstrating the LIBERTY Robotic System on January 9-11, 2023, in San Francisco, CA, concurrent with a leading healthcare conference. Investors, analysts, physicians and industry professionals that want to get a hands-on experience using the LIBERTY Robotic System’s remote controller can email </w:t>
      </w:r>
      <w:r>
        <w:rPr>
          <w:rFonts w:ascii="Times New Roman" w:cs="Times New Roman" w:eastAsia="Times New Roman" w:hAnsi="Times New Roman"/>
          <w:sz w:val="18"/>
          <w:szCs w:val="18"/>
          <w:u w:val="single" w:color="auto"/>
          <w:color w:val="auto"/>
        </w:rPr>
        <w:t>mpolyviou@evcgroup.com</w:t>
      </w:r>
      <w:r>
        <w:rPr>
          <w:rFonts w:ascii="Times New Roman" w:cs="Times New Roman" w:eastAsia="Times New Roman" w:hAnsi="Times New Roman"/>
          <w:sz w:val="18"/>
          <w:szCs w:val="18"/>
          <w:color w:val="auto"/>
        </w:rPr>
        <w:t xml:space="preserve"> and schedule a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the outcome of its studies to evaluate LIBERTY, 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and other existing and future technologies, any failure or inability to recruit physicians and clinicians to serve as primary investigators to conduct regulatory studies which could adversely affect or delay such studies, uncertainty in the results of pre-clinical studies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2022-11-18T08:10:12Z</dcterms:created>
  <dcterms:modified xsi:type="dcterms:W3CDTF">2022-11-18T08:10:12Z</dcterms:modified>
</cp:coreProperties>
</file>