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9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Gadot Harel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MICROBOT MEDICAL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 RECREATION PARK DRIVE, UNIT 108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Microbot Medical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MBOT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Chairman, 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HINGHAM</w:t>
            </w:r>
          </w:p>
        </w:tc>
        <w:tc>
          <w:tcPr>
            <w:tcW w:w="1060" w:type="dxa"/>
            <w:vAlign w:val="bottom"/>
          </w:tcPr>
          <w:p>
            <w:pPr>
              <w:ind w:left="22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02043</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MEDX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20" w:type="dxa"/>
            <w:vAlign w:val="bottom"/>
            <w:gridSpan w:val="2"/>
          </w:tcPr>
          <w:p>
            <w:pPr>
              <w:jc w:val="right"/>
              <w:ind w:right="119"/>
              <w:spacing w:after="0"/>
              <w:rPr>
                <w:sz w:val="20"/>
                <w:szCs w:val="20"/>
                <w:color w:val="auto"/>
              </w:rPr>
            </w:pPr>
            <w:r>
              <w:rPr>
                <w:rFonts w:ascii="Arial" w:cs="Arial" w:eastAsia="Arial" w:hAnsi="Arial"/>
                <w:sz w:val="18"/>
                <w:szCs w:val="18"/>
                <w:color w:val="0000FF"/>
              </w:rPr>
              <w:t>12/23/2019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40,000</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tcPr>
          <w:p>
            <w:pPr>
              <w:ind w:left="260"/>
              <w:spacing w:after="0" w:line="217" w:lineRule="exact"/>
              <w:rPr>
                <w:sz w:val="20"/>
                <w:szCs w:val="20"/>
                <w:color w:val="auto"/>
              </w:rPr>
            </w:pPr>
            <w:r>
              <w:rPr>
                <w:rFonts w:ascii="Arial" w:cs="Arial" w:eastAsia="Arial" w:hAnsi="Arial"/>
                <w:sz w:val="18"/>
                <w:szCs w:val="18"/>
                <w:color w:val="0000FF"/>
              </w:rPr>
              <w:t>136,847</w:t>
            </w:r>
            <w:r>
              <w:rPr>
                <w:rFonts w:ascii="Arial" w:cs="Arial" w:eastAsia="Arial" w:hAnsi="Arial"/>
                <w:sz w:val="22"/>
                <w:szCs w:val="22"/>
                <w:color w:val="008000"/>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9"/>
              </w:rPr>
              <w:t>Ventures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Group,</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in April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Does not include any options to purchase common stock owned by the reporting person.</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Gadot is the Chief Executive Officer, Company Group Chairman and majority equity owner of MEDX Venture Group and thus may be deemed to share voting and investment power over the shares beneficially owned by this entity.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Harel Gadot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12/24/2019</w:t>
            </w: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3"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2019-12-26T09:44:26Z</dcterms:created>
  <dcterms:modified xsi:type="dcterms:W3CDTF">2019-12-26T09:44:26Z</dcterms:modified>
</cp:coreProperties>
</file>