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260" w:lineRule="exact"/>
        <w:rPr>
          <w:sz w:val="20"/>
          <w:szCs w:val="20"/>
          <w:color w:val="auto"/>
        </w:rPr>
      </w:pPr>
    </w:p>
    <w:p>
      <w:pPr>
        <w:ind w:left="1840" w:right="98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4440" w:right="620" w:hanging="3733"/>
        <w:spacing w:after="0" w:line="528" w:lineRule="auto"/>
        <w:tabs>
          <w:tab w:leader="none" w:pos="184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0-19871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-18415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StemCells, Inc.</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00"/>
          </w:cols>
          <w:pgMar w:left="240" w:top="118" w:right="259" w:bottom="683" w:gutter="0" w:footer="0" w:header="0"/>
        </w:sectPr>
      </w:pP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23"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416" w:lineRule="exact"/>
        <w:rPr>
          <w:sz w:val="20"/>
          <w:szCs w:val="20"/>
          <w:color w:val="auto"/>
        </w:rPr>
      </w:pPr>
    </w:p>
    <w:p>
      <w:pPr>
        <w:sectPr>
          <w:pgSz w:w="11900" w:h="16838" w:orient="portrait"/>
          <w:cols w:equalWidth="0" w:num="2">
            <w:col w:w="6820" w:space="720"/>
            <w:col w:w="3860"/>
          </w:cols>
          <w:pgMar w:left="240" w:top="118" w:right="259" w:bottom="683"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3155 Porter Drive, Palo Alto, CA 94304</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offices) (zip code)</w:t>
      </w:r>
    </w:p>
    <w:p>
      <w:pPr>
        <w:sectPr>
          <w:pgSz w:w="11900" w:h="16838" w:orient="portrait"/>
          <w:cols w:equalWidth="0" w:num="1">
            <w:col w:w="11400"/>
          </w:cols>
          <w:pgMar w:left="240" w:top="118" w:right="259" w:bottom="683"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475 3100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$.01 par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Junior preferred stock purchase rights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340" w:firstLine="324"/>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1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p>
    <w:p>
      <w:pPr>
        <w:spacing w:after="0" w:line="213" w:lineRule="exact"/>
        <w:rPr>
          <w:sz w:val="20"/>
          <w:szCs w:val="20"/>
          <w:color w:val="auto"/>
        </w:rPr>
      </w:pPr>
    </w:p>
    <w:p>
      <w:pPr>
        <w:ind w:left="340"/>
        <w:spacing w:after="0" w:line="207" w:lineRule="exact"/>
        <w:tabs>
          <w:tab w:leader="none" w:pos="818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Exchange Act Rule 12b(2).</w:t>
        <w:tab/>
        <w:t>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79" w:lineRule="exact"/>
        <w:rPr>
          <w:sz w:val="20"/>
          <w:szCs w:val="20"/>
          <w:color w:val="auto"/>
        </w:rPr>
      </w:pPr>
    </w:p>
    <w:p>
      <w:pPr>
        <w:jc w:val="both"/>
        <w:ind w:right="160" w:firstLine="324"/>
        <w:spacing w:after="0" w:line="262" w:lineRule="auto"/>
        <w:rPr>
          <w:sz w:val="20"/>
          <w:szCs w:val="20"/>
          <w:color w:val="auto"/>
        </w:rPr>
      </w:pPr>
      <w:r>
        <w:rPr>
          <w:rFonts w:ascii="Times New Roman" w:cs="Times New Roman" w:eastAsia="Times New Roman" w:hAnsi="Times New Roman"/>
          <w:sz w:val="18"/>
          <w:szCs w:val="18"/>
          <w:color w:val="auto"/>
        </w:rPr>
        <w:t>Aggregate market value of Common Stock held by non-affiliates at June 30, 2002: $36,808,269.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stock outstanding at March 20, 2003: 26,957,856 shares.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4" w:lineRule="exact"/>
        <w:rPr>
          <w:sz w:val="20"/>
          <w:szCs w:val="20"/>
          <w:color w:val="auto"/>
        </w:rPr>
      </w:pPr>
    </w:p>
    <w:p>
      <w:pPr>
        <w:ind w:right="400" w:firstLine="324"/>
        <w:spacing w:after="0" w:line="275"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registrant’s 2003 Annual Meeting of Stockholders to be filed with the Commission pursuant to Regulation 14A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683"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24"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Item 1. Business</w:t>
        </w:r>
      </w:hyperlink>
    </w:p>
    <w:p>
      <w:pPr>
        <w:spacing w:after="0" w:line="21"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2. Properties</w:t>
        </w:r>
      </w:hyperlink>
    </w:p>
    <w:p>
      <w:pPr>
        <w:spacing w:after="0" w:line="9" w:lineRule="exact"/>
        <w:rPr>
          <w:sz w:val="20"/>
          <w:szCs w:val="20"/>
          <w:color w:val="auto"/>
        </w:rPr>
      </w:pPr>
    </w:p>
    <w:p>
      <w:pPr>
        <w:ind w:left="320"/>
        <w:spacing w:after="0"/>
        <w:rPr>
          <w:rFonts w:ascii="Times New Roman" w:cs="Times New Roman" w:eastAsia="Times New Roman" w:hAnsi="Times New Roman"/>
          <w:sz w:val="16"/>
          <w:szCs w:val="16"/>
          <w:u w:val="single" w:color="auto"/>
          <w:color w:val="0000EE"/>
        </w:rPr>
      </w:pPr>
      <w:hyperlink w:anchor="page27">
        <w:r>
          <w:rPr>
            <w:rFonts w:ascii="Times New Roman" w:cs="Times New Roman" w:eastAsia="Times New Roman" w:hAnsi="Times New Roman"/>
            <w:sz w:val="16"/>
            <w:szCs w:val="16"/>
            <w:u w:val="single" w:color="auto"/>
            <w:color w:val="0000EE"/>
          </w:rPr>
          <w:t>Item 7. Management’s Discussion and Analysis of Financial Condition and Results of Operations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RESULTS OF OPERATIONS</w:t>
        </w:r>
      </w:hyperlink>
    </w:p>
    <w:p>
      <w:pPr>
        <w:spacing w:after="0" w:line="9"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7A. Quantitive and Qualitative Disclosures About Market Risk</w:t>
        </w:r>
      </w:hyperlink>
    </w:p>
    <w:p>
      <w:pPr>
        <w:spacing w:after="0" w:line="9" w:lineRule="exact"/>
        <w:rPr>
          <w:sz w:val="20"/>
          <w:szCs w:val="20"/>
          <w:color w:val="auto"/>
        </w:rPr>
      </w:pPr>
    </w:p>
    <w:p>
      <w:pPr>
        <w:ind w:left="3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8. Financial Statements and Supplementary Data</w:t>
        </w:r>
      </w:hyperlink>
    </w:p>
    <w:p>
      <w:pPr>
        <w:spacing w:after="0" w:line="9" w:lineRule="exact"/>
        <w:rPr>
          <w:sz w:val="20"/>
          <w:szCs w:val="20"/>
          <w:color w:val="auto"/>
        </w:rPr>
      </w:pPr>
    </w:p>
    <w:p>
      <w:pPr>
        <w:ind w:right="2439" w:firstLine="311"/>
        <w:spacing w:after="0" w:line="250" w:lineRule="auto"/>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Item 9. Changes in and Disagreements With Accountants on Accounting and Financial Disclosure</w:t>
        </w:r>
      </w:hyperlink>
      <w:r>
        <w:rPr>
          <w:rFonts w:ascii="Times New Roman" w:cs="Times New Roman" w:eastAsia="Times New Roman" w:hAnsi="Times New Roman"/>
          <w:sz w:val="18"/>
          <w:szCs w:val="18"/>
          <w:u w:val="single" w:color="auto"/>
          <w:color w:val="0000EE"/>
        </w:rPr>
        <w:t xml:space="preserve"> </w:t>
      </w:r>
      <w:hyperlink w:anchor="page59">
        <w:r>
          <w:rPr>
            <w:rFonts w:ascii="Times New Roman" w:cs="Times New Roman" w:eastAsia="Times New Roman" w:hAnsi="Times New Roman"/>
            <w:sz w:val="18"/>
            <w:szCs w:val="18"/>
            <w:u w:val="single" w:color="auto"/>
            <w:color w:val="0000EE"/>
          </w:rPr>
          <w:t>PART III</w:t>
        </w:r>
      </w:hyperlink>
    </w:p>
    <w:p>
      <w:pPr>
        <w:spacing w:after="0" w:line="1" w:lineRule="exact"/>
        <w:rPr>
          <w:sz w:val="20"/>
          <w:szCs w:val="20"/>
          <w:color w:val="auto"/>
        </w:rPr>
      </w:pPr>
    </w:p>
    <w:p>
      <w:pPr>
        <w:ind w:left="320" w:right="3479"/>
        <w:spacing w:after="0" w:line="250" w:lineRule="auto"/>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Item 10. Directors and Executive Officers of the Registrant, Promoters and Control</w:t>
        </w:r>
      </w:hyperlink>
      <w:r>
        <w:rPr>
          <w:rFonts w:ascii="Times New Roman" w:cs="Times New Roman" w:eastAsia="Times New Roman" w:hAnsi="Times New Roman"/>
          <w:sz w:val="18"/>
          <w:szCs w:val="18"/>
          <w:u w:val="single" w:color="auto"/>
          <w:color w:val="0000EE"/>
        </w:rPr>
        <w:t xml:space="preserve"> </w:t>
      </w:r>
      <w:hyperlink w:anchor="page59">
        <w:r>
          <w:rPr>
            <w:rFonts w:ascii="Times New Roman" w:cs="Times New Roman" w:eastAsia="Times New Roman" w:hAnsi="Times New Roman"/>
            <w:sz w:val="18"/>
            <w:szCs w:val="18"/>
            <w:u w:val="single" w:color="auto"/>
            <w:color w:val="0000EE"/>
          </w:rPr>
          <w:t>Item 11. Executive Compensation</w:t>
        </w:r>
      </w:hyperlink>
    </w:p>
    <w:p>
      <w:pPr>
        <w:spacing w:after="0" w:line="1" w:lineRule="exact"/>
        <w:rPr>
          <w:sz w:val="20"/>
          <w:szCs w:val="20"/>
          <w:color w:val="auto"/>
        </w:rPr>
      </w:pPr>
    </w:p>
    <w:p>
      <w:pPr>
        <w:ind w:left="320" w:right="3939"/>
        <w:spacing w:after="0" w:line="250" w:lineRule="auto"/>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Item 12. Security Ownership of Certain Beneficial Owners and Management</w:t>
        </w:r>
      </w:hyperlink>
      <w:r>
        <w:rPr>
          <w:rFonts w:ascii="Times New Roman" w:cs="Times New Roman" w:eastAsia="Times New Roman" w:hAnsi="Times New Roman"/>
          <w:sz w:val="18"/>
          <w:szCs w:val="18"/>
          <w:u w:val="single" w:color="auto"/>
          <w:color w:val="0000EE"/>
        </w:rPr>
        <w:t xml:space="preserve"> </w:t>
      </w:r>
      <w:hyperlink w:anchor="page59">
        <w:r>
          <w:rPr>
            <w:rFonts w:ascii="Times New Roman" w:cs="Times New Roman" w:eastAsia="Times New Roman" w:hAnsi="Times New Roman"/>
            <w:sz w:val="18"/>
            <w:szCs w:val="18"/>
            <w:u w:val="single" w:color="auto"/>
            <w:color w:val="0000EE"/>
          </w:rPr>
          <w:t>Item 13. Certain Relationships and Related Transactions</w:t>
        </w:r>
      </w:hyperlink>
      <w:r>
        <w:rPr>
          <w:rFonts w:ascii="Times New Roman" w:cs="Times New Roman" w:eastAsia="Times New Roman" w:hAnsi="Times New Roman"/>
          <w:sz w:val="18"/>
          <w:szCs w:val="18"/>
          <w:u w:val="single" w:color="auto"/>
          <w:color w:val="0000EE"/>
        </w:rPr>
        <w:t xml:space="preserve"> </w:t>
      </w:r>
      <w:hyperlink w:anchor="page60">
        <w:r>
          <w:rPr>
            <w:rFonts w:ascii="Times New Roman" w:cs="Times New Roman" w:eastAsia="Times New Roman" w:hAnsi="Times New Roman"/>
            <w:sz w:val="18"/>
            <w:szCs w:val="18"/>
            <w:u w:val="single" w:color="auto"/>
            <w:color w:val="0000EE"/>
          </w:rPr>
          <w:t>Item 14. Controls and Procedures</w:t>
        </w:r>
      </w:hyperlink>
    </w:p>
    <w:p>
      <w:pPr>
        <w:spacing w:after="0" w:line="1" w:lineRule="exact"/>
        <w:rPr>
          <w:rFonts w:ascii="Times New Roman" w:cs="Times New Roman" w:eastAsia="Times New Roman" w:hAnsi="Times New Roman"/>
          <w:sz w:val="18"/>
          <w:szCs w:val="18"/>
          <w:u w:val="single" w:color="auto"/>
          <w:color w:val="0000EE"/>
        </w:rPr>
      </w:pPr>
    </w:p>
    <w:p>
      <w:pPr>
        <w:ind w:left="32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Item 15. Exhibits, Financial Statement Schedules and Reports on Form 8-K</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SIGNATURES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CERTIFICATIONSWW</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EXHIBIT INDEX</w:t>
        </w:r>
      </w:hyperlink>
    </w:p>
    <w:p>
      <w:pPr>
        <w:spacing w:after="0" w:line="237" w:lineRule="auto"/>
        <w:rPr>
          <w:sz w:val="20"/>
          <w:szCs w:val="20"/>
          <w:color w:val="auto"/>
        </w:rPr>
      </w:pPr>
      <w:r>
        <w:rPr>
          <w:rFonts w:ascii="Times New Roman" w:cs="Times New Roman" w:eastAsia="Times New Roman" w:hAnsi="Times New Roman"/>
          <w:sz w:val="22"/>
          <w:szCs w:val="22"/>
          <w:u w:val="single" w:color="auto"/>
          <w:color w:val="0000EE"/>
        </w:rPr>
        <w:t>EXHIBIT 23.1</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99</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99.2</w:t>
      </w:r>
    </w:p>
    <w:p>
      <w:pPr>
        <w:spacing w:after="0"/>
        <w:rPr>
          <w:sz w:val="20"/>
          <w:szCs w:val="20"/>
          <w:color w:val="auto"/>
        </w:rPr>
      </w:pPr>
      <w:r>
        <w:rPr>
          <w:rFonts w:ascii="Times New Roman" w:cs="Times New Roman" w:eastAsia="Times New Roman" w:hAnsi="Times New Roman"/>
          <w:sz w:val="22"/>
          <w:szCs w:val="22"/>
          <w:u w:val="single" w:color="auto"/>
          <w:color w:val="0000EE"/>
        </w:rPr>
        <w:t>EXHIBIT 99.3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4" w:lineRule="exact"/>
        <w:rPr>
          <w:sz w:val="20"/>
          <w:szCs w:val="20"/>
          <w:color w:val="auto"/>
        </w:rPr>
      </w:pPr>
    </w:p>
    <w:p>
      <w:pPr>
        <w:ind w:firstLine="324"/>
        <w:spacing w:after="0" w:line="291" w:lineRule="auto"/>
        <w:rPr>
          <w:sz w:val="20"/>
          <w:szCs w:val="20"/>
          <w:color w:val="auto"/>
        </w:rPr>
      </w:pPr>
      <w:r>
        <w:rPr>
          <w:rFonts w:ascii="Times New Roman" w:cs="Times New Roman" w:eastAsia="Times New Roman" w:hAnsi="Times New Roman"/>
          <w:sz w:val="16"/>
          <w:szCs w:val="16"/>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engaged in research aimed at the development of therapies that would use stem and progenitor cells to treat, and possibly cure, human diseases and injuries such as Parkinson’s disease, hepatitis, diabetes, spinal cord injuries, stroke, and some metabolic genetic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220" w:lineRule="exact"/>
        <w:rPr>
          <w:sz w:val="20"/>
          <w:szCs w:val="20"/>
          <w:color w:val="auto"/>
        </w:rPr>
      </w:pPr>
    </w:p>
    <w:p>
      <w:pPr>
        <w:jc w:val="both"/>
        <w:ind w:right="40" w:firstLine="324"/>
        <w:spacing w:after="0" w:line="287" w:lineRule="auto"/>
        <w:rPr>
          <w:sz w:val="20"/>
          <w:szCs w:val="20"/>
          <w:color w:val="auto"/>
        </w:rPr>
      </w:pPr>
      <w:r>
        <w:rPr>
          <w:rFonts w:ascii="Times New Roman" w:cs="Times New Roman" w:eastAsia="Times New Roman" w:hAnsi="Times New Roman"/>
          <w:sz w:val="16"/>
          <w:szCs w:val="16"/>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Alzheimer’s Disease Education</w:t>
      </w:r>
    </w:p>
    <w:p>
      <w:pPr>
        <w:spacing w:after="0" w:line="1" w:lineRule="exact"/>
        <w:rPr>
          <w:sz w:val="20"/>
          <w:szCs w:val="20"/>
          <w:color w:val="auto"/>
        </w:rPr>
      </w:pPr>
    </w:p>
    <w:p>
      <w:pPr>
        <w:ind w:right="40" w:firstLine="8"/>
        <w:spacing w:after="0" w:line="255"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Center (National Institute on Aging), the National Institutes of Health, the Centers for Disease Control and Prevention, Duke University, the American Liver Foundation, and the Parkinson’s Action Network, that these neural, liver and pancreatic conditions affect more than 47 million people in the United States and account for more than $200 billion annually in health care costs.</w:t>
      </w:r>
    </w:p>
    <w:p>
      <w:pPr>
        <w:spacing w:after="0" w:line="219"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8"/>
          <w:szCs w:val="18"/>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w:t>
      </w:r>
    </w:p>
    <w:p>
      <w:pPr>
        <w:spacing w:after="0" w:line="201" w:lineRule="exact"/>
        <w:rPr>
          <w:sz w:val="20"/>
          <w:szCs w:val="20"/>
          <w:color w:val="auto"/>
        </w:rPr>
      </w:pPr>
    </w:p>
    <w:p>
      <w:pPr>
        <w:jc w:val="center"/>
        <w:ind w:right="300"/>
        <w:spacing w:after="0" w:line="339" w:lineRule="auto"/>
        <w:rPr>
          <w:sz w:val="20"/>
          <w:szCs w:val="20"/>
          <w:color w:val="auto"/>
        </w:rPr>
      </w:pPr>
      <w:r>
        <w:rPr>
          <w:rFonts w:ascii="Times New Roman" w:cs="Times New Roman" w:eastAsia="Times New Roman" w:hAnsi="Times New Roman"/>
          <w:sz w:val="16"/>
          <w:szCs w:val="16"/>
          <w:color w:val="auto"/>
        </w:rPr>
        <w:t>Our stem cell discovery engine relies upon our state of the art cell sorting capabilities and our library of proprietary monoclonal antibodies to human proteins. Using this library of monoclonal antibodies, we have successfully identified, purified, and characterized the human central nervous system stem cell.</w:t>
      </w:r>
    </w:p>
    <w:p>
      <w:pPr>
        <w:spacing w:after="0" w:line="156" w:lineRule="exact"/>
        <w:rPr>
          <w:sz w:val="20"/>
          <w:szCs w:val="20"/>
          <w:color w:val="auto"/>
        </w:rPr>
      </w:pPr>
    </w:p>
    <w:p>
      <w:pPr>
        <w:ind w:firstLine="324"/>
        <w:spacing w:after="0" w:line="293" w:lineRule="auto"/>
        <w:rPr>
          <w:sz w:val="20"/>
          <w:szCs w:val="20"/>
          <w:color w:val="auto"/>
        </w:rPr>
      </w:pPr>
      <w:r>
        <w:rPr>
          <w:rFonts w:ascii="Times New Roman" w:cs="Times New Roman" w:eastAsia="Times New Roman" w:hAnsi="Times New Roman"/>
          <w:sz w:val="16"/>
          <w:szCs w:val="16"/>
          <w:color w:val="auto"/>
        </w:rPr>
        <w:t>We have also used our proprietary monoclonal antibodies to make significant advances in our search for stem or progenitor cells of the liver, for which we have filed a patent application, and for the pancreas, by identifying markers, some of which are novel, on the surface of cells so they can be isolated and tested to determine whether they are stem cells.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work on the pancreas primarily through an external collaborator.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 Therapy Background</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Role of Cells in Human Health and Traditional Therapies</w:t>
      </w:r>
    </w:p>
    <w:p>
      <w:pPr>
        <w:spacing w:after="0" w:line="256"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considered supplementing the failing cells that are no longer producing the needed substances or proteins by implanting stem or progenitor cells. Where there has been irreversible tissue damage or organ failure, transplantation of these stem or progenitor cells offers the possibility of generating new and healthy mature cells, thus potentially restoring the organ function and the patient’s health.</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Potential of Our Tissue-Derived Stem Cell-Based Therapy</w:t>
      </w:r>
    </w:p>
    <w:p>
      <w:pPr>
        <w:spacing w:after="0" w:line="25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We believe that, if successfully developed, stem cell-based therapy — the use of stem or progenitor cells to treat diseases — has the potential to provide a broad therapeutic approach comparable in importance to traditional pharmaceuticals and genetically engineered biologics.</w:t>
      </w:r>
    </w:p>
    <w:p>
      <w:pPr>
        <w:spacing w:after="0" w:line="2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213" w:lineRule="exact"/>
        <w:rPr>
          <w:sz w:val="20"/>
          <w:szCs w:val="20"/>
          <w:color w:val="auto"/>
        </w:rPr>
      </w:pPr>
    </w:p>
    <w:p>
      <w:pPr>
        <w:ind w:left="880" w:hanging="197"/>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stem cells;</w:t>
      </w:r>
    </w:p>
    <w:p>
      <w:pPr>
        <w:spacing w:after="0" w:line="279"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techniques and processes that can be used to expand these rare cells in sufficient quantities for effective transplants; and</w:t>
      </w:r>
    </w:p>
    <w:p>
      <w:pPr>
        <w:spacing w:after="0" w:line="279" w:lineRule="exact"/>
        <w:rPr>
          <w:rFonts w:ascii="Times New Roman" w:cs="Times New Roman" w:eastAsia="Times New Roman" w:hAnsi="Times New Roman"/>
          <w:sz w:val="18"/>
          <w:szCs w:val="18"/>
          <w:color w:val="auto"/>
        </w:rPr>
      </w:pPr>
    </w:p>
    <w:p>
      <w:pPr>
        <w:ind w:left="360" w:right="280" w:firstLine="323"/>
        <w:spacing w:after="0" w:line="275" w:lineRule="auto"/>
        <w:tabs>
          <w:tab w:leader="none" w:pos="8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bank of normal human stem or progenitor cells that can be used for transplantation into individuals whose own cells are not suitable because of disease or other reasons.</w:t>
      </w: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discovered, and patented the use of, monoclonal antibodies to markers on the cell surface that identify the human central nervous system, or CNS stem cells. This allows us to purify them and eliminate other unwanted cell types. We have also developed a process, based on a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system in chemically defined media, and demonstrated that this process reproducibly grows normal human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22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220"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More generally, because the tissue-derived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4" w:lineRule="exact"/>
        <w:rPr>
          <w:sz w:val="20"/>
          <w:szCs w:val="20"/>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repair and replacement,</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of genetic disorders,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 and screening,</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discovery and use,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79"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intend to pursue a series of non-exclusive agreements whereby third parties would have access to our cells for use in diagnostics, gene discovery and use, drug discovery and screening, and correction of genetic disorders, while in connection with tissue repair and replacement, we intend to enter into exclusive agreements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larger entities for the development of the technology and use of the cells in transplantation on a disease-specific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Stem Cell Technology Platforms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Stem cells have two defining characteristics:</w:t>
      </w:r>
    </w:p>
    <w:p>
      <w:pPr>
        <w:spacing w:after="0" w:line="225" w:lineRule="exact"/>
        <w:rPr>
          <w:sz w:val="20"/>
          <w:szCs w:val="20"/>
          <w:color w:val="auto"/>
        </w:rPr>
      </w:pPr>
    </w:p>
    <w:p>
      <w:pPr>
        <w:ind w:left="460" w:hanging="101"/>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cells developed from stem cells produce all the kinds of mature cells making up the particular organ;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self renew — that is, other cells developed from stem cells are themselves new stem cells, thus permitting the process to continue again and again.</w:t>
      </w:r>
    </w:p>
    <w:p>
      <w:pPr>
        <w:spacing w:after="0" w:line="2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20"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1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In rodents, we have shown that these cells exhibit the unique properties of stem cells: They migrate and colonize throughout the organ from which they were derived and mature into the specialized cells, such as neurons and glial cells, that are normally found in that region of the organ.</w:t>
      </w:r>
    </w:p>
    <w:p>
      <w:pPr>
        <w:spacing w:after="0" w:line="220"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6"/>
          <w:szCs w:val="16"/>
          <w:color w:val="auto"/>
        </w:rPr>
        <w:t>We have published the results of a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We own or have exclusive licenses to U.S. patents on this process, and our composition of matter patent application is pending.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are the exclusive licensee of a U.S. patent issued in December, 2002, covering the transplantation of central nervous system stem cells (U.S. Patent No. 6,497,872, “Neural transplantation using proliferated multipotent neural stem cells and their progeny”). We have also filed patent applications covering the growth and expansion of these purified normal human central nervous system cells.</w:t>
      </w:r>
    </w:p>
    <w:p>
      <w:pPr>
        <w:spacing w:after="0" w:line="19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2001, we also announced the results of a new study (published in 2002)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217" w:lineRule="exact"/>
        <w:rPr>
          <w:sz w:val="20"/>
          <w:szCs w:val="20"/>
          <w:color w:val="auto"/>
        </w:rPr>
      </w:pPr>
    </w:p>
    <w:p>
      <w:pPr>
        <w:jc w:val="both"/>
        <w:ind w:right="460" w:firstLine="324"/>
        <w:spacing w:after="0" w:line="262" w:lineRule="auto"/>
        <w:rPr>
          <w:sz w:val="20"/>
          <w:szCs w:val="20"/>
          <w:color w:val="auto"/>
        </w:rPr>
      </w:pPr>
      <w:r>
        <w:rPr>
          <w:rFonts w:ascii="Times New Roman" w:cs="Times New Roman" w:eastAsia="Times New Roman" w:hAnsi="Times New Roman"/>
          <w:sz w:val="18"/>
          <w:szCs w:val="18"/>
          <w:color w:val="auto"/>
        </w:rPr>
        <w:t>Neurological disorders such as Parkinson’s disease, Alzheimer’s disease, the side effects of stroke, and the mental retardation that accompanies genetic disorders such as Gaucher’s Disease, Tay-Sachs Disease, and Batten’s Disease affect a significant portion of the U.S. population and there currently are no effective long-term therapies for them. We believe that therapies based on our process for identifying, isolating and culturing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neural stem and progenitor cells may be useful in treating such diseases. We are continuing our research into, and have initiated the development of, human central nervous system stem and progenitor cell-based therapies for some diseases of this kind.</w:t>
      </w:r>
    </w:p>
    <w:p>
      <w:pPr>
        <w:spacing w:after="0" w:line="20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continue to advance our research programs to discover the liver stem cell and, through an outside collaborator, the islet stem cell in the human pancreas.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2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Advantages of Our Stem Cell Technology</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No Other Treatment</w:t>
      </w:r>
    </w:p>
    <w:p>
      <w:pPr>
        <w:spacing w:after="0" w:line="25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Replaced Cells Provide Normal Function</w:t>
      </w:r>
    </w:p>
    <w:p>
      <w:pPr>
        <w:spacing w:after="0" w:line="256" w:lineRule="exact"/>
        <w:rPr>
          <w:sz w:val="20"/>
          <w:szCs w:val="20"/>
          <w:color w:val="auto"/>
        </w:rPr>
      </w:pPr>
    </w:p>
    <w:p>
      <w:pPr>
        <w:jc w:val="both"/>
        <w:ind w:right="420" w:firstLine="324"/>
        <w:spacing w:after="0" w:line="258" w:lineRule="auto"/>
        <w:rPr>
          <w:sz w:val="20"/>
          <w:szCs w:val="20"/>
          <w:color w:val="auto"/>
        </w:rPr>
      </w:pPr>
      <w:r>
        <w:rPr>
          <w:rFonts w:ascii="Times New Roman" w:cs="Times New Roman" w:eastAsia="Times New Roman" w:hAnsi="Times New Roman"/>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 of Strategy</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1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as other factors. Our research and product development programs are at relatively early stages of development and will require substantial resources to commercialize.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Research and Product Development Programs</w:t>
      </w:r>
    </w:p>
    <w:p>
      <w:pPr>
        <w:sectPr>
          <w:pgSz w:w="11900" w:h="16838" w:orient="portrait"/>
          <w:cols w:equalWidth="0" w:num="1">
            <w:col w:w="11400"/>
          </w:cols>
          <w:pgMar w:left="240" w:top="415"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Description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3559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Neural Stem Cell</w:t>
      </w:r>
    </w:p>
    <w:p>
      <w:pPr>
        <w:spacing w:after="0" w:line="23" w:lineRule="exact"/>
        <w:rPr>
          <w:sz w:val="20"/>
          <w:szCs w:val="20"/>
          <w:color w:val="auto"/>
        </w:rPr>
      </w:pPr>
    </w:p>
    <w:p>
      <w:pPr>
        <w:ind w:left="500" w:hanging="134"/>
        <w:spacing w:after="0" w:line="255" w:lineRule="auto"/>
        <w:rPr>
          <w:sz w:val="20"/>
          <w:szCs w:val="20"/>
          <w:color w:val="auto"/>
        </w:rPr>
      </w:pPr>
      <w:r>
        <w:rPr>
          <w:rFonts w:ascii="Times New Roman" w:cs="Times New Roman" w:eastAsia="Times New Roman" w:hAnsi="Times New Roman"/>
          <w:sz w:val="18"/>
          <w:szCs w:val="18"/>
          <w:color w:val="auto"/>
        </w:rPr>
        <w:t>Repair or replace damaged central nervous system tissue (including spinal cord, stroke-damaged tissue,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Liver Stem Cell</w:t>
      </w:r>
    </w:p>
    <w:p>
      <w:pPr>
        <w:spacing w:after="0" w:line="23" w:lineRule="exact"/>
        <w:rPr>
          <w:sz w:val="20"/>
          <w:szCs w:val="20"/>
          <w:color w:val="auto"/>
        </w:rPr>
      </w:pPr>
    </w:p>
    <w:p>
      <w:pPr>
        <w:ind w:left="140" w:right="280" w:hanging="134"/>
        <w:spacing w:after="0" w:line="261" w:lineRule="auto"/>
        <w:rPr>
          <w:sz w:val="20"/>
          <w:szCs w:val="20"/>
          <w:color w:val="auto"/>
        </w:rPr>
      </w:pPr>
      <w:r>
        <w:rPr>
          <w:rFonts w:ascii="Times New Roman" w:cs="Times New Roman" w:eastAsia="Times New Roman" w:hAnsi="Times New Roman"/>
          <w:sz w:val="18"/>
          <w:szCs w:val="18"/>
          <w:color w:val="auto"/>
        </w:rPr>
        <w:t>Repair or replace liver tissue damaged or destroyed by cirrhosis and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Pancreas Islet Stem Cell</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Repair or replace damaged pancreas islet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Stage/Status(1)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Demonstrated the ability to isolate neurosphere- initiating stem cells from human brain</w:t>
      </w:r>
    </w:p>
    <w:p>
      <w:pPr>
        <w:spacing w:after="0" w:line="18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8"/>
          <w:szCs w:val="18"/>
          <w:color w:val="auto"/>
        </w:rPr>
        <w:t xml:space="preserve">— Demonstrated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the ability to initiate and expand stem cell-containing human neural cultures and specialization into three types of central nervous system cells</w:t>
      </w: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 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 Commenced preclinical testing of human neural stem cells in well-characterized small animal models of human diseases</w:t>
      </w:r>
    </w:p>
    <w:p>
      <w:pPr>
        <w:spacing w:after="0" w:line="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Demonstrated the ability to isolate a liver stem cells from human brain</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 Identified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assay for growth of human liver progenitor cells that express markers for both bile duct cells and hepatocytes</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 xml:space="preserve">— Showed that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of human liver progenitor cells can also grow human hepatitis virus</w:t>
      </w:r>
    </w:p>
    <w:p>
      <w:pPr>
        <w:ind w:right="180"/>
        <w:spacing w:after="0" w:line="250" w:lineRule="auto"/>
        <w:rPr>
          <w:sz w:val="20"/>
          <w:szCs w:val="20"/>
          <w:color w:val="auto"/>
        </w:rPr>
      </w:pPr>
      <w:r>
        <w:rPr>
          <w:rFonts w:ascii="Times New Roman" w:cs="Times New Roman" w:eastAsia="Times New Roman" w:hAnsi="Times New Roman"/>
          <w:sz w:val="18"/>
          <w:szCs w:val="18"/>
          <w:color w:val="auto"/>
        </w:rPr>
        <w:t xml:space="preserve">— Demonstrated the engraftment and survival of human liver cells in an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mouse model</w:t>
      </w:r>
    </w:p>
    <w:p>
      <w:pPr>
        <w:spacing w:after="0" w:line="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 Identified a novel gene on the surface of regenerating mouse pancreas cells.</w:t>
      </w:r>
    </w:p>
    <w:p>
      <w:pPr>
        <w:ind w:right="180"/>
        <w:spacing w:after="0" w:line="250" w:lineRule="auto"/>
        <w:rPr>
          <w:sz w:val="20"/>
          <w:szCs w:val="20"/>
          <w:color w:val="auto"/>
        </w:rPr>
      </w:pPr>
      <w:r>
        <w:rPr>
          <w:rFonts w:ascii="Times New Roman" w:cs="Times New Roman" w:eastAsia="Times New Roman" w:hAnsi="Times New Roman"/>
          <w:sz w:val="18"/>
          <w:szCs w:val="18"/>
          <w:color w:val="auto"/>
        </w:rPr>
        <w:t xml:space="preserve">— Commenced testing enriched population of those mouse cells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small animal model</w:t>
      </w:r>
    </w:p>
    <w:p>
      <w:pPr>
        <w:spacing w:after="0" w:line="261" w:lineRule="auto"/>
        <w:rPr>
          <w:sz w:val="20"/>
          <w:szCs w:val="20"/>
          <w:color w:val="auto"/>
        </w:rPr>
      </w:pPr>
      <w:r>
        <w:rPr>
          <w:rFonts w:ascii="Times New Roman" w:cs="Times New Roman" w:eastAsia="Times New Roman" w:hAnsi="Times New Roman"/>
          <w:sz w:val="18"/>
          <w:szCs w:val="18"/>
          <w:color w:val="auto"/>
        </w:rPr>
        <w:t>— Identified markers on the surface of a rare population of human pancreatic cells</w:t>
      </w:r>
    </w:p>
    <w:p>
      <w:pPr>
        <w:spacing w:after="0" w:line="200" w:lineRule="exact"/>
        <w:rPr>
          <w:sz w:val="20"/>
          <w:szCs w:val="20"/>
          <w:color w:val="auto"/>
        </w:rPr>
      </w:pPr>
    </w:p>
    <w:p>
      <w:pPr>
        <w:sectPr>
          <w:pgSz w:w="11900" w:h="16838" w:orient="portrait"/>
          <w:cols w:equalWidth="0" w:num="2">
            <w:col w:w="5580" w:space="380"/>
            <w:col w:w="5440"/>
          </w:cols>
          <w:pgMar w:left="240" w:top="415" w:right="259" w:bottom="1440" w:gutter="0" w:footer="0" w:header="0"/>
          <w:type w:val="continuous"/>
        </w:sectPr>
      </w:pPr>
    </w:p>
    <w:p>
      <w:pPr>
        <w:spacing w:after="0" w:line="213" w:lineRule="exact"/>
        <w:rPr>
          <w:sz w:val="20"/>
          <w:szCs w:val="20"/>
          <w:color w:val="auto"/>
        </w:rPr>
      </w:pPr>
    </w:p>
    <w:p>
      <w:pPr>
        <w:ind w:left="460" w:right="80" w:hanging="452"/>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“Research” refers to early stage research and product development activities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including the selection and characterization of product candidates for preclinical testing. “Preclinical” refers to further testing of a defined product candidate in vitro and in animals prior to clinical studies.</w:t>
      </w:r>
    </w:p>
    <w:p>
      <w:pPr>
        <w:spacing w:after="0" w:line="19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founding scientists Irving L. Weissman, M.D., of Stanford University, Fred H. Gage, Ph.D., of The Salk Institute, and David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Anderson, Ph.D., of the California Institute of Technology, as well as other occasional consultants including William C. Mobley, M.D., Ph.D., Ben Barres, Ph.D., and Seung Kim, M.D., Ph.D., all of Stanford University.</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Neural Program</w:t>
      </w:r>
    </w:p>
    <w:p>
      <w:pPr>
        <w:spacing w:after="0" w:line="25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 — NeuroSpheres, Ltd.”</w:t>
      </w:r>
    </w:p>
    <w:p>
      <w:pPr>
        <w:spacing w:after="0" w:line="21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1997, our scientists invented a reproducible method for growing human CNS stem and progenitor cells in cultures. 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early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in chemically defined media. In collaboration with us, Dr. Anders Bjorklund of Lund University, Sweden, showed that cells from these cultures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successfully transplanted and accepted into the brains of rodents where they subsequently migrated and specialized into the appropriate cell types for the site of the brain into which they were placed.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We hold a substantial portfolio of issued and allowed US patents in the neural field. See </w:t>
      </w:r>
      <w:r>
        <w:rPr>
          <w:rFonts w:ascii="Times New Roman" w:cs="Times New Roman" w:eastAsia="Times New Roman" w:hAnsi="Times New Roman"/>
          <w:sz w:val="18"/>
          <w:szCs w:val="18"/>
          <w:b w:val="1"/>
          <w:bCs w:val="1"/>
          <w:color w:val="auto"/>
        </w:rPr>
        <w:t>“Patents, Proprietary Rights And Licenses.”</w:t>
      </w:r>
    </w:p>
    <w:p>
      <w:pPr>
        <w:spacing w:after="0" w:line="254" w:lineRule="exact"/>
        <w:rPr>
          <w:sz w:val="20"/>
          <w:szCs w:val="20"/>
          <w:color w:val="auto"/>
        </w:rPr>
      </w:pPr>
    </w:p>
    <w:p>
      <w:pPr>
        <w:ind w:right="120" w:firstLine="324"/>
        <w:spacing w:after="0" w:line="293" w:lineRule="auto"/>
        <w:rPr>
          <w:sz w:val="20"/>
          <w:szCs w:val="20"/>
          <w:color w:val="auto"/>
        </w:rPr>
      </w:pPr>
      <w:r>
        <w:rPr>
          <w:rFonts w:ascii="Times New Roman" w:cs="Times New Roman" w:eastAsia="Times New Roman" w:hAnsi="Times New Roman"/>
          <w:sz w:val="16"/>
          <w:szCs w:val="16"/>
          <w:color w:val="auto"/>
        </w:rPr>
        <w:t>In 2000, using our proprietary markers on the surface of the cell, our researchers succeeded in identifying, isolating and purifying human CNS stem cells from brain tissue. 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course of this long-term study, the transplanted human CNS stem cells survived for as long as one year and migrated to specific functional domains of the host brain, with </w:t>
      </w:r>
      <w:r>
        <w:rPr>
          <w:rFonts w:ascii="Times New Roman" w:cs="Times New Roman" w:eastAsia="Times New Roman" w:hAnsi="Times New Roman"/>
          <w:sz w:val="18"/>
          <w:szCs w:val="18"/>
          <w:i w:val="1"/>
          <w:iCs w:val="1"/>
          <w:color w:val="auto"/>
        </w:rPr>
        <w:t>no sign</w:t>
      </w:r>
      <w:r>
        <w:rPr>
          <w:rFonts w:ascii="Times New Roman" w:cs="Times New Roman" w:eastAsia="Times New Roman" w:hAnsi="Times New Roman"/>
          <w:sz w:val="18"/>
          <w:szCs w:val="18"/>
          <w:color w:val="auto"/>
        </w:rPr>
        <w:t xml:space="preserve">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217" w:lineRule="exact"/>
        <w:rPr>
          <w:sz w:val="20"/>
          <w:szCs w:val="20"/>
          <w:color w:val="auto"/>
        </w:rPr>
      </w:pPr>
    </w:p>
    <w:p>
      <w:pPr>
        <w:ind w:right="340" w:firstLine="324"/>
        <w:spacing w:after="0" w:line="275" w:lineRule="auto"/>
        <w:rPr>
          <w:sz w:val="20"/>
          <w:szCs w:val="20"/>
          <w:color w:val="auto"/>
        </w:rPr>
      </w:pPr>
      <w:r>
        <w:rPr>
          <w:rFonts w:ascii="Times New Roman" w:cs="Times New Roman" w:eastAsia="Times New Roman" w:hAnsi="Times New Roman"/>
          <w:sz w:val="18"/>
          <w:szCs w:val="18"/>
          <w:color w:val="auto"/>
        </w:rPr>
        <w:t>The company has established a number of strategic collaborations in the neural field to assess the effects of transplanting the human CNS stem cells into preclinical animal models.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Collaborators in the Neural Field: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Investigator</w:t>
            </w:r>
          </w:p>
        </w:tc>
        <w:tc>
          <w:tcPr>
            <w:tcW w:w="360" w:type="dxa"/>
            <w:vAlign w:val="bottom"/>
          </w:tcPr>
          <w:p>
            <w:pPr>
              <w:spacing w:after="0"/>
              <w:rPr>
                <w:sz w:val="15"/>
                <w:szCs w:val="15"/>
                <w:color w:val="auto"/>
              </w:rPr>
            </w:pP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340" w:type="dxa"/>
            <w:vAlign w:val="bottom"/>
          </w:tcPr>
          <w:p>
            <w:pPr>
              <w:spacing w:after="0"/>
              <w:rPr>
                <w:sz w:val="15"/>
                <w:szCs w:val="15"/>
                <w:color w:val="auto"/>
              </w:rPr>
            </w:pPr>
          </w:p>
        </w:tc>
        <w:tc>
          <w:tcPr>
            <w:tcW w:w="35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Area of Research</w:t>
            </w:r>
          </w:p>
        </w:tc>
      </w:tr>
      <w:tr>
        <w:trPr>
          <w:trHeight w:val="95"/>
        </w:trPr>
        <w:tc>
          <w:tcPr>
            <w:tcW w:w="3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r>
      <w:tr>
        <w:trPr>
          <w:trHeight w:val="30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Dr. Aileen Anderson</w:t>
            </w: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Reeve-Irvine Center</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Spinal cord injury</w:t>
            </w:r>
          </w:p>
        </w:tc>
      </w:tr>
      <w:tr>
        <w:trPr>
          <w:trHeight w:val="216"/>
        </w:trPr>
        <w:tc>
          <w:tcPr>
            <w:tcW w:w="366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University of California, Irvine</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Dr. George Carlson</w:t>
            </w: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McLaughlin Research Institute</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Alzheimer’s and prion disease</w:t>
            </w:r>
          </w:p>
        </w:tc>
      </w:tr>
      <w:tr>
        <w:trPr>
          <w:trHeight w:val="216"/>
        </w:trPr>
        <w:tc>
          <w:tcPr>
            <w:tcW w:w="366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Great Falls, MT</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Dr. William Mobley</w:t>
            </w: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Department of Neurology</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Genetic disorders affecting the nervous system</w:t>
            </w:r>
          </w:p>
        </w:tc>
      </w:tr>
      <w:tr>
        <w:trPr>
          <w:trHeight w:val="216"/>
        </w:trPr>
        <w:tc>
          <w:tcPr>
            <w:tcW w:w="366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Stanford University</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Dr. Jay Pasrichia</w:t>
            </w: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Department of Gastrointerology</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Neurodegenerative disorders of the gut</w:t>
            </w:r>
          </w:p>
        </w:tc>
      </w:tr>
      <w:tr>
        <w:trPr>
          <w:trHeight w:val="216"/>
        </w:trPr>
        <w:tc>
          <w:tcPr>
            <w:tcW w:w="366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University of Texas Medical Branch, Galveston</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Dr. Gary Steinberg</w:t>
            </w: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Department of Neurosurgery; Stanford Stroke</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Stroke</w:t>
            </w:r>
          </w:p>
        </w:tc>
      </w:tr>
      <w:tr>
        <w:trPr>
          <w:trHeight w:val="216"/>
        </w:trPr>
        <w:tc>
          <w:tcPr>
            <w:tcW w:w="366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Center</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3660" w:type="dxa"/>
            <w:vAlign w:val="bottom"/>
          </w:tcPr>
          <w:p>
            <w:pPr>
              <w:spacing w:after="0"/>
              <w:rPr>
                <w:sz w:val="19"/>
                <w:szCs w:val="19"/>
                <w:color w:val="auto"/>
              </w:rPr>
            </w:pPr>
          </w:p>
        </w:tc>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Stanford University</w:t>
            </w:r>
          </w:p>
        </w:tc>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3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As noted above, human CNS stem and progenitor cells harvested and purified and expanded using our proprietary processes may be useful for creating therapies for the treatment of degenerative brain diseases such as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190" w:lineRule="exact"/>
        <w:rPr>
          <w:sz w:val="20"/>
          <w:szCs w:val="20"/>
          <w:color w:val="auto"/>
        </w:rPr>
      </w:pPr>
    </w:p>
    <w:p>
      <w:pPr>
        <w:ind w:left="460" w:hanging="101"/>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200" w:lineRule="exact"/>
        <w:rPr>
          <w:rFonts w:ascii="Times New Roman" w:cs="Times New Roman" w:eastAsia="Times New Roman" w:hAnsi="Times New Roman"/>
          <w:sz w:val="18"/>
          <w:szCs w:val="18"/>
          <w:color w:val="auto"/>
        </w:rPr>
      </w:pPr>
    </w:p>
    <w:p>
      <w:pPr>
        <w:ind w:left="460" w:right="40" w:hanging="101"/>
        <w:spacing w:after="0" w:line="25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opens the way to a better understanding of the properties of these cells and how they might be manipulated to treat specific diseases. For example, in certain genetic diseases such as Tay Sachs and Batten’s, a key metabolic enzyme required for normal development and function of the 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219" w:lineRule="exact"/>
        <w:rPr>
          <w:rFonts w:ascii="Times New Roman" w:cs="Times New Roman" w:eastAsia="Times New Roman" w:hAnsi="Times New Roman"/>
          <w:sz w:val="18"/>
          <w:szCs w:val="18"/>
          <w:color w:val="auto"/>
        </w:rPr>
      </w:pPr>
    </w:p>
    <w:p>
      <w:pPr>
        <w:ind w:left="460" w:right="100" w:hanging="101"/>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Liver Program</w:t>
      </w:r>
    </w:p>
    <w:p>
      <w:pPr>
        <w:spacing w:after="0" w:line="256"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the “FAH transgenic mouse” lacks a key enzyme (FAH, or fumaryl-acetoacetate hydrolase), which results in build-up of a toxic substance which causes liver damage. In addition, we obtained an exclusive license to U.S. Patent No. 6,132,708, claiming a method of regenerating a functional liver by transplantation of pancreas cells in mammals, including humans.</w:t>
      </w:r>
    </w:p>
    <w:p>
      <w:pPr>
        <w:spacing w:after="0" w:line="22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jc w:val="both"/>
        <w:ind w:right="160" w:firstLine="324"/>
        <w:spacing w:after="0" w:line="262" w:lineRule="auto"/>
        <w:rPr>
          <w:sz w:val="20"/>
          <w:szCs w:val="20"/>
          <w:color w:val="auto"/>
        </w:rPr>
      </w:pPr>
      <w:r>
        <w:rPr>
          <w:rFonts w:ascii="Times New Roman" w:cs="Times New Roman" w:eastAsia="Times New Roman" w:hAnsi="Times New Roman"/>
          <w:sz w:val="18"/>
          <w:szCs w:val="18"/>
          <w:color w:val="auto"/>
        </w:rPr>
        <w:t xml:space="preserve">Our researchers have devised a culture assay that we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for the testing of drugs that act on, or are metabolized by, human liver cells.</w:t>
      </w:r>
    </w:p>
    <w:p>
      <w:pPr>
        <w:spacing w:after="0" w:line="213"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6"/>
          <w:szCs w:val="16"/>
          <w:color w:val="auto"/>
        </w:rPr>
        <w:t>There have been reports in the scientific community that bone marrow transplant patients show evidence of donor derived liver cells (hepatocytes). Our scientists (in conjunction with Markus Grompe, OHSU) showed that bone marrow derived hepatocytes are functional and can rescue mice in liver failure. Moreover, the only cells within the mouse bone marrow that are able to produce hepatocytes are highly purified hematopoietic stem cells — that is, stem cells of the blood and immune system, often referred to as HSCs. We believe that these studies in stem cell plasticity are the most rigorous studies performed to date and show the possibility of transitioning from one cell type to another. More recent studies would suggest that the ability of HSCs to generate non-blood cell types may also be a consequence of a fusion event between the donor HSC and a host cell. Based upon recent data, we have decided not to pursue the mechanism of these events but rather to continue our efforts to identify and isolate the liver engrafting cell for a more robust generation of functional hepatocytes.</w:t>
      </w:r>
    </w:p>
    <w:p>
      <w:pPr>
        <w:spacing w:after="0" w:line="192"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6"/>
          <w:szCs w:val="16"/>
          <w:color w:val="auto"/>
        </w:rPr>
        <w:t xml:space="preserve">In parallel with the studies performed using mouse HSCs, our scientist have performed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studies on human liver cells. To date, they have identified proprietary monoclonal antibodies that enrich for distinct subsets of fetal and/or pediatric and/or adult liver cells. These antibody enriched cells when tested in our </w:t>
      </w:r>
      <w:r>
        <w:rPr>
          <w:rFonts w:ascii="Times New Roman" w:cs="Times New Roman" w:eastAsia="Times New Roman" w:hAnsi="Times New Roman"/>
          <w:sz w:val="16"/>
          <w:szCs w:val="16"/>
          <w:i w:val="1"/>
          <w:iCs w:val="1"/>
          <w:color w:val="auto"/>
        </w:rPr>
        <w:t xml:space="preserve">in vitro </w:t>
      </w:r>
      <w:r>
        <w:rPr>
          <w:rFonts w:ascii="Times New Roman" w:cs="Times New Roman" w:eastAsia="Times New Roman" w:hAnsi="Times New Roman"/>
          <w:sz w:val="16"/>
          <w:szCs w:val="16"/>
          <w:color w:val="auto"/>
        </w:rPr>
        <w:t>culture assay result in the production of human serum albumin, a measure of hepatocyte generation. Currently, efforts are focused on demonstrating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engraftment and differentiation of the antibody enrich human liver cells in our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assays. Further analysis and enrichments are in progress.</w:t>
      </w:r>
    </w:p>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Pancreas Program</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pancreas discovery research program, which we are currently pursuing the pancreas program through an external collaborator and not in house, is directed to the identification, isolation and culturing of the pancreas stem and progenitor cells. We obtained an exclusive, worldwide license from The Scripps Research Institute (Scripps), to novel technology developed by Dr. Nora Sarvetnick, Ph.D., which may facilitate the identification and isolation of those cells by using a mouse model that continuously regenerates the pancreas. U.S. Patent Number 6,242,666 was issued on the animal model on June 5, 2001. We believe that stem cells produce the regeneration, in which case this animal model may be useful for identifying specific markers on the cell surface unique to the pancreas stem cells.</w:t>
      </w:r>
    </w:p>
    <w:p>
      <w:pPr>
        <w:spacing w:after="0" w:line="2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believe this may lead to the development of cell-based treatments for Type 1 diabetes and that portion of Type 2 diabetes characterized by defective secretion of insulin. We also obtained licenses from Scripps to novel markers on the cell surface identified by Dr. Sarvetnick and her research team as being unique to the pancreas islet stem cell, for which a US patent application has been allowed. This gene is expressed on regenerating mouse pancreas cells and is unique. Antibodies to the protein encoded by this gene have been generated and used to enrich for cell populations expressing this marker for testing in vitro and in animal models.</w:t>
      </w:r>
    </w:p>
    <w:p>
      <w:pPr>
        <w:spacing w:after="0" w:line="220" w:lineRule="exact"/>
        <w:rPr>
          <w:sz w:val="20"/>
          <w:szCs w:val="20"/>
          <w:color w:val="auto"/>
        </w:rPr>
      </w:pPr>
    </w:p>
    <w:p>
      <w:pPr>
        <w:jc w:val="both"/>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has identified, in its library of proprietary monoclonal antibodies, key monoclonal antibodies that identify a rare subset of human pancreatic cells that may be candidate stem cells. For the present, the company is not pursuing its pancreas program in-house. In 2002, we established a collaboration with Dr. Seung Kim of Stanford University to pursue other avenues to identify an insulin producing cell. Dr. Kim’s laboratory is studying the developmental biology and controlling events of generating insulin producing cells. His laboratory has recently published an article on the conversion of embryonic stem cells to insulin producing cells and is pursuing several lines of research in this area.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StemCells California, Inc.</w:t>
      </w:r>
    </w:p>
    <w:p>
      <w:pPr>
        <w:spacing w:after="0" w:line="256" w:lineRule="exact"/>
        <w:rPr>
          <w:sz w:val="20"/>
          <w:szCs w:val="20"/>
          <w:color w:val="auto"/>
        </w:rPr>
      </w:pPr>
    </w:p>
    <w:p>
      <w:pPr>
        <w:ind w:right="80" w:firstLine="324"/>
        <w:spacing w:after="0" w:line="296" w:lineRule="auto"/>
        <w:rPr>
          <w:sz w:val="20"/>
          <w:szCs w:val="20"/>
          <w:color w:val="auto"/>
        </w:rPr>
      </w:pPr>
      <w:r>
        <w:rPr>
          <w:rFonts w:ascii="Times New Roman" w:cs="Times New Roman" w:eastAsia="Times New Roman" w:hAnsi="Times New Roman"/>
          <w:sz w:val="16"/>
          <w:szCs w:val="16"/>
          <w:color w:val="auto"/>
        </w:rPr>
        <w:t>On September 26, 1997, we acquired by merger StemCells California, Inc., a California corporation, in exchange for 1,320,691 shares of our common stock and options and warrants for the purchase of 259,296 common shares. StemCells California remains our wholly-owned subsidiary, and the owner or licensee of most of our intellectual property. The members of its Board of Directors are Irving L. Weissman, M.D., David J. Anderson, Ph.D., and Fred H. Gage, Ph.D., who were the founders of StemCells California, as well as John J. Schwartz, Ph.D. and Martin McGlynn. Drs. Weissman and Schwartz and Mr. McGlynn are also members of the Board of the parent company; Mr. McGlynn is President of StemCells California as well as President and CEO of StemCells,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54"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6"/>
          <w:szCs w:val="16"/>
          <w:color w:val="auto"/>
        </w:rPr>
        <w:t>We have entered into a number of research-plus-license agreements with academic organizations. The research components of these have been concluded, and have resulted in a number of license agreements for resultant technology. Under the license agreements, we are typically subject to obligations of due diligence and the requirement to pay royalties on products that use patented technology licensed under such agreements. The organizations with which we have such agreements include The Scripps Research Institute, the California Institute of Technology (Cal Tech), and the Oregon Health Sciences University (OHSU).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193" w:lineRule="exact"/>
        <w:rPr>
          <w:sz w:val="20"/>
          <w:szCs w:val="20"/>
          <w:color w:val="auto"/>
        </w:rPr>
      </w:pPr>
    </w:p>
    <w:p>
      <w:pPr>
        <w:ind w:right="420" w:firstLine="324"/>
        <w:spacing w:after="0" w:line="262" w:lineRule="auto"/>
        <w:rPr>
          <w:sz w:val="20"/>
          <w:szCs w:val="20"/>
          <w:color w:val="auto"/>
        </w:rPr>
      </w:pPr>
      <w:r>
        <w:rPr>
          <w:rFonts w:ascii="Times New Roman" w:cs="Times New Roman" w:eastAsia="Times New Roman" w:hAnsi="Times New Roman"/>
          <w:sz w:val="18"/>
          <w:szCs w:val="18"/>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2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Pursuant to the terms of our license agreement with Cal Tech and our acquisition of our wholly owned subsidiary, StemCells California, we issued</w:t>
      </w:r>
    </w:p>
    <w:p>
      <w:pPr>
        <w:spacing w:after="0" w:line="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14,513 shares of our common stock to Cal Tech. We issued an additional 12,800 shares of common stock to Cal Tech with a market value of approximately</w:t>
      </w:r>
    </w:p>
    <w:p>
      <w:pPr>
        <w:spacing w:after="0" w:line="3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$40,000 in May 2000, upon execution of an amendment adding four families of patent applications to the license agreement. We must pay an additional $10,000 upon the issuance of the patent licensed to us under the relevant agreement and $5,000 on the first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w:t>
      </w:r>
    </w:p>
    <w:p>
      <w:pPr>
        <w:spacing w:after="0" w:line="22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OHSU and our acquisition of StemCells California, we issued 4,838 shares of our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217" w:lineRule="exact"/>
        <w:rPr>
          <w:sz w:val="20"/>
          <w:szCs w:val="20"/>
          <w:color w:val="auto"/>
        </w:rPr>
      </w:pPr>
    </w:p>
    <w:p>
      <w:pPr>
        <w:ind w:right="440" w:firstLine="324"/>
        <w:spacing w:after="0" w:line="275" w:lineRule="auto"/>
        <w:rPr>
          <w:sz w:val="20"/>
          <w:szCs w:val="20"/>
          <w:color w:val="auto"/>
        </w:rPr>
      </w:pPr>
      <w:r>
        <w:rPr>
          <w:rFonts w:ascii="Times New Roman" w:cs="Times New Roman" w:eastAsia="Times New Roman" w:hAnsi="Times New Roman"/>
          <w:sz w:val="18"/>
          <w:szCs w:val="18"/>
          <w:color w:val="auto"/>
        </w:rPr>
        <w:t>In April, 2002, we issued a license to BioWhittaker, Inc., for the exclusive right to make, sell and distribute one of our proprietary cells for the research market only. This license is not expected to generate material revenues.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Signal Pharmaceuticals, Inc.</w:t>
      </w:r>
    </w:p>
    <w:p>
      <w:pPr>
        <w:spacing w:after="0" w:line="256" w:lineRule="exact"/>
        <w:rPr>
          <w:sz w:val="20"/>
          <w:szCs w:val="20"/>
          <w:color w:val="auto"/>
        </w:rPr>
      </w:pPr>
    </w:p>
    <w:p>
      <w:pPr>
        <w:ind w:firstLine="324"/>
        <w:spacing w:after="0" w:line="296" w:lineRule="auto"/>
        <w:rPr>
          <w:sz w:val="20"/>
          <w:szCs w:val="20"/>
          <w:color w:val="auto"/>
        </w:rPr>
      </w:pPr>
      <w:r>
        <w:rPr>
          <w:rFonts w:ascii="Times New Roman" w:cs="Times New Roman" w:eastAsia="Times New Roman" w:hAnsi="Times New Roman"/>
          <w:sz w:val="16"/>
          <w:szCs w:val="16"/>
          <w:color w:val="auto"/>
        </w:rPr>
        <w:t>In December 1997, we entered into two license agreements with Signal Pharmaceuticals, Inc. under which each party licensed to the other certain patent rights and biological materials for use in defined fields.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NeuroSpheres, Ltd.</w:t>
      </w:r>
    </w:p>
    <w:p>
      <w:pPr>
        <w:spacing w:after="0" w:line="256"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6"/>
          <w:szCs w:val="16"/>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our obligations under the agreement and do not cure the breach, or if we declare bankruptcy. We would have a security interest in the licensed technology in the event that NeuroSpheres declares bankruptcy.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facility in Palo Alto has the capacity to be used for manufacture of cells under FDA-determined clinical Good Manufacturing Practices conditions in quantities sufficient for clinical trials, and we have developed a robust and replicable process for producing and processing the cells. We are at the pre-clinical stage of our stem and progenitor cell programs, and are keeping all options open about the means by which potential future cell products will be manufactured.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4" w:lineRule="exact"/>
        <w:rPr>
          <w:sz w:val="20"/>
          <w:szCs w:val="20"/>
          <w:color w:val="auto"/>
        </w:rPr>
      </w:pPr>
    </w:p>
    <w:p>
      <w:pPr>
        <w:ind w:right="480" w:firstLine="324"/>
        <w:spacing w:after="0" w:line="275" w:lineRule="auto"/>
        <w:rPr>
          <w:sz w:val="20"/>
          <w:szCs w:val="20"/>
          <w:color w:val="auto"/>
        </w:rPr>
      </w:pPr>
      <w:r>
        <w:rPr>
          <w:rFonts w:ascii="Times New Roman" w:cs="Times New Roman" w:eastAsia="Times New Roman" w:hAnsi="Times New Roman"/>
          <w:sz w:val="18"/>
          <w:szCs w:val="18"/>
          <w:color w:val="auto"/>
        </w:rPr>
        <w:t>Because of the early stage of our stem and progenitor cell programs, we have not yet addressed questions of channels of distribution and marketing of potential future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Rights And Licenses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217" w:lineRule="exact"/>
        <w:rPr>
          <w:sz w:val="20"/>
          <w:szCs w:val="20"/>
          <w:color w:val="auto"/>
        </w:rPr>
      </w:pPr>
    </w:p>
    <w:p>
      <w:pPr>
        <w:ind w:right="340" w:firstLine="324"/>
        <w:spacing w:after="0" w:line="339" w:lineRule="auto"/>
        <w:rPr>
          <w:sz w:val="20"/>
          <w:szCs w:val="20"/>
          <w:color w:val="auto"/>
        </w:rPr>
      </w:pPr>
      <w:r>
        <w:rPr>
          <w:rFonts w:ascii="Times New Roman" w:cs="Times New Roman" w:eastAsia="Times New Roman" w:hAnsi="Times New Roman"/>
          <w:sz w:val="16"/>
          <w:szCs w:val="16"/>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transplanting and utilizing such cells. Currently, our U.S. patent portfolio in the stem cell therapy area includes thirty-five issued U.S. patents, five of which issued in 2002. Approximately twenty-five additional patent applications are pending, two of which have been allowed. In addition, we have foreign counterparts to many of the U.S. applications and patents, more than twenty of which have been issued.</w:t>
      </w:r>
    </w:p>
    <w:p>
      <w:pPr>
        <w:spacing w:after="0" w:line="213" w:lineRule="exact"/>
        <w:rPr>
          <w:sz w:val="20"/>
          <w:szCs w:val="20"/>
          <w:color w:val="auto"/>
        </w:rPr>
      </w:pPr>
    </w:p>
    <w:p>
      <w:pPr>
        <w:ind w:right="220" w:firstLine="324"/>
        <w:spacing w:after="0" w:line="296" w:lineRule="auto"/>
        <w:rPr>
          <w:sz w:val="20"/>
          <w:szCs w:val="20"/>
          <w:color w:val="auto"/>
        </w:rPr>
      </w:pPr>
      <w:r>
        <w:rPr>
          <w:rFonts w:ascii="Times New Roman" w:cs="Times New Roman" w:eastAsia="Times New Roman" w:hAnsi="Times New Roman"/>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2002, the U.S. Patent Office issued a key strategic patent to us: U.S. Patent Number 6,468,794, entitled “Enriched central nervous system stem cell and progenitor cell populations, and methods for identifying, isolating and enriching for such populations.” The patent issued on October 22, 2002 and covers the identification and purification of the human CNS stem cell. In 2001, we were granted U.S. Patent No. 6,238,922 (“Use of collagenase in the preparation of neural stem cell cultures”) which described methods to advance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culture and passage of human CNS stem cells that result in a 100-fold increase in CNS stem and progenitor cell production after 6 passages. We believe the methodologies of these two patents together will augment our leadership position in the stem cell field by providing a reproducible proprietary method for obtaining and expanding stem cells for therapeutic uses.</w:t>
      </w:r>
    </w:p>
    <w:p>
      <w:pPr>
        <w:spacing w:after="0" w:line="22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Another significant patent in the neural field, of which we are the exclusive licensees, was also issued in 2002, and, we believe, may prove even more important. We believe that U.S. Patent Number 6,497,872, entitled “Neural transplantation using proliferated multipotent neural stem cells and their progeny,” covers transplanting any neural stem cells or their differentiated progeny, whether the cells have been cultured in suspension or as adherent cells, for the treatment of any disease. The patent gives us the right to exclude others from practicing the claimed invention.</w:t>
      </w:r>
    </w:p>
    <w:p>
      <w:pPr>
        <w:spacing w:after="0" w:line="21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These new patents, together with U.S. Patent Number 6,294,346 (“Use of multipotent neural stem cells and their progeny for the screening of drugs and other biological agents”), which issued September 25, 2001, have strengthened our already extensive patent portfolio and, we believe, give us the dominant intellectual property position in the field, covering methods for identification, isolation, expansion, and transplantation of neural stem cells as well as drug discovery and testing.</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our issued U.S. patents and published international patent applications: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U.S. Patent Number</w:t>
            </w:r>
          </w:p>
        </w:tc>
        <w:tc>
          <w:tcPr>
            <w:tcW w:w="340" w:type="dxa"/>
            <w:vAlign w:val="bottom"/>
          </w:tcPr>
          <w:p>
            <w:pPr>
              <w:spacing w:after="0"/>
              <w:rPr>
                <w:sz w:val="15"/>
                <w:szCs w:val="15"/>
                <w:color w:val="auto"/>
              </w:rPr>
            </w:pPr>
          </w:p>
        </w:tc>
        <w:tc>
          <w:tcPr>
            <w:tcW w:w="7420" w:type="dxa"/>
            <w:vAlign w:val="bottom"/>
          </w:tcPr>
          <w:p>
            <w:pPr>
              <w:ind w:left="3500"/>
              <w:spacing w:after="0"/>
              <w:rPr>
                <w:sz w:val="20"/>
                <w:szCs w:val="20"/>
                <w:color w:val="auto"/>
              </w:rPr>
            </w:pPr>
            <w:r>
              <w:rPr>
                <w:rFonts w:ascii="Times New Roman" w:cs="Times New Roman" w:eastAsia="Times New Roman" w:hAnsi="Times New Roman"/>
                <w:sz w:val="14"/>
                <w:szCs w:val="14"/>
                <w:b w:val="1"/>
                <w:bCs w:val="1"/>
                <w:color w:val="auto"/>
              </w:rPr>
              <w:t>Subject</w:t>
            </w:r>
          </w:p>
        </w:tc>
      </w:tr>
      <w:tr>
        <w:trPr>
          <w:trHeight w:val="95"/>
        </w:trPr>
        <w:tc>
          <w:tcPr>
            <w:tcW w:w="3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r>
      <w:tr>
        <w:trPr>
          <w:trHeight w:val="30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Owned by StemCells</w:t>
            </w:r>
          </w:p>
        </w:tc>
        <w:tc>
          <w:tcPr>
            <w:tcW w:w="34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5,968,829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Human CNS neural stem cells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6,103,530</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Human CNS neural stem cells — culture media</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6,238,922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Use of collagenase in the preparation of neural stem cell cultures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6,468,794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Enriched neural stem cell populations, and methods for identifying, isolating and enriching for neural</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stem cells</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6,498,018</w:t>
            </w:r>
          </w:p>
        </w:tc>
        <w:tc>
          <w:tcPr>
            <w:tcW w:w="3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Human CNS neural stem cells</w:t>
            </w:r>
          </w:p>
        </w:tc>
      </w:tr>
      <w:tr>
        <w:trPr>
          <w:trHeight w:val="432"/>
        </w:trPr>
        <w:tc>
          <w:tcPr>
            <w:tcW w:w="3660" w:type="dxa"/>
            <w:vAlign w:val="bottom"/>
          </w:tcPr>
          <w:p>
            <w:pPr>
              <w:spacing w:after="0"/>
              <w:rPr>
                <w:sz w:val="24"/>
                <w:szCs w:val="24"/>
                <w:color w:val="auto"/>
              </w:rPr>
            </w:pPr>
          </w:p>
        </w:tc>
        <w:tc>
          <w:tcPr>
            <w:tcW w:w="7760" w:type="dxa"/>
            <w:vAlign w:val="bottom"/>
            <w:gridSpan w:val="2"/>
          </w:tcPr>
          <w:p>
            <w:pPr>
              <w:jc w:val="right"/>
              <w:ind w:right="5535"/>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3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U.S. Patent Number</w:t>
            </w:r>
          </w:p>
        </w:tc>
        <w:tc>
          <w:tcPr>
            <w:tcW w:w="340" w:type="dxa"/>
            <w:vAlign w:val="bottom"/>
          </w:tcPr>
          <w:p>
            <w:pPr>
              <w:spacing w:after="0"/>
              <w:rPr>
                <w:sz w:val="15"/>
                <w:szCs w:val="15"/>
                <w:color w:val="auto"/>
              </w:rPr>
            </w:pPr>
          </w:p>
        </w:tc>
        <w:tc>
          <w:tcPr>
            <w:tcW w:w="7420" w:type="dxa"/>
            <w:vAlign w:val="bottom"/>
          </w:tcPr>
          <w:p>
            <w:pPr>
              <w:ind w:left="3500"/>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95"/>
        </w:trPr>
        <w:tc>
          <w:tcPr>
            <w:tcW w:w="3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NeuroSpheres</w:t>
            </w:r>
          </w:p>
        </w:tc>
        <w:tc>
          <w:tcPr>
            <w:tcW w:w="340" w:type="dxa"/>
            <w:vAlign w:val="bottom"/>
          </w:tcPr>
          <w:p>
            <w:pPr>
              <w:spacing w:after="0"/>
              <w:rPr>
                <w:sz w:val="24"/>
                <w:szCs w:val="24"/>
                <w:color w:val="auto"/>
              </w:rPr>
            </w:pPr>
          </w:p>
        </w:tc>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genetic modification</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5,750,376</w:t>
            </w:r>
          </w:p>
        </w:tc>
        <w:tc>
          <w:tcPr>
            <w:tcW w:w="340" w:type="dxa"/>
            <w:vAlign w:val="bottom"/>
          </w:tcPr>
          <w:p>
            <w:pPr>
              <w:spacing w:after="0"/>
              <w:rPr>
                <w:sz w:val="18"/>
                <w:szCs w:val="18"/>
                <w:color w:val="auto"/>
              </w:rPr>
            </w:pPr>
          </w:p>
        </w:tc>
        <w:tc>
          <w:tcPr>
            <w:tcW w:w="7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5,851,832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proliferation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5,980,885</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Methods for inducing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proliferation of precursor cells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5,981,165</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8"/>
              </w:rPr>
              <w:t xml:space="preserve">In vitro </w:t>
            </w:r>
            <w:r>
              <w:rPr>
                <w:rFonts w:ascii="Times New Roman" w:cs="Times New Roman" w:eastAsia="Times New Roman" w:hAnsi="Times New Roman"/>
                <w:sz w:val="18"/>
                <w:szCs w:val="18"/>
                <w:color w:val="auto"/>
                <w:w w:val="98"/>
              </w:rPr>
              <w:t>production of dopaminergic cells from mammalian central nervous system multipotent stem cell</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6,071,889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Methods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transfer of a nucleic acid sequence to proliferating neural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6,093,531</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Generation of hematopoietic cells from multipotent neural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6,165,783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Methods of inducing differentiation of multipotent neural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6,294,346</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Methods for screening biological agents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6,368,854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Hypoxia-mediated neurogenesis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6,399,369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cDNA libraries derived from populations of non-primary neural cells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6,497,872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Neural transplantation using proliferated multipotent neural stem cells and their progeny</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Licensed from University of California, San Diego</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5,766,948</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6,013,521</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6,020,197</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6,045,807</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6,265,175</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the California Institute of</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Technology</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5,589,376</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Mammalian neural crest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5,629,159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Immortalization and disimmortalization of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5,654,183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Genetically engineered mammalian neural crest stem cells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5,672,499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Methods for immortalizing multipotent neural crest stem cells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5,693,482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neural crest stem cell assay</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5,824,489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Methods for isolating mammalian multipotent neural crest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5,849,553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Immortalizing and disimmortalizing multipotent neural crest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5,928,947</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Mammalian multipotent neural crest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5,935,811</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Neuron restrictive silencer factor proteins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6,001,654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Methods for differentiating neural stem cells to neurons or smooth muscle cells (TGFb)</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6,033,906</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Differentiating mammalian neural stem cells to glial cells using neuregulins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6,270,990</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Neuron restrictive silencer factor proteins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the Scripps Research Institute</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6,242,666</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 animal model for identifying a common stem/ progenitor to liver cells and pancreatic cells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Oregon Health Sciences University</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6,132,708</w:t>
            </w:r>
          </w:p>
        </w:tc>
        <w:tc>
          <w:tcPr>
            <w:tcW w:w="3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Liver regeneration using pancreas cells</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776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Published International</w:t>
            </w:r>
          </w:p>
        </w:tc>
        <w:tc>
          <w:tcPr>
            <w:tcW w:w="34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Patent Applications</w:t>
            </w:r>
          </w:p>
        </w:tc>
        <w:tc>
          <w:tcPr>
            <w:tcW w:w="340" w:type="dxa"/>
            <w:vAlign w:val="bottom"/>
          </w:tcPr>
          <w:p>
            <w:pPr>
              <w:spacing w:after="0"/>
              <w:rPr>
                <w:sz w:val="15"/>
                <w:szCs w:val="15"/>
                <w:color w:val="auto"/>
              </w:rPr>
            </w:pPr>
          </w:p>
        </w:tc>
        <w:tc>
          <w:tcPr>
            <w:tcW w:w="7420" w:type="dxa"/>
            <w:vAlign w:val="bottom"/>
          </w:tcPr>
          <w:p>
            <w:pPr>
              <w:ind w:left="3500"/>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95"/>
        </w:trPr>
        <w:tc>
          <w:tcPr>
            <w:tcW w:w="3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Owned by StemCells</w:t>
            </w:r>
          </w:p>
        </w:tc>
        <w:tc>
          <w:tcPr>
            <w:tcW w:w="3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99/11758</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Cultures of human CNS neural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00/47762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Enriched neural stem cell populations and methods of identifying, isolating, and enriching neural stem</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cells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00/50572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Use of collagenase in the preparation of neural stem cell cultures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01/28574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Method for inducing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proliferation and migration of transplanted progenitor cells in the brain</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NeuroSpheres</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93/01275</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Mammalian central nervous system multipotent stem cell compositions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94/09119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Remyelination using mammalian central nervous system multipotent stem cell compositions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94/10292</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Biological factors useful in differentiating mammalian central nervous system multipotent stem cell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compositions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94/16718</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Genetically engineered mammalian central nervous system multipotent stem cell compositions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95/13364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 situ </w:t>
            </w:r>
            <w:r>
              <w:rPr>
                <w:rFonts w:ascii="Times New Roman" w:cs="Times New Roman" w:eastAsia="Times New Roman" w:hAnsi="Times New Roman"/>
                <w:sz w:val="18"/>
                <w:szCs w:val="18"/>
                <w:color w:val="auto"/>
              </w:rPr>
              <w:t>modification and manipulation of stem cells of the CNS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96/15224</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8"/>
              </w:rPr>
              <w:t xml:space="preserve">In vitro </w:t>
            </w:r>
            <w:r>
              <w:rPr>
                <w:rFonts w:ascii="Times New Roman" w:cs="Times New Roman" w:eastAsia="Times New Roman" w:hAnsi="Times New Roman"/>
                <w:sz w:val="18"/>
                <w:szCs w:val="18"/>
                <w:color w:val="auto"/>
                <w:w w:val="98"/>
              </w:rPr>
              <w:t>production of dopaminergic cells from mammalian central nervous system multipotent stem cell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composition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99/16863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Generation of hematopoietic cells</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99/21966</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Erythropoietin-mediated neurogenesis</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Licensed from University of California, San Diego</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94/16059</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Licensed from the California Institute of</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Technology</w:t>
            </w:r>
          </w:p>
        </w:tc>
        <w:tc>
          <w:tcPr>
            <w:tcW w:w="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94/02593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Mammalian neural crest stem cells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00/52143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Isolation and enrichment of neural stem cells from uncultured tissue based on cell-surface marker</w:t>
            </w:r>
          </w:p>
        </w:tc>
        <w:tc>
          <w:tcPr>
            <w:tcW w:w="0" w:type="dxa"/>
            <w:vAlign w:val="bottom"/>
          </w:tcPr>
          <w:p>
            <w:pPr>
              <w:spacing w:after="0"/>
              <w:rPr>
                <w:sz w:val="1"/>
                <w:szCs w:val="1"/>
                <w:color w:val="auto"/>
              </w:rPr>
            </w:pPr>
          </w:p>
        </w:tc>
      </w:tr>
      <w:tr>
        <w:trPr>
          <w:trHeight w:val="228"/>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Licensed from The Scripps Research Institute</w:t>
            </w:r>
          </w:p>
        </w:tc>
        <w:tc>
          <w:tcPr>
            <w:tcW w:w="3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expression</w:t>
            </w:r>
          </w:p>
        </w:tc>
        <w:tc>
          <w:tcPr>
            <w:tcW w:w="0" w:type="dxa"/>
            <w:vAlign w:val="bottom"/>
          </w:tcPr>
          <w:p>
            <w:pPr>
              <w:spacing w:after="0"/>
              <w:rPr>
                <w:sz w:val="1"/>
                <w:szCs w:val="1"/>
                <w:color w:val="auto"/>
              </w:rPr>
            </w:pPr>
          </w:p>
        </w:tc>
      </w:tr>
      <w:tr>
        <w:trPr>
          <w:trHeight w:val="204"/>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 00/36091</w:t>
            </w:r>
          </w:p>
        </w:tc>
        <w:tc>
          <w:tcPr>
            <w:tcW w:w="3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 animal model for identifying a common stem/progenitor to liver cells and pancreatic cells</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rely upon trade-secret protection for our confidential and proprietary information and take active measures to control access to that information.</w:t>
      </w:r>
    </w:p>
    <w:p>
      <w:pPr>
        <w:spacing w:after="0" w:line="25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 Our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21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2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22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217"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 and such licenses may not be granted.</w:t>
      </w:r>
    </w:p>
    <w:p>
      <w:pPr>
        <w:spacing w:after="0" w:line="213" w:lineRule="exact"/>
        <w:rPr>
          <w:sz w:val="20"/>
          <w:szCs w:val="20"/>
          <w:color w:val="auto"/>
        </w:rPr>
      </w:pPr>
    </w:p>
    <w:p>
      <w:pPr>
        <w:ind w:right="360" w:firstLine="324"/>
        <w:spacing w:after="0" w:line="256" w:lineRule="auto"/>
        <w:rPr>
          <w:sz w:val="20"/>
          <w:szCs w:val="20"/>
          <w:color w:val="auto"/>
        </w:rPr>
      </w:pPr>
      <w:r>
        <w:rPr>
          <w:rFonts w:ascii="Times New Roman" w:cs="Times New Roman" w:eastAsia="Times New Roman" w:hAnsi="Times New Roman"/>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2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4" w:lineRule="exact"/>
        <w:rPr>
          <w:sz w:val="20"/>
          <w:szCs w:val="20"/>
          <w:color w:val="auto"/>
        </w:rPr>
      </w:pPr>
    </w:p>
    <w:p>
      <w:pPr>
        <w:ind w:right="620" w:firstLine="324"/>
        <w:spacing w:after="0" w:line="275" w:lineRule="auto"/>
        <w:rPr>
          <w:sz w:val="20"/>
          <w:szCs w:val="20"/>
          <w:color w:val="auto"/>
        </w:rPr>
      </w:pPr>
      <w:r>
        <w:rPr>
          <w:rFonts w:ascii="Times New Roman" w:cs="Times New Roman" w:eastAsia="Times New Roman" w:hAnsi="Times New Roman"/>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20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FDA Approval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steps required before our potential products may be marketed in the United States include:</w:t>
      </w:r>
    </w:p>
    <w:p>
      <w:pPr>
        <w:spacing w:after="0" w:line="200" w:lineRule="exact"/>
        <w:rPr>
          <w:sz w:val="20"/>
          <w:szCs w:val="20"/>
          <w:color w:val="auto"/>
        </w:rPr>
      </w:pPr>
    </w:p>
    <w:p>
      <w:pPr>
        <w:spacing w:after="0" w:line="239" w:lineRule="exact"/>
        <w:rPr>
          <w:sz w:val="20"/>
          <w:szCs w:val="20"/>
          <w:color w:val="auto"/>
        </w:rPr>
      </w:pPr>
    </w:p>
    <w:p>
      <w:pPr>
        <w:jc w:val="both"/>
        <w:ind w:left="2660"/>
        <w:spacing w:after="0"/>
        <w:tabs>
          <w:tab w:leader="none" w:pos="8220" w:val="left"/>
        </w:tabs>
        <w:rPr>
          <w:sz w:val="20"/>
          <w:szCs w:val="20"/>
          <w:color w:val="auto"/>
        </w:rPr>
      </w:pPr>
      <w:r>
        <w:rPr>
          <w:rFonts w:ascii="Times New Roman" w:cs="Times New Roman" w:eastAsia="Times New Roman" w:hAnsi="Times New Roman"/>
          <w:sz w:val="14"/>
          <w:szCs w:val="14"/>
          <w:b w:val="1"/>
          <w:bCs w:val="1"/>
          <w:color w:val="auto"/>
        </w:rPr>
        <w:t>Steps</w:t>
      </w:r>
      <w:r>
        <w:rPr>
          <w:sz w:val="20"/>
          <w:szCs w:val="20"/>
          <w:color w:val="auto"/>
        </w:rPr>
        <w:tab/>
      </w:r>
      <w:r>
        <w:rPr>
          <w:rFonts w:ascii="Times New Roman" w:cs="Times New Roman" w:eastAsia="Times New Roman" w:hAnsi="Times New Roman"/>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0"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and animal tests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40" w:right="220" w:hanging="132"/>
        <w:spacing w:after="0" w:line="262"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Exemption, or IND, which must become effective before U.S. human clinical trials may commence</w:t>
      </w:r>
    </w:p>
    <w:p>
      <w:pPr>
        <w:spacing w:after="0" w:line="186" w:lineRule="exact"/>
        <w:rPr>
          <w:rFonts w:ascii="Times New Roman" w:cs="Times New Roman" w:eastAsia="Times New Roman" w:hAnsi="Times New Roman"/>
          <w:sz w:val="18"/>
          <w:szCs w:val="18"/>
          <w:color w:val="auto"/>
        </w:rPr>
      </w:pPr>
    </w:p>
    <w:p>
      <w:pPr>
        <w:ind w:left="140" w:right="200" w:hanging="132"/>
        <w:spacing w:after="0" w:line="275"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 w:right="160"/>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ind w:left="10" w:right="80"/>
        <w:spacing w:after="0" w:line="250" w:lineRule="auto"/>
        <w:rPr>
          <w:sz w:val="20"/>
          <w:szCs w:val="20"/>
          <w:color w:val="auto"/>
        </w:rPr>
      </w:pPr>
      <w:r>
        <w:rPr>
          <w:rFonts w:ascii="Times New Roman" w:cs="Times New Roman" w:eastAsia="Times New Roman" w:hAnsi="Times New Roman"/>
          <w:sz w:val="18"/>
          <w:szCs w:val="18"/>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6"/>
          <w:szCs w:val="16"/>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5" w:lineRule="exact"/>
        <w:rPr>
          <w:sz w:val="20"/>
          <w:szCs w:val="20"/>
          <w:color w:val="auto"/>
        </w:rPr>
      </w:pPr>
    </w:p>
    <w:p>
      <w:pPr>
        <w:ind w:left="10" w:right="240"/>
        <w:spacing w:after="0" w:line="250" w:lineRule="auto"/>
        <w:rPr>
          <w:sz w:val="20"/>
          <w:szCs w:val="20"/>
          <w:color w:val="auto"/>
        </w:rPr>
      </w:pPr>
      <w:r>
        <w:rPr>
          <w:rFonts w:ascii="Times New Roman" w:cs="Times New Roman" w:eastAsia="Times New Roman" w:hAnsi="Times New Roman"/>
          <w:sz w:val="18"/>
          <w:szCs w:val="18"/>
          <w:color w:val="auto"/>
        </w:rPr>
        <w:t>Clinical development is traditionally conducted in three sequential phases, which may overlap:</w:t>
      </w:r>
    </w:p>
    <w:p>
      <w:pPr>
        <w:spacing w:after="0" w:line="1" w:lineRule="exact"/>
        <w:rPr>
          <w:sz w:val="20"/>
          <w:szCs w:val="20"/>
          <w:color w:val="auto"/>
        </w:rPr>
      </w:pPr>
    </w:p>
    <w:p>
      <w:pPr>
        <w:ind w:left="10" w:right="160"/>
        <w:spacing w:after="0" w:line="250" w:lineRule="auto"/>
        <w:rPr>
          <w:sz w:val="20"/>
          <w:szCs w:val="20"/>
          <w:color w:val="auto"/>
        </w:rPr>
      </w:pPr>
      <w:r>
        <w:rPr>
          <w:rFonts w:ascii="Times New Roman" w:cs="Times New Roman" w:eastAsia="Times New Roman" w:hAnsi="Times New Roman"/>
          <w:sz w:val="18"/>
          <w:szCs w:val="18"/>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2" w:lineRule="exact"/>
        <w:rPr>
          <w:sz w:val="20"/>
          <w:szCs w:val="20"/>
          <w:color w:val="auto"/>
        </w:rPr>
      </w:pPr>
    </w:p>
    <w:p>
      <w:pPr>
        <w:ind w:left="10" w:right="180"/>
        <w:spacing w:after="0" w:line="281" w:lineRule="auto"/>
        <w:rPr>
          <w:sz w:val="20"/>
          <w:szCs w:val="20"/>
          <w:color w:val="auto"/>
        </w:rPr>
      </w:pPr>
      <w:r>
        <w:rPr>
          <w:rFonts w:ascii="Times New Roman" w:cs="Times New Roman" w:eastAsia="Times New Roman" w:hAnsi="Times New Roman"/>
          <w:sz w:val="16"/>
          <w:szCs w:val="16"/>
          <w:color w:val="auto"/>
        </w:rPr>
        <w:t>Phase II involves studies in a limited patient population to (i) determine the efficacy of the product for specific targeted indications and populations,</w:t>
      </w:r>
    </w:p>
    <w:p>
      <w:pPr>
        <w:spacing w:after="0" w:line="1" w:lineRule="exact"/>
        <w:rPr>
          <w:sz w:val="20"/>
          <w:szCs w:val="20"/>
          <w:color w:val="auto"/>
        </w:rPr>
      </w:pPr>
    </w:p>
    <w:p>
      <w:pPr>
        <w:ind w:left="10" w:right="60" w:hanging="10"/>
        <w:spacing w:after="0" w:line="250" w:lineRule="auto"/>
        <w:tabs>
          <w:tab w:leader="none" w:pos="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 w:lineRule="exact"/>
        <w:rPr>
          <w:rFonts w:ascii="Times New Roman" w:cs="Times New Roman" w:eastAsia="Times New Roman" w:hAnsi="Times New Roman"/>
          <w:sz w:val="18"/>
          <w:szCs w:val="18"/>
          <w:color w:val="auto"/>
        </w:rPr>
      </w:pPr>
    </w:p>
    <w:p>
      <w:pPr>
        <w:ind w:left="1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trials are undertaken to conclusively demonstrate clinical efficacy and to test further for safety within an expanded patient population, generally at multiple study sites.</w:t>
      </w:r>
    </w:p>
    <w:p>
      <w:pPr>
        <w:sectPr>
          <w:pgSz w:w="11900" w:h="16838" w:orient="portrait"/>
          <w:cols w:equalWidth="0" w:num="2">
            <w:col w:w="5800" w:space="150"/>
            <w:col w:w="5470"/>
          </w:cols>
          <w:pgMar w:left="240" w:top="415" w:right="239" w:bottom="1440" w:gutter="0" w:footer="0" w:header="0"/>
          <w:type w:val="continuous"/>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60"/>
          </w:cols>
          <w:pgMar w:left="240" w:top="415" w:right="29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5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marketing authorization applications</w:t>
      </w:r>
    </w:p>
    <w:p>
      <w:pPr>
        <w:spacing w:after="0" w:line="225" w:lineRule="exact"/>
        <w:rPr>
          <w:rFonts w:ascii="Times New Roman" w:cs="Times New Roman" w:eastAsia="Times New Roman" w:hAnsi="Times New Roman"/>
          <w:sz w:val="18"/>
          <w:szCs w:val="18"/>
          <w:color w:val="auto"/>
        </w:rPr>
      </w:pPr>
    </w:p>
    <w:p>
      <w:pPr>
        <w:jc w:val="both"/>
        <w:ind w:left="140" w:hanging="132"/>
        <w:spacing w:after="0" w:line="310" w:lineRule="auto"/>
        <w:tabs>
          <w:tab w:leader="none" w:pos="18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The FDA continually reviews the clinical trial plans and results and may suggest changes or may require discontinuance of the trials at any time if significant safety issues arise.</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results of the preclinical studies and clinical studies are submitted to the FDA in the form of marketing approval authorization applications.</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5580" w:space="380"/>
            <w:col w:w="5400"/>
          </w:cols>
          <w:pgMar w:left="240" w:top="415" w:right="299" w:bottom="1440" w:gutter="0" w:footer="0" w:header="0"/>
          <w:type w:val="continuous"/>
        </w:sectPr>
      </w:pPr>
    </w:p>
    <w:p>
      <w:pPr>
        <w:spacing w:after="0" w:line="23"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FDA Manufacturing Requirements</w:t>
      </w:r>
    </w:p>
    <w:p>
      <w:pPr>
        <w:spacing w:after="0" w:line="2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Proposed FDA Regulations</w:t>
      </w:r>
    </w:p>
    <w:p>
      <w:pPr>
        <w:spacing w:after="0" w:line="256" w:lineRule="exact"/>
        <w:rPr>
          <w:sz w:val="20"/>
          <w:szCs w:val="20"/>
          <w:color w:val="auto"/>
        </w:rPr>
      </w:pPr>
    </w:p>
    <w:p>
      <w:pPr>
        <w:ind w:right="420" w:firstLine="324"/>
        <w:spacing w:after="0" w:line="339" w:lineRule="auto"/>
        <w:rPr>
          <w:sz w:val="20"/>
          <w:szCs w:val="20"/>
          <w:color w:val="auto"/>
        </w:rPr>
      </w:pPr>
      <w:r>
        <w:rPr>
          <w:rFonts w:ascii="Times New Roman" w:cs="Times New Roman" w:eastAsia="Times New Roman" w:hAnsi="Times New Roman"/>
          <w:sz w:val="16"/>
          <w:szCs w:val="16"/>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56"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8"/>
          <w:szCs w:val="18"/>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20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and Health Care Cost Control</w:t>
      </w:r>
    </w:p>
    <w:p>
      <w:pPr>
        <w:spacing w:after="0" w:line="254"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21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4"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2002, we had twenty-eight full-time employees, of whom ten have Ph.D. degrees. Twenty-one full-time employees work in research and development and laboratory support services. No employees are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2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90" w:lineRule="exact"/>
        <w:rPr>
          <w:sz w:val="20"/>
          <w:szCs w:val="20"/>
          <w:color w:val="auto"/>
        </w:rPr>
      </w:pPr>
    </w:p>
    <w:p>
      <w:pPr>
        <w:ind w:left="460" w:right="20" w:hanging="101"/>
        <w:spacing w:after="0" w:line="25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Irving L. Weissman, M.D., is the Karel and Avice Beekhuis Professor of Cancer Biology, Professor of Pathology and Professor of Developmental Biology at Stanford University, Stanford California, and is Director of the Stanford University Institute for Cancer/ Stem Cell Biology and Medicine. Dr. Weissman, a member of the National Academy of Science, was a cofounder of SyStemix, Inc. and is the founder and Chairman of Cellerant, Inc. Dr. Weissman is Chairman of the Scientific Advisory Board of StemCells. Dr. Weissman’s lab discovered the mouse hematopoietic stem cell and he is co-discoverer of the human hematopoietic stem cell.</w:t>
      </w:r>
    </w:p>
    <w:p>
      <w:pPr>
        <w:spacing w:after="0" w:line="219" w:lineRule="exact"/>
        <w:rPr>
          <w:rFonts w:ascii="Times New Roman" w:cs="Times New Roman" w:eastAsia="Times New Roman" w:hAnsi="Times New Roman"/>
          <w:sz w:val="18"/>
          <w:szCs w:val="18"/>
          <w:color w:val="auto"/>
        </w:rPr>
      </w:pPr>
    </w:p>
    <w:p>
      <w:pPr>
        <w:ind w:left="460" w:right="420" w:hanging="101"/>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Anderson, Ph.D., is Professor of Biology, California Institute of Technology, Pasadena, California and Investigator, Howard Hughes Medical Institute. Dr. Anderson is the discoverer of the rat neural crest-peripheral nervous system stem cell.</w:t>
      </w:r>
    </w:p>
    <w:p>
      <w:pPr>
        <w:spacing w:after="0" w:line="200" w:lineRule="exact"/>
        <w:rPr>
          <w:rFonts w:ascii="Times New Roman" w:cs="Times New Roman" w:eastAsia="Times New Roman" w:hAnsi="Times New Roman"/>
          <w:sz w:val="18"/>
          <w:szCs w:val="18"/>
          <w:color w:val="auto"/>
        </w:rPr>
      </w:pPr>
    </w:p>
    <w:p>
      <w:pPr>
        <w:ind w:left="460" w:hanging="101"/>
        <w:spacing w:after="0" w:line="339"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Fred H. Gage, Ph.D., is Professor, Laboratory of Genetics, The Salk Institute for Biological Studies, La Jolla, California and Adjunct Professor, Department of Neurosciences, University of California, San Diego, California. Dr. Gage is the discoverer of the mammalian central nervous system stem cell.</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Consultants to our SAB include William C. Mobley, M.D., Ph.D., Ben Barres, Ph.D., and Seung Kim, M.D., Ph.D., all of Stanford University.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25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facility will better enable us to achieve our goal of utilizing genetically unmodified human stem cells for the treatment of disorders of the nervous system, liver, and pancreas. We have space-sharing agreements for part of the animal facility not needed for our own use, including one with Stanford University.</w:t>
      </w:r>
    </w:p>
    <w:p>
      <w:pPr>
        <w:spacing w:after="0" w:line="220" w:lineRule="exact"/>
        <w:rPr>
          <w:sz w:val="20"/>
          <w:szCs w:val="20"/>
          <w:color w:val="auto"/>
        </w:rPr>
      </w:pPr>
    </w:p>
    <w:p>
      <w:pPr>
        <w:ind w:right="60" w:firstLine="324"/>
        <w:spacing w:after="0" w:line="296" w:lineRule="auto"/>
        <w:rPr>
          <w:sz w:val="20"/>
          <w:szCs w:val="20"/>
          <w:color w:val="auto"/>
        </w:rPr>
      </w:pPr>
      <w:r>
        <w:rPr>
          <w:rFonts w:ascii="Times New Roman" w:cs="Times New Roman" w:eastAsia="Times New Roman" w:hAnsi="Times New Roman"/>
          <w:sz w:val="16"/>
          <w:szCs w:val="16"/>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facility. We have also subleased approximately one-fourth of the 65,000 square foot facility. We are actively seeking to sublease, assign or sell our remaining interests in these properties.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Submission of Matters to a Vote of Security Holders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and Related Stockholders Matters</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common stock of StemCells is traded on the SmallCap Market System of NASDAQ under the Symbol STEM. Prior to December 23, 2002 our common stock was traded on the NASDAQ National Market. The quarterly ranges of high and low bid prices for the last two fiscal years as reported by NASDAQ are shown below:</w:t>
      </w:r>
    </w:p>
    <w:p>
      <w:pPr>
        <w:spacing w:after="0" w:line="400"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606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p>
        </w:tc>
      </w:tr>
      <w:tr>
        <w:trPr>
          <w:trHeight w:val="95"/>
        </w:trPr>
        <w:tc>
          <w:tcPr>
            <w:tcW w:w="6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$3.84</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$2.13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$2.34</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$1.41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$2.07</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$0.65</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$0.51</w:t>
            </w:r>
          </w:p>
        </w:tc>
      </w:tr>
      <w:tr>
        <w:trPr>
          <w:trHeight w:val="380"/>
        </w:trPr>
        <w:tc>
          <w:tcPr>
            <w:tcW w:w="606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p>
        </w:tc>
      </w:tr>
      <w:tr>
        <w:trPr>
          <w:trHeight w:val="95"/>
        </w:trPr>
        <w:tc>
          <w:tcPr>
            <w:tcW w:w="6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$3.56</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$1.75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$5.41</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$1.56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$7.00</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$1.94</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$4.15</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$2.07</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cash dividends have been declared on the Company common stock since the Company’s inception.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20, 2003, there were approximately 398 holders of record of the common stock.</w:t>
      </w:r>
    </w:p>
    <w:p>
      <w:pPr>
        <w:spacing w:after="0" w:line="25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On March 31, 2002, the Company issued 9,675 shares of its authorized, unregistered shares of common stock to the Oregon Health Sciences University (“OHSU”) upon the exercise of an option granted in March 1997 in connection with a license agreement. An additional 4,000 shares were issued to OHSU in January 2003, pursuant to an amendment to the license agreement. On September 17, 2002, the Company issued 27,535 shares of its authorized, unregistered common stock to the California Institute of Technology in connection with a license agreement and its amendment. In December 2002 and in January 2003, the Company issued 107,812 shares and 58,516 shares respectively of its authorized common stock to Sativum Investments Limited as part of a drawdown on its existing equity line. By agreement with one of the Company’s outside providers of legal services, a part of the fees incurred are paid in authorized, unregistered stock of the Company. In 2002 we issued 33,884 shares under that agreement.</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these shares were issued pursuant to the exemption from registration provided by Section 4(2) of the Securities Act of 1933, as amended.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2002.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w:t>
            </w:r>
          </w:p>
        </w:tc>
      </w:tr>
      <w:tr>
        <w:trPr>
          <w:trHeight w:val="149"/>
        </w:trPr>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Securities to</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28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Securities Remaining</w:t>
            </w:r>
          </w:p>
        </w:tc>
      </w:tr>
      <w:tr>
        <w:trPr>
          <w:trHeight w:val="149"/>
        </w:trPr>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 Issued Upon</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28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Available for Issuance Under</w:t>
            </w:r>
          </w:p>
        </w:tc>
      </w:tr>
      <w:tr>
        <w:trPr>
          <w:trHeight w:val="149"/>
        </w:trPr>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8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Equity Compensation</w:t>
            </w:r>
          </w:p>
        </w:tc>
      </w:tr>
      <w:tr>
        <w:trPr>
          <w:trHeight w:val="149"/>
        </w:trPr>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Outstanding Options,</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80" w:type="dxa"/>
            <w:vAlign w:val="bottom"/>
          </w:tcPr>
          <w:p>
            <w:pPr>
              <w:spacing w:after="0"/>
              <w:rPr>
                <w:sz w:val="12"/>
                <w:szCs w:val="12"/>
                <w:color w:val="auto"/>
              </w:rPr>
            </w:pPr>
          </w:p>
        </w:tc>
        <w:tc>
          <w:tcPr>
            <w:tcW w:w="3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 Securities</w:t>
            </w:r>
          </w:p>
        </w:tc>
      </w:tr>
      <w:tr>
        <w:trPr>
          <w:trHeight w:val="178"/>
        </w:trPr>
        <w:tc>
          <w:tcPr>
            <w:tcW w:w="29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Warrants and Rights</w:t>
            </w:r>
          </w:p>
        </w:tc>
        <w:tc>
          <w:tcPr>
            <w:tcW w:w="2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8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Reflected in Column (A))</w:t>
            </w:r>
          </w:p>
        </w:tc>
      </w:tr>
      <w:tr>
        <w:trPr>
          <w:trHeight w:val="95"/>
        </w:trPr>
        <w:tc>
          <w:tcPr>
            <w:tcW w:w="2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6"/>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8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4,294,050(1)</w:t>
            </w:r>
          </w:p>
        </w:tc>
        <w:tc>
          <w:tcPr>
            <w:tcW w:w="22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$3.248</w:t>
            </w:r>
          </w:p>
        </w:tc>
        <w:tc>
          <w:tcPr>
            <w:tcW w:w="342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1,833,437</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arrangements not</w:t>
            </w: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0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196,699</w:t>
            </w:r>
          </w:p>
        </w:tc>
        <w:tc>
          <w:tcPr>
            <w:tcW w:w="22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$3.840</w:t>
            </w:r>
          </w:p>
        </w:tc>
        <w:tc>
          <w:tcPr>
            <w:tcW w:w="280" w:type="dxa"/>
            <w:vAlign w:val="bottom"/>
          </w:tcPr>
          <w:p>
            <w:pPr>
              <w:spacing w:after="0"/>
              <w:rPr>
                <w:sz w:val="18"/>
                <w:szCs w:val="18"/>
                <w:color w:val="auto"/>
              </w:rPr>
            </w:pPr>
          </w:p>
        </w:tc>
        <w:tc>
          <w:tcPr>
            <w:tcW w:w="31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280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4,490,749</w:t>
            </w:r>
          </w:p>
        </w:tc>
        <w:tc>
          <w:tcPr>
            <w:tcW w:w="22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$3.274</w:t>
            </w:r>
          </w:p>
        </w:tc>
        <w:tc>
          <w:tcPr>
            <w:tcW w:w="342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1,833,437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right="200" w:hanging="452"/>
        <w:spacing w:after="0" w:line="26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21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has fully vested warrants outstanding to purchase 50,500 shares of our common stock for $5.04 per share, issued in August 2000, and exercisable, in whole or in part, for five years from the date of issuance. The Company also has a warrant outstanding to purchase 146,199 shares of our common stock that was issued in December 2001, issued fully vested with an exercise price of $3.42 per share, and exercisable, in whole or in part, for four years from the date of issuance. These warrants, which constitute non-plan equity compensation arrangements, were issued in exchange for placement agent or advisory services by non-employees.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following selected historical information has been derived from the audited financial statements of the Company. The financial information as of December 2002 and 2001 and for each of the three years in the period ended December 31, 2002 are derived from audited financial statements included elsewhere in this Form 10-K.</w:t>
      </w:r>
    </w:p>
    <w:p>
      <w:pPr>
        <w:spacing w:after="0" w:line="40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1999</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1998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gridSpan w:val="1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from collaborative and licensing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from grants</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from assignment of rights to</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Encapsulated Cell Technology wind-down and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relocation(1)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deemed dividends and cumulative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change in accounting principle</w:t>
            </w:r>
          </w:p>
        </w:tc>
        <w:tc>
          <w:tcPr>
            <w:tcW w:w="320" w:type="dxa"/>
            <w:vAlign w:val="bottom"/>
          </w:tcPr>
          <w:p>
            <w:pPr>
              <w:spacing w:after="0"/>
              <w:rPr>
                <w:sz w:val="18"/>
                <w:szCs w:val="18"/>
                <w:color w:val="auto"/>
              </w:rPr>
            </w:pPr>
          </w:p>
        </w:tc>
        <w:tc>
          <w:tcPr>
            <w:tcW w:w="8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4"/>
              </w:rPr>
              <w:t>(10,365)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w w:val="98"/>
              </w:rPr>
              <w:t>(3,446)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0"/>
              </w:rPr>
              <w:t>(11,125)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(15,709)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(12,628)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320" w:type="dxa"/>
            <w:vAlign w:val="bottom"/>
          </w:tcPr>
          <w:p>
            <w:pPr>
              <w:spacing w:after="0"/>
              <w:rPr>
                <w:sz w:val="18"/>
                <w:szCs w:val="18"/>
                <w:color w:val="auto"/>
              </w:rPr>
            </w:pPr>
          </w:p>
        </w:tc>
        <w:tc>
          <w:tcPr>
            <w:tcW w:w="8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4"/>
              </w:rPr>
              <w:t>(11,645)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w w:val="98"/>
              </w:rPr>
              <w:t>(4,992)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0"/>
              </w:rPr>
              <w:t>(11,606)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(15,709)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(12,628)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available to common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 before cumulative effect of an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change per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(0.84)</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 change in accounting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principle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(0.84)</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basic and diluted per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amounts</w:t>
            </w: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22,242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740" w:type="dxa"/>
            <w:vAlign w:val="bottom"/>
            <w:tcBorders>
              <w:bottom w:val="single" w:sz="8" w:color="808080"/>
            </w:tcBorders>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3"/>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1999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1998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Borders>
              <w:bottom w:val="single" w:sz="8" w:color="808080"/>
            </w:tcBorders>
            <w:gridSpan w:val="4"/>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Balance Sheet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$ 4,236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$ 6,069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$ 4,760</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16,356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29,795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including capital leases</w:t>
            </w:r>
          </w:p>
        </w:tc>
        <w:tc>
          <w:tcPr>
            <w:tcW w:w="3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2,605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common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preferred stock(2)</w:t>
            </w:r>
          </w:p>
        </w:tc>
        <w:tc>
          <w:tcPr>
            <w:tcW w:w="3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21,699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9 in the consolidated financial statements</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11 in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accompanying financial statements and the related footnotes thereto.</w:t>
      </w:r>
    </w:p>
    <w:p>
      <w:pPr>
        <w:spacing w:after="0" w:line="20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20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not derived any revenues from the sale of any products apart from license revenue for the research use of our human neural stem cells,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22" w:lineRule="exact"/>
        <w:rPr>
          <w:sz w:val="20"/>
          <w:szCs w:val="20"/>
          <w:color w:val="auto"/>
        </w:rPr>
      </w:pPr>
    </w:p>
    <w:p>
      <w:pPr>
        <w:ind w:right="120" w:firstLine="324"/>
        <w:spacing w:after="0" w:line="301" w:lineRule="auto"/>
        <w:rPr>
          <w:sz w:val="20"/>
          <w:szCs w:val="20"/>
          <w:color w:val="auto"/>
        </w:rPr>
      </w:pPr>
      <w:r>
        <w:rPr>
          <w:rFonts w:ascii="Times New Roman" w:cs="Times New Roman" w:eastAsia="Times New Roman" w:hAnsi="Times New Roman"/>
          <w:sz w:val="16"/>
          <w:szCs w:val="16"/>
          <w:color w:val="auto"/>
        </w:rPr>
        <w:t>In September 2002, in order to concentrate all our resources on our primary goal of evaluating the potential of using our stem and progenitor cells to treat or even cure some of the world’s most debilitating diseases, we announced that we had initiated a cost reduction program that curtailed expenditures on our discovery research activities in favor of channeling resources into accelerating preclinical development of our proprietary cells for the treatment of neural and liver disease. The initiative, which was implemented during the third quarter of 2002, reduced our workforce and annualized expenses by approximately 25%.</w:t>
      </w:r>
    </w:p>
    <w:p>
      <w:pPr>
        <w:spacing w:after="0" w:line="1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May 2001, we entered into an equity line enabling us to draw up to $30,000,000 subject to various restrictions, and we did draw down $4,000,000 in July of 2001. Subsequently, we have drawn down $118,000 in December of 2002 and $66,000 in January of 2003. In December of 2001, we issued 3% convertible preferred stock for $5,000,000 gross. In addition, under the terms of the financing agreement we entered into in 2000 with Millennium Partners, LP, Millennium exercised its final option to purchase $2,000,000 of our common stock in June 2001; that agreement has now terminated. In 2002, the Company entered into an agreement with Triton West Group, Inc. (Triton) pursuant to which the Company sold common stock to Triton for aggregate proceeds of $1,100,000. (See “Liquidity and Capital Resources” below for further detail on each of these transactions.)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2001,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 Each of the grants was renewed for 2002, but no new grants have been received.</w:t>
      </w:r>
    </w:p>
    <w:p>
      <w:pPr>
        <w:spacing w:after="0" w:line="2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program in neural stem and progenitor cells has entered the preclinical stage, as we focus increasingly on testing human neural stem cells in small animal models of human diseases, both in-house and through external academic collaborators. In our liver stem cell program, we are intensifying our efforts to identify liver stem and progenitor cells. In part, we will do this by following up studies we have done showing that purified blood stem cells can give rise to liver tissue, to seek a possible transitional cell between the blood stem cells and the mature liver cells. Our pancreas program is being carried on for the present primarily through a collaborator.</w:t>
      </w:r>
    </w:p>
    <w:p>
      <w:pPr>
        <w:spacing w:after="0" w:line="220"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we will need to hire more personnel, which will lead to higher operating expenses. We had in fact begun to hire more staff, but as noted above, our cost reduction program in September 2002 resulted in the reduction of personnel.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4" w:lineRule="exact"/>
        <w:rPr>
          <w:sz w:val="20"/>
          <w:szCs w:val="20"/>
          <w:color w:val="auto"/>
        </w:rPr>
      </w:pPr>
    </w:p>
    <w:p>
      <w:pPr>
        <w:ind w:right="900" w:firstLine="324"/>
        <w:spacing w:after="0" w:line="275" w:lineRule="auto"/>
        <w:rPr>
          <w:sz w:val="20"/>
          <w:szCs w:val="20"/>
          <w:color w:val="auto"/>
        </w:rPr>
      </w:pPr>
      <w:r>
        <w:rPr>
          <w:rFonts w:ascii="Times New Roman" w:cs="Times New Roman" w:eastAsia="Times New Roman" w:hAnsi="Times New Roman"/>
          <w:sz w:val="18"/>
          <w:szCs w:val="18"/>
          <w:color w:val="auto"/>
        </w:rPr>
        <w:t>The Company believes the following critical accounting policies affect its more significant judgments and estimates used in the preparation of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4"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describes our equity compensation plans, and Note 1 of the Notes to the Consolidated Financial Statements contains a summary of the pro forma effects to reported net (loss) and (loss) per share for 2002, 2001, and 2000 as if we had elected to recognize compensation cost based on the fair value of the options granted at grant date, as prescribed by FAS No. 123.</w:t>
      </w:r>
    </w:p>
    <w:p>
      <w:pPr>
        <w:spacing w:after="0" w:line="222"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For certain stock options granted to non-employees, the Company accounts for these grants in accordance with FAS No. 123 and Emerging Issues Task Force (“EITF”) 96-18 — accounting for equity instruments that are issued to other than employees for acquiring, or in conjunction with selling, goods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5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were reclassified as held and used on the balance sheet.</w:t>
      </w:r>
    </w:p>
    <w:p>
      <w:pPr>
        <w:spacing w:after="0" w:line="22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54" w:lineRule="exact"/>
        <w:rPr>
          <w:sz w:val="20"/>
          <w:szCs w:val="20"/>
          <w:color w:val="auto"/>
        </w:rPr>
      </w:pPr>
    </w:p>
    <w:p>
      <w:pPr>
        <w:ind w:right="500" w:firstLine="324"/>
        <w:spacing w:after="0" w:line="275"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2002, 2001 and 2000</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totaled $415,000, $805,000 and $74,000 for the years ending December 31, 2002, 2001 and 2000, respectively. Revenues for 2002 include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$150,000 that is a part of the grant awarded by the National Institutes of Health’s Small Business Innovation Research (SBIR) office, $225,000 that is a part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awarded by the National Institute of Diabetes &amp; Digestive &amp; Kidney Disorders of the National Institutes of Health, and $40,000 in licensing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 for 2001 include $505,000 for grants received from the National Institute of Health’s Small Business Innovation Research (SBIR) office for research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relating to our Neural &amp; Liver stem cell programs, and $300,000 from the assignment to Modex Therapeutics, Ltd., of our retained rights to a portion of certain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possible future revenues arising out of our sale of our former Encapsulated Cell Technology (ECT) to Neurotech, S.A. Revenues for 2000 were from Neurotech,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 in return for that sale of intellectual property assets related to our former encapsulated cell therapy program. The increase from 2000 to 2001was primarily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due to the receipt of money from grants in 2001. There were no receipts from grants in 2000. The decrease in revenue from 2001 to 2002 was primarily due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time receipt of $300,000 from the assignment of rights to Modex Therapeutics, Ltd., and a decrease in grant revenue from $505,000 in 2001 to $375,000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2002</w:t>
      </w:r>
    </w:p>
    <w:p>
      <w:pPr>
        <w:spacing w:after="0" w:line="2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totaled $6,400,000 in 2002, as compared to $8,603,000 in 2001 and $5,979,000 in 2000. The decrease of $2,203,000, or 26%, from 2001 to 2002 was primarily attributable to the effect of the lower valuation of stock options on non-employee compensation in 2002 as compared to 2001 and a reduction in rent expense allocated to research and development in 2002 as a result of an amendment to the lease on our current facilities in California. The increase of $2,624,000 or 44%, from 2000 to 2001, was primarily attributable to the costs related to leasing a larger facility and an increase in personnel to facilitate the expansion of our research and initiate development.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6"/>
          <w:szCs w:val="16"/>
          <w:color w:val="auto"/>
        </w:rPr>
        <w:t>General and administrative expenses were $4,225,000 in 2002, compared with $3,788,000 in 2001 and $3,361,000 in 2000. The increase of $437,000, or 12%, from 2001 to 2002 was primarily attributable to the inclusion of $801,000 in expenses of our Rhode Island facilities in general and administrative expenses offset by a decrease in external services expenses in 2002. In 2000, wind-down expenses related to our former ECT research, our Rhode Island operations and the transfer of our headquarters to California totaled $3,327,000. For 2001, $1,780,000 in expenses for the Rhode Island facilities was recorded against a wind-down reserve. At December 31, 2000,we had created this wind-down reserve related to the carrying costs for the Rhode Island facilities through 2001. Even though it is the intent of the Company to dispose of these facilities at the earliest possible time, it cannot determine with certainty a fixed date by which such disposal will occur. In light of this uncertainty, for the year 2002 and beyond, the Company will record further costs as operating expenses as incurred. For the year 2002 the Company incurred $801,000 in operating expenses that was included in general and administrative expenses. The increase in general and administrative expenses of $427,000 or 13% from 2000 to 2001 was primarily attributable to the related costs of an increase in personnel, which included the hiring of senior management personnel as part of the reorganization and consolidation of our operations in California, and the costs related to leasing a larger facility.</w:t>
      </w:r>
    </w:p>
    <w:p>
      <w:pPr>
        <w:spacing w:after="0" w:line="196" w:lineRule="exact"/>
        <w:rPr>
          <w:sz w:val="20"/>
          <w:szCs w:val="20"/>
          <w:color w:val="auto"/>
        </w:rPr>
      </w:pPr>
    </w:p>
    <w:p>
      <w:pPr>
        <w:ind w:right="400" w:firstLine="324"/>
        <w:spacing w:after="0" w:line="310" w:lineRule="auto"/>
        <w:rPr>
          <w:sz w:val="20"/>
          <w:szCs w:val="20"/>
          <w:color w:val="auto"/>
        </w:rPr>
      </w:pPr>
      <w:r>
        <w:rPr>
          <w:rFonts w:ascii="Times New Roman" w:cs="Times New Roman" w:eastAsia="Times New Roman" w:hAnsi="Times New Roman"/>
          <w:sz w:val="16"/>
          <w:szCs w:val="16"/>
          <w:color w:val="auto"/>
        </w:rPr>
        <w:t>Interest income for the years ended December 31, 2002, 2001 and 2000 totaled $109,000, $201,000 and $304,000, respectively. The decrease in interest income from 2001 to 2002 was attributable to the lower interest rate on overnight and money market funds and a lower average bank balance in 2002 as compared to 2001. The decrease in interest income from 2000 to 2001 was attributable to a lower interest rate on overnight and money market funds.</w:t>
      </w:r>
    </w:p>
    <w:p>
      <w:pPr>
        <w:spacing w:after="0" w:line="178"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 2002, interest expense was $227,000, compared to $246,000 in 2001 and $273,000 in 2000. Interest expense for year 2001 was charged against the wind-down reserve, as the expense was part of the bond payments related to the Rhode Island facilities. The decrease from 2000 to 2002 was attributable to lower outstanding debt and capital lease balances.</w:t>
      </w:r>
    </w:p>
    <w:p>
      <w:pPr>
        <w:spacing w:after="0" w:line="21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Gain on sale of short-term investments in 2001 relates to the sale of Modex Therapeutics Ltd. (“Modex”) shares. On January 9, 2001, we sold 22,616 Modex shares for a net price of 182.00 Swiss francs per share, which converted to $112.76 per share, for total proceeds and a realized gain of $2,550,230. On April 30, 2001, we sold our remaining shares in Modex for a net price of 87.30 Swiss Francs per share, which converted to approximately $50.51, for total proceeds and a realized gain of $5,232,000, net of commissions and fees. After the April 2001 sale, we no longer hold any shares of Modex.</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loss before deemed dividends and cumulative effect of a change in accounting principle in 2002, 2001 and 2000 was $10,365,000, $3,446,000,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$11,125,000, respectively or, $0.41, $0.15 and $0.55 per share. The increase from 2001 to 2002 is primarily attributable to a realized gain of $7,782,000 from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 of Modex shares in 2001 and costs related to an increase in personnel in 2002, offset by a decrease in rent expense and lower cost of external services.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decrease in rent expense was the result of attaining a lower base rent through the amendment of the existing lease on our facilities in California. The lease has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rent escalation clause and accordingly, we are recognizing rent expense on a straight-line basis. The decrease in base rent for future periods resulted in a lower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rent for the term of the contract resulting in a reduction of deferred rent. The decrease in costs associated with external services was primarily attributable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lower valuation of non-qualified stock options in 2002 as compared to 2001. The decrease in loss from 2000 to 2001(before deemed dividends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cumulative effect of a change in accounting principle) was primarily attributable to a realized gain of $7,782,000 from our sale of Modex shares in 2001, offset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operating expenses attributable to an increase in personnel and our move to a larger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Dividends Related to Convertible Preferred Stock and Change in Accounting Principle</w:t>
      </w:r>
    </w:p>
    <w:p>
      <w:pPr>
        <w:spacing w:after="0" w:line="254"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color w:val="auto"/>
        </w:rPr>
        <w:t>We recorded deemed dividends of $1,280,004 and $743,667 for 2002 and 2001 respectively. The dividends are related to the 3% Cumulative Convertible Preferred Stock (see note 11 to the consolidated financial statements) which includes the accretion of common stock warrants, the accretion of the beneficial conversion feature and the accretion of related issuance costs. The aggregate accretion value associated with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beneficial conversion feature and issuance costs were included in the calculation of net loss applicable to common stockholders.</w:t>
      </w:r>
    </w:p>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2000 we recorded an initial deemed dividend aggregating $481,000 related to the 6% Cumulative Convertible Preferred Stock (see note 11 to the consolidated financial statements). The dividend reflects the value of warrants issued and the beneficial conversion feature. In November 2000, the FASB issued Emerging Issues Task Force Issue No. 00-27, “Application of EITF Issue No. 98-5, Accounting for Convertible Securities with Beneficial Conversion Features or Contingently Adjustable Conversion Ratios, to Certain Convertible Instruments” (“EITF 00-27”). Prior to the adoption of EITF 00-27, we recognized $216,000 of deemed dividends on preferred stock. Upon adoption of the new accounting principle, we have presented an additional deemed dividend of $265,000 as a cumulative effect of a change in accounting principle as allowed for in EITF 00-27.</w:t>
      </w:r>
    </w:p>
    <w:p>
      <w:pPr>
        <w:spacing w:after="0" w:line="220"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In 2001, we recorded an additional deemed dividend of $802,000 for the beneficial conversion feature of the 6% Cumulative Convertible Preferred Stock which resulted from the subsequent change to the effective conversion price of those shares due to the issuance in 2001 of adjustable warrants in connection with the common stock financing transaction with Millennium Partners, LP. (See Note 11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We had cash and cash equivalents totaling $4,236,000 at December 31, 2002. Cash equivalents are invested in US Treasuries with maturities of less than 90 days. We used $10.1 million, $10.5 million, and $6.3 million of cash, in 2002, 2001 and 2000 respectively, in our operating activities. The increase in cash used in 2001 and 2002 over 2000 is the result of the move to a larger facility and increase in personnel to facilitate our research.</w:t>
      </w:r>
    </w:p>
    <w:p>
      <w:pPr>
        <w:spacing w:after="0" w:line="21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217"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 23, 2000 at $5.53 per share. On June 8, 2001, Millennium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afore-mentioned warrants, Millennium was issued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We delivered a draw down notice to Sativum Investments Limited, dated as of 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Our placement agents have exercised their warrants in full, and we have received payment of $238,050 for the shares issued to them. In December 2002 and January 2003 we additionally drew down $113,800 and $62,778 respectively, net of the applicable discount and placement agent fee, issuing 107,812 shares and 58,516 shares on those respective occasions.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December 4, 2001, we issued 5,000 shares of 3% Cumulative Convertible Preferred Stock to Riverview Group, L.L.C., a wholly owned subsidiary of Millennium Partners. We received total proceeds of $4,727,515 net of the fee to Cantor Fitzgerald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w:t>
      </w:r>
    </w:p>
    <w:p>
      <w:pPr>
        <w:spacing w:after="0" w:line="222"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8"/>
          <w:szCs w:val="18"/>
          <w:color w:val="auto"/>
        </w:rPr>
        <w:t>On August 23, 2002, we entered into an agreement with Triton West Group, Inc. (Triton) pursuant to which we sold 1,028,038 shares of common stock to Triton for aggregate proceeds of $1,100,000, or approximately $1.07 per share.</w:t>
      </w:r>
    </w:p>
    <w:p>
      <w:pPr>
        <w:spacing w:after="0" w:line="20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continue to have outstanding obligations in regard to our former facilities in Lincoln, Rhode Island, including lease payments and operating costs of approximately $1,000,000 for 2003, net of subtenant income of $776,245.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future contractual cash obligations (excluding interest and sub-lease income):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2008 and</w:t>
            </w:r>
          </w:p>
        </w:tc>
        <w:tc>
          <w:tcPr>
            <w:tcW w:w="0" w:type="dxa"/>
            <w:vAlign w:val="bottom"/>
          </w:tcPr>
          <w:p>
            <w:pPr>
              <w:spacing w:after="0"/>
              <w:rPr>
                <w:sz w:val="1"/>
                <w:szCs w:val="1"/>
                <w:color w:val="auto"/>
              </w:rPr>
            </w:pPr>
          </w:p>
        </w:tc>
      </w:tr>
      <w:tr>
        <w:trPr>
          <w:trHeight w:val="178"/>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Beyond</w:t>
            </w:r>
          </w:p>
        </w:tc>
        <w:tc>
          <w:tcPr>
            <w:tcW w:w="0" w:type="dxa"/>
            <w:vAlign w:val="bottom"/>
          </w:tcPr>
          <w:p>
            <w:pPr>
              <w:spacing w:after="0"/>
              <w:rPr>
                <w:sz w:val="1"/>
                <w:szCs w:val="1"/>
                <w:color w:val="auto"/>
              </w:rPr>
            </w:pPr>
          </w:p>
        </w:tc>
      </w:tr>
      <w:tr>
        <w:trPr>
          <w:trHeight w:val="95"/>
        </w:trPr>
        <w:tc>
          <w:tcPr>
            <w:tcW w:w="23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2002</w:t>
            </w: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lease payments</w:t>
            </w:r>
          </w:p>
        </w:tc>
        <w:tc>
          <w:tcPr>
            <w:tcW w:w="280" w:type="dxa"/>
            <w:vAlign w:val="bottom"/>
            <w:tcBorders>
              <w:right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3,586,786</w:t>
            </w:r>
          </w:p>
        </w:tc>
        <w:tc>
          <w:tcPr>
            <w:tcW w:w="2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436,909</w:t>
            </w: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425,713</w:t>
            </w: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412,587</w:t>
            </w:r>
          </w:p>
        </w:tc>
        <w:tc>
          <w:tcPr>
            <w:tcW w:w="1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401,289</w:t>
            </w:r>
          </w:p>
        </w:tc>
        <w:tc>
          <w:tcPr>
            <w:tcW w:w="20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330,643</w:t>
            </w:r>
          </w:p>
        </w:tc>
        <w:tc>
          <w:tcPr>
            <w:tcW w:w="2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$1,579,644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payments</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17,488,244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2,888,796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2,947,335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3,007,630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1,115,186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6,591,797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Mandatorily Redeemable, 3%</w:t>
            </w:r>
          </w:p>
        </w:tc>
        <w:tc>
          <w:tcPr>
            <w:tcW w:w="280" w:type="dxa"/>
            <w:vAlign w:val="bottom"/>
            <w:tcBorders>
              <w:right w:val="single" w:sz="8" w:color="EEEEEE"/>
            </w:tcBorders>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Cumulative Convertible</w:t>
            </w: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Borders>
              <w:right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4,000,000</w:t>
            </w:r>
          </w:p>
        </w:tc>
        <w:tc>
          <w:tcPr>
            <w:tcW w:w="1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9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contractual cash</w:t>
            </w:r>
          </w:p>
        </w:tc>
        <w:tc>
          <w:tcPr>
            <w:tcW w:w="2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25,075,030</w:t>
            </w: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7,325,705</w:t>
            </w:r>
          </w:p>
        </w:tc>
        <w:tc>
          <w:tcPr>
            <w:tcW w:w="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3,373,048</w:t>
            </w:r>
          </w:p>
        </w:tc>
        <w:tc>
          <w:tcPr>
            <w:tcW w:w="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3,420,217</w:t>
            </w:r>
          </w:p>
        </w:tc>
        <w:tc>
          <w:tcPr>
            <w:tcW w:w="1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1,516,475</w:t>
            </w: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1,268,143</w:t>
            </w: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$8,171,441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400" w:firstLine="324"/>
        <w:spacing w:after="0" w:line="275"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We have not achieved profitability and may not be able to realize sufficient revenues to achieve or sustain profitability in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future. Although we have taken actions to reduce its expense rates over the last two quarters, we do not expect to be profitable in the next several years, but rather expect to incur additional operating losses. We have very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balances and are unable to realize adequate financing, we may be unable to meet operating obligations and be required to initiate bankruptcy proceedings.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Our existing capital resources are not sufficient to fund our operations through the end of the second quarter of 2003. Lack of necessary funds may require us to delay, scale back or eliminate some or all of our research and product development programs and/or our capital expenditures or to license our potential products or technologies to third parties.</w:t>
      </w:r>
    </w:p>
    <w:p>
      <w:pPr>
        <w:spacing w:after="0" w:line="22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 During 2001, we were party to a space-sharing agreement entered into between us and Celtrans, LLC. (now Cellerant, Inc.). Dr. Irving Weissman, a member of our Board of Directors and Chairman of our Scientific Advisory Board, is the founder and Chairman of Cellerant, a privately-owned biotechnology company that is also a tenant in the building in which the Company is located. Under the agreement, which was effective as of September 1, 2001, Cellerant or, with our approval, a subtenant of Cellerant, may use certain animal space in our facility, which we do not currently require for our own use. Cellerant pays the Company $16,122 per month under the space- sharing agreement, at the same rate per square foot as we receive from Stanford University, with which we also have an agreement for sharing the animal facility. In addition, Dr. Weissman remains a consultant to us under an agreement entered in 1997.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residual value guarantees issued in conjunction with operating lease agreements. It also clarifies that at the time a company issues a guarantee, the company must recognize an initial liability for the fair value of the obligation it assumes under that guarantee and must disclose that information in its interim and annual financial statements. The initial recognition and initial measurement provisions apply on a prospective basis to guarantees issued or modified after December 31, 2002. The disclosure requirements are effective for financial statements of interim or annual periods ending after December 15, 2002. The Company’s adoption of FIN 45 did not have a material impact on its consolidated results of operations and financial position.</w:t>
      </w:r>
    </w:p>
    <w:p>
      <w:pPr>
        <w:spacing w:after="0" w:line="2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December 2002, the FASB issued Statement No. 148, “Accounting for Stock-Based Compensation — Transition and Disclosure” (“FAS 148”). FAS 148 amends FAS 123 “Accounting for Stock-Based Compensation” to provide alternative methods of transition for a voluntary change to the fair value based method of accounting for stock-based employee compensation. In addition, FAS 148 amends the disclosure requirements of FAS 123 to require more prominent disclosures in both annual and interim financial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statements about the method of accounting for stock-based employee compensation and the effect of the method used on reported results. The additional disclosure requirements of FAS 148 are effective for fiscal years ending after December 15, 2002. The Company has elected to continue to follow the intrinsic value method of accounting as prescribed by Accounting Principles Board Opinion No. 25 (“APB 25”), “Accounting for Stock Issued to Employees,” to account for employee stock options.</w:t>
      </w:r>
    </w:p>
    <w:p>
      <w:pPr>
        <w:spacing w:after="0" w:line="2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January 2003, the FASB issued FASB Interpretation No. 46, “Consolidation of Variable Interest Entities, an Interpretation of ARB No. 51(“FIN46”).”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for all new variable interest entities created or acquired after January 31, 2003. The Company does not believe it has any investments in variable interest entities and does not anticipate any impact with the adoption of this interpretation.</w:t>
      </w:r>
    </w:p>
    <w:p>
      <w:pPr>
        <w:spacing w:after="0" w:line="1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Quantitive and Qualitative Disclosures About Market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 financial instruments that are sensitive to market risk.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Auditors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Consolidated Statements of Changes in Redeemable Preferred Stock and Stockholders’</w:t>
            </w:r>
          </w:p>
        </w:tc>
        <w:tc>
          <w:tcPr>
            <w:tcW w:w="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660" w:type="dxa"/>
            <w:vAlign w:val="bottom"/>
            <w:gridSpan w:val="2"/>
          </w:tcPr>
          <w:p>
            <w:pPr>
              <w:jc w:val="right"/>
              <w:ind w:right="2772"/>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ERNST &amp; YOUNG LLP, INDEPENDENT AUDITORS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52" w:lineRule="exact"/>
        <w:rPr>
          <w:sz w:val="20"/>
          <w:szCs w:val="20"/>
          <w:color w:val="auto"/>
        </w:rPr>
      </w:pPr>
    </w:p>
    <w:p>
      <w:pPr>
        <w:ind w:right="60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StemCells, Inc. as of December 31, 2002 and 2001, and the related consolidated statements of operations, changes in redeemable preferred stock and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2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StemCells, Inc. at December 31, 2002 and 2001, and the consolidated results of its operations and its cash flows for each of the three years in the period ended December 31, 2002, in conformity with accounting principles generally accepted in the United States.</w:t>
      </w:r>
    </w:p>
    <w:p>
      <w:pPr>
        <w:spacing w:after="0" w:line="21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StemCells, Inc. will continue as a going concern. As more fully described in Note 1, the Company has incurred significant operating losses and negative cash flows since inception and expects to continue to incur significant operating losses for the foreseeable future. These conditions raise substantial doubt about the Company’s ability to continue as a going concern. Management’s plans in regard to these matters are also described in Note 1.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2003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jc w:val="center"/>
              <w:ind w:left="389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4,236,367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13,697,195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 receivable</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61,941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4,404,088</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14,113,059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4,337,711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4,422,810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2,587,023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2,267,207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11,328,822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20,803,076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80" w:type="dxa"/>
            <w:vAlign w:val="bottom"/>
            <w:gridSpan w:val="6"/>
            <w:shd w:val="clear" w:color="auto" w:fill="EEEEEE"/>
          </w:tcPr>
          <w:p>
            <w:pPr>
              <w:jc w:val="center"/>
              <w:ind w:left="1432"/>
              <w:spacing w:after="0" w:line="200" w:lineRule="exact"/>
              <w:rPr>
                <w:sz w:val="20"/>
                <w:szCs w:val="20"/>
                <w:color w:val="auto"/>
              </w:rPr>
            </w:pPr>
            <w:r>
              <w:rPr>
                <w:rFonts w:ascii="Times New Roman" w:cs="Times New Roman" w:eastAsia="Times New Roman" w:hAnsi="Times New Roman"/>
                <w:sz w:val="18"/>
                <w:szCs w:val="18"/>
                <w:b w:val="1"/>
                <w:bCs w:val="1"/>
                <w:color w:val="auto"/>
                <w:w w:val="97"/>
              </w:rPr>
              <w:t>LIABILITIES, REDEEMABLE CONVERTIBLE PREFERRED STOCK,</w:t>
            </w: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580" w:type="dxa"/>
            <w:vAlign w:val="bottom"/>
            <w:gridSpan w:val="6"/>
            <w:shd w:val="clear" w:color="auto" w:fill="EEEEEE"/>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7"/>
              </w:rPr>
              <w:t>AND STOCKHOLDERS’ EQUITY</w:t>
            </w:r>
          </w:p>
        </w:tc>
        <w:tc>
          <w:tcPr>
            <w:tcW w:w="16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341,995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578,270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499,165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229,166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289,167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1,159,077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1,366,602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2,086,667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2,315,833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233,240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1,402,581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1,120,005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4,881,565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4,932,337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Convertible Preferred Stock, $0.01 par value; 1,000,000 shares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issuable in series:</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EEEEEE"/>
          </w:tcPr>
          <w:p>
            <w:pPr>
              <w:ind w:left="200"/>
              <w:spacing w:after="0" w:line="203" w:lineRule="exact"/>
              <w:rPr>
                <w:sz w:val="20"/>
                <w:szCs w:val="20"/>
                <w:color w:val="auto"/>
              </w:rPr>
            </w:pPr>
            <w:r>
              <w:rPr>
                <w:rFonts w:ascii="Times New Roman" w:cs="Times New Roman" w:eastAsia="Times New Roman" w:hAnsi="Times New Roman"/>
                <w:sz w:val="18"/>
                <w:szCs w:val="18"/>
                <w:color w:val="auto"/>
              </w:rPr>
              <w:t>3% Cumulative Convertible Redeemable Preferred Stock, 5,000</w:t>
            </w: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shares issued and 4,000 shares outstanding at December 31,</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2002, and 2001 (aggregate liquidation preference of $4,000,000</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at December 31, 2002, and 2001)</w:t>
            </w:r>
          </w:p>
        </w:tc>
        <w:tc>
          <w:tcPr>
            <w:tcW w:w="50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2,659,686</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1,379,682</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6% Cumulative Convertible Preferred Stock, 2,626 designated as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 1,500 shares issued with no shares outstanding at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2002 and 1,500 shares outstanding at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2001</w:t>
            </w:r>
          </w:p>
        </w:tc>
        <w:tc>
          <w:tcPr>
            <w:tcW w:w="500" w:type="dxa"/>
            <w:vAlign w:val="bottom"/>
          </w:tcPr>
          <w:p>
            <w:pPr>
              <w:spacing w:after="0"/>
              <w:rPr>
                <w:sz w:val="19"/>
                <w:szCs w:val="19"/>
                <w:color w:val="auto"/>
              </w:rPr>
            </w:pPr>
          </w:p>
        </w:tc>
        <w:tc>
          <w:tcPr>
            <w:tcW w:w="19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$.01 par value; 45,000,000 shares authorized;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26,860,078 and 24,220,021 shares issued and outstanding at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2002 and 2001, respectively</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149,238,207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149,180,388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8"/>
                <w:szCs w:val="18"/>
                <w:color w:val="auto"/>
              </w:rPr>
            </w:pPr>
          </w:p>
        </w:tc>
        <w:tc>
          <w:tcPr>
            <w:tcW w:w="13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w w:val="96"/>
              </w:rPr>
              <w:t>(144,661,464)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(133,944,684)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Deferred compensation</w:t>
            </w:r>
          </w:p>
        </w:tc>
        <w:tc>
          <w:tcPr>
            <w:tcW w:w="5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(1,057,773)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(2,270,097)</w:t>
            </w: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3,787,571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13,207,807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11,328,822</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20,803,076</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280"/>
          </w:cols>
          <w:pgMar w:left="240" w:top="415"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5" w:right="137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from collaborative and licensing agreements</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40,010</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grants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375,367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505,231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from assignment of rights to technology</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415,377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6,400,199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8,603,444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5,979,007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4,225,256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3,787,759</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3,361,231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Encapsulated Cell Therapy wind-down and corporate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relocation</w:t>
            </w:r>
          </w:p>
        </w:tc>
        <w:tc>
          <w:tcPr>
            <w:tcW w:w="4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3,327,360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10,625,455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12,391,203</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12,667,598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(10,210,078)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(11,585,972)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(12,593,298)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(226,723)</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(272,513)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short-term investment</w:t>
            </w: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7,782,398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1,427,686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(30,477)</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(34,218)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186,788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(154,975)</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8,139,475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1,467,821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deemed dividend and cumulative effect of</w:t>
            </w: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(10,365,053)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(3,446,497)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(11,125,477)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Deemed dividend to preferred shareholders</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(1,280,004)</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(1,545,917)</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(265,000)</w:t>
            </w:r>
          </w:p>
        </w:tc>
        <w:tc>
          <w:tcPr>
            <w:tcW w:w="0" w:type="dxa"/>
            <w:vAlign w:val="bottom"/>
          </w:tcPr>
          <w:p>
            <w:pPr>
              <w:spacing w:after="0"/>
              <w:rPr>
                <w:sz w:val="1"/>
                <w:szCs w:val="1"/>
                <w:color w:val="auto"/>
              </w:rPr>
            </w:pPr>
          </w:p>
        </w:tc>
      </w:tr>
      <w:tr>
        <w:trPr>
          <w:trHeight w:val="108"/>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applicable to common shareholders before cumulative</w:t>
            </w: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change in accounting principle</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(11,645,057)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(4,992,414)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(11,390,477)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(11,645,057)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(4,992,414)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(11,606,477)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 per share applicable to common</w:t>
            </w:r>
          </w:p>
        </w:tc>
        <w:tc>
          <w:tcPr>
            <w:tcW w:w="480" w:type="dxa"/>
            <w:vAlign w:val="bottom"/>
            <w:tcBorders>
              <w:right w:val="single" w:sz="8" w:color="EEEEEE"/>
            </w:tcBorders>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shareholders before cumulative effect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(0.46)</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(0.22)</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4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share applicable to common</w:t>
            </w:r>
          </w:p>
        </w:tc>
        <w:tc>
          <w:tcPr>
            <w:tcW w:w="480" w:type="dxa"/>
            <w:vAlign w:val="bottom"/>
            <w:tcBorders>
              <w:right w:val="single" w:sz="8" w:color="EEEEEE"/>
            </w:tcBorders>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(0.46)</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(0.22)</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05"/>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60" w:type="dxa"/>
            <w:vAlign w:val="bottom"/>
            <w:gridSpan w:val="2"/>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basic and diluted per share amounts</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25,096,252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22,241,564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20,067,760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 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AND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6"/>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80" w:type="dxa"/>
            <w:vAlign w:val="bottom"/>
            <w:vMerge w:val="restart"/>
          </w:tcPr>
          <w:p>
            <w:pPr>
              <w:spacing w:after="0"/>
              <w:rPr>
                <w:sz w:val="8"/>
                <w:szCs w:val="8"/>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vMerge w:val="restart"/>
          </w:tcPr>
          <w:p>
            <w:pPr>
              <w:spacing w:after="0"/>
              <w:rPr>
                <w:sz w:val="8"/>
                <w:szCs w:val="8"/>
                <w:color w:val="auto"/>
              </w:rPr>
            </w:pP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6"/>
                <w:szCs w:val="16"/>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24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December 31,1999</w:t>
            </w:r>
          </w:p>
        </w:tc>
        <w:tc>
          <w:tcPr>
            <w:tcW w:w="6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524,337</w:t>
            </w:r>
          </w:p>
        </w:tc>
        <w:tc>
          <w:tcPr>
            <w:tcW w:w="7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$ 5,248,610</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18,635,565</w:t>
            </w:r>
          </w:p>
        </w:tc>
        <w:tc>
          <w:tcPr>
            <w:tcW w:w="6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$186,355</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$123,917,758</w:t>
            </w:r>
          </w:p>
        </w:tc>
        <w:tc>
          <w:tcPr>
            <w:tcW w:w="60" w:type="dxa"/>
            <w:vAlign w:val="bottom"/>
            <w:shd w:val="clear" w:color="auto" w:fill="EEEEEE"/>
          </w:tcPr>
          <w:p>
            <w:pPr>
              <w:spacing w:after="0"/>
              <w:rPr>
                <w:sz w:val="14"/>
                <w:szCs w:val="14"/>
                <w:color w:val="auto"/>
              </w:rPr>
            </w:pPr>
          </w:p>
        </w:tc>
        <w:tc>
          <w:tcPr>
            <w:tcW w:w="100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 (119,372,710)</w:t>
            </w: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$(1,225,000)</w:t>
            </w:r>
          </w:p>
        </w:tc>
        <w:tc>
          <w:tcPr>
            <w:tcW w:w="42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3,506,403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ind w:left="180"/>
              <w:spacing w:after="0" w:line="136"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to Millennium</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Partners LP, net</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of issuance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$598,563</w:t>
            </w:r>
          </w:p>
        </w:tc>
        <w:tc>
          <w:tcPr>
            <w:tcW w:w="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1,104,435</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11,044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4,390,393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4,401,437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related to</w:t>
            </w:r>
          </w:p>
        </w:tc>
        <w:tc>
          <w:tcPr>
            <w:tcW w:w="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license agreements</w:t>
            </w:r>
          </w:p>
        </w:tc>
        <w:tc>
          <w:tcPr>
            <w:tcW w:w="4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77,800</w:t>
            </w:r>
          </w:p>
        </w:tc>
        <w:tc>
          <w:tcPr>
            <w:tcW w:w="6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778</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364,222</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365,000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issued pursuant to</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employee benefit</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6,672</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27,180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shd w:val="clear" w:color="auto" w:fill="EEEEEE"/>
          </w:tcPr>
          <w:p>
            <w:pPr>
              <w:ind w:left="180"/>
              <w:spacing w:after="0" w:line="136" w:lineRule="exact"/>
              <w:rPr>
                <w:sz w:val="20"/>
                <w:szCs w:val="20"/>
                <w:color w:val="auto"/>
              </w:rPr>
            </w:pPr>
            <w:r>
              <w:rPr>
                <w:rFonts w:ascii="Times New Roman" w:cs="Times New Roman" w:eastAsia="Times New Roman" w:hAnsi="Times New Roman"/>
                <w:sz w:val="14"/>
                <w:szCs w:val="14"/>
                <w:color w:val="auto"/>
              </w:rPr>
              <w:t>Exercise of</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ind w:left="32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608,078</w:t>
            </w:r>
          </w:p>
        </w:tc>
        <w:tc>
          <w:tcPr>
            <w:tcW w:w="6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6,081</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651,828</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657,909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Redeemable common</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conversion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(524,337)</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(5,248,610)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524,337</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5,243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5,243,367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5,248,610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Issuance of 6%</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4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7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1,283,250</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216,750</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216,750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Deferred</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3,555,387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(3,555,387)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Amortization of</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6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2,044,626</w:t>
            </w:r>
          </w:p>
        </w:tc>
        <w:tc>
          <w:tcPr>
            <w:tcW w:w="3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2,044,626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Unrealized gain on</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5"/>
              </w:rPr>
              <w:t>16,356,334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16,356,334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0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EEEEEE"/>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(11,125,477)</w:t>
            </w: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1"/>
              </w:rPr>
              <w:t>(11,125,477)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5,230,857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24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w:t>
            </w:r>
          </w:p>
        </w:tc>
        <w:tc>
          <w:tcPr>
            <w:tcW w:w="4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7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$1,283,250</w:t>
            </w:r>
          </w:p>
        </w:tc>
        <w:tc>
          <w:tcPr>
            <w:tcW w:w="80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20,956,887</w:t>
            </w:r>
          </w:p>
        </w:tc>
        <w:tc>
          <w:tcPr>
            <w:tcW w:w="6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$209,569</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$138,366,817</w:t>
            </w:r>
          </w:p>
        </w:tc>
        <w:tc>
          <w:tcPr>
            <w:tcW w:w="60" w:type="dxa"/>
            <w:vAlign w:val="bottom"/>
            <w:shd w:val="clear" w:color="auto" w:fill="EEEEEE"/>
          </w:tcPr>
          <w:p>
            <w:pPr>
              <w:spacing w:after="0"/>
              <w:rPr>
                <w:sz w:val="14"/>
                <w:szCs w:val="14"/>
                <w:color w:val="auto"/>
              </w:rPr>
            </w:pPr>
          </w:p>
        </w:tc>
        <w:tc>
          <w:tcPr>
            <w:tcW w:w="100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$(130,498,187)</w:t>
            </w: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w w:val="95"/>
              </w:rPr>
              <w:t>16,356,334</w:t>
            </w:r>
          </w:p>
        </w:tc>
        <w:tc>
          <w:tcPr>
            <w:tcW w:w="132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$(2,735,761)</w:t>
            </w:r>
          </w:p>
        </w:tc>
        <w:tc>
          <w:tcPr>
            <w:tcW w:w="420" w:type="dxa"/>
            <w:vAlign w:val="bottom"/>
            <w:gridSpan w:val="2"/>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w w:val="98"/>
              </w:rPr>
              <w:t>21,698,772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AND STOCKHOLDERS’ EQUITY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vMerge w:val="restart"/>
          </w:tcPr>
          <w:p>
            <w:pPr>
              <w:spacing w:after="0"/>
              <w:rPr>
                <w:sz w:val="8"/>
                <w:szCs w:val="8"/>
                <w:color w:val="auto"/>
              </w:rPr>
            </w:pP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vMerge w:val="restart"/>
          </w:tcPr>
          <w:p>
            <w:pPr>
              <w:spacing w:after="0"/>
              <w:rPr>
                <w:sz w:val="8"/>
                <w:szCs w:val="8"/>
                <w:color w:val="auto"/>
              </w:rPr>
            </w:pPr>
          </w:p>
        </w:tc>
        <w:tc>
          <w:tcPr>
            <w:tcW w:w="13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vMerge w:val="restart"/>
          </w:tcPr>
          <w:p>
            <w:pPr>
              <w:spacing w:after="0"/>
              <w:rPr>
                <w:sz w:val="8"/>
                <w:szCs w:val="8"/>
                <w:color w:val="auto"/>
              </w:rPr>
            </w:pPr>
          </w:p>
        </w:tc>
        <w:tc>
          <w:tcPr>
            <w:tcW w:w="360" w:type="dxa"/>
            <w:vAlign w:val="bottom"/>
            <w:vMerge w:val="restart"/>
          </w:tcPr>
          <w:p>
            <w:pPr>
              <w:spacing w:after="0"/>
              <w:rPr>
                <w:sz w:val="8"/>
                <w:szCs w:val="8"/>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vMerge w:val="restart"/>
          </w:tcPr>
          <w:p>
            <w:pPr>
              <w:spacing w:after="0"/>
              <w:rPr>
                <w:sz w:val="8"/>
                <w:szCs w:val="8"/>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40" w:type="dxa"/>
            <w:vAlign w:val="bottom"/>
          </w:tcPr>
          <w:p>
            <w:pPr>
              <w:spacing w:after="0"/>
              <w:rPr>
                <w:sz w:val="16"/>
                <w:szCs w:val="16"/>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at,</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December 31, 2000</w:t>
            </w:r>
          </w:p>
        </w:tc>
        <w:tc>
          <w:tcPr>
            <w:tcW w:w="50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1,500</w:t>
            </w:r>
          </w:p>
        </w:tc>
        <w:tc>
          <w:tcPr>
            <w:tcW w:w="9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$1,283,250</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20,956,887</w:t>
            </w:r>
          </w:p>
        </w:tc>
        <w:tc>
          <w:tcPr>
            <w:tcW w:w="100" w:type="dxa"/>
            <w:vAlign w:val="bottom"/>
            <w:shd w:val="clear" w:color="auto" w:fill="EEEEEE"/>
          </w:tcPr>
          <w:p>
            <w:pPr>
              <w:spacing w:after="0"/>
              <w:rPr>
                <w:sz w:val="14"/>
                <w:szCs w:val="14"/>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$209,569</w:t>
            </w:r>
          </w:p>
        </w:tc>
        <w:tc>
          <w:tcPr>
            <w:tcW w:w="80" w:type="dxa"/>
            <w:vAlign w:val="bottom"/>
            <w:shd w:val="clear" w:color="auto" w:fill="EEEEEE"/>
          </w:tcPr>
          <w:p>
            <w:pPr>
              <w:spacing w:after="0"/>
              <w:rPr>
                <w:sz w:val="14"/>
                <w:szCs w:val="14"/>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$138,366,817</w:t>
            </w:r>
          </w:p>
        </w:tc>
        <w:tc>
          <w:tcPr>
            <w:tcW w:w="160" w:type="dxa"/>
            <w:vAlign w:val="bottom"/>
            <w:shd w:val="clear" w:color="auto" w:fill="EEEEEE"/>
          </w:tcPr>
          <w:p>
            <w:pPr>
              <w:spacing w:after="0"/>
              <w:rPr>
                <w:sz w:val="14"/>
                <w:szCs w:val="14"/>
                <w:color w:val="auto"/>
              </w:rPr>
            </w:pPr>
          </w:p>
        </w:tc>
        <w:tc>
          <w:tcPr>
            <w:tcW w:w="124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$(130,498,187)</w:t>
            </w: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95"/>
              </w:rPr>
              <w:t>16,356,334</w:t>
            </w:r>
          </w:p>
        </w:tc>
        <w:tc>
          <w:tcPr>
            <w:tcW w:w="320" w:type="dxa"/>
            <w:vAlign w:val="bottom"/>
            <w:shd w:val="clear" w:color="auto" w:fill="EEEEEE"/>
          </w:tcPr>
          <w:p>
            <w:pPr>
              <w:spacing w:after="0"/>
              <w:rPr>
                <w:sz w:val="14"/>
                <w:szCs w:val="14"/>
                <w:color w:val="auto"/>
              </w:rPr>
            </w:pPr>
          </w:p>
        </w:tc>
        <w:tc>
          <w:tcPr>
            <w:tcW w:w="1440" w:type="dxa"/>
            <w:vAlign w:val="bottom"/>
            <w:gridSpan w:val="4"/>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$(2,735,761)</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$21,698,772</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related to</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financing net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 issuance cost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$396,593</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707,947</w:t>
            </w:r>
          </w:p>
        </w:tc>
        <w:tc>
          <w:tcPr>
            <w:tcW w:w="1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3,596,328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3,603,407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0" w:type="dxa"/>
            <w:vAlign w:val="bottom"/>
            <w:shd w:val="clear" w:color="auto" w:fill="EEEEEE"/>
          </w:tcPr>
          <w:p>
            <w:pPr>
              <w:spacing w:after="0"/>
              <w:rPr>
                <w:sz w:val="12"/>
                <w:szCs w:val="12"/>
                <w:color w:val="auto"/>
              </w:rPr>
            </w:pPr>
          </w:p>
        </w:tc>
        <w:tc>
          <w:tcPr>
            <w:tcW w:w="4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1,856,333</w:t>
            </w:r>
          </w:p>
        </w:tc>
        <w:tc>
          <w:tcPr>
            <w:tcW w:w="100" w:type="dxa"/>
            <w:vAlign w:val="bottom"/>
            <w:shd w:val="clear" w:color="auto" w:fill="EEEEEE"/>
          </w:tcPr>
          <w:p>
            <w:pPr>
              <w:spacing w:after="0"/>
              <w:rPr>
                <w:sz w:val="12"/>
                <w:szCs w:val="12"/>
                <w:color w:val="auto"/>
              </w:rPr>
            </w:pPr>
          </w:p>
        </w:tc>
        <w:tc>
          <w:tcPr>
            <w:tcW w:w="72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18,563</w:t>
            </w:r>
          </w:p>
        </w:tc>
        <w:tc>
          <w:tcPr>
            <w:tcW w:w="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2,230,603</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2,249,166</w:t>
            </w: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 convertible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 net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 issuance cost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$272,485</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1,542,515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3,185,000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3,185,000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to common</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5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92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(906,500)</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500,125</w:t>
            </w:r>
          </w:p>
        </w:tc>
        <w:tc>
          <w:tcPr>
            <w:tcW w:w="100" w:type="dxa"/>
            <w:vAlign w:val="bottom"/>
            <w:shd w:val="clear" w:color="auto" w:fill="EEEEEE"/>
          </w:tcPr>
          <w:p>
            <w:pPr>
              <w:spacing w:after="0"/>
              <w:rPr>
                <w:sz w:val="14"/>
                <w:szCs w:val="14"/>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80" w:type="dxa"/>
            <w:vAlign w:val="bottom"/>
            <w:shd w:val="clear" w:color="auto" w:fill="EEEEEE"/>
          </w:tcPr>
          <w:p>
            <w:pPr>
              <w:spacing w:after="0"/>
              <w:rPr>
                <w:sz w:val="14"/>
                <w:szCs w:val="14"/>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901,499</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906,500</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Accretion of</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743,667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(743,667)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(743,667)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pursuant to</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employee benefit</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28,221</w:t>
            </w:r>
          </w:p>
        </w:tc>
        <w:tc>
          <w:tcPr>
            <w:tcW w:w="100" w:type="dxa"/>
            <w:vAlign w:val="bottom"/>
            <w:shd w:val="clear" w:color="auto" w:fill="EEEEEE"/>
          </w:tcPr>
          <w:p>
            <w:pPr>
              <w:spacing w:after="0"/>
              <w:rPr>
                <w:sz w:val="14"/>
                <w:szCs w:val="14"/>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EEEEEE"/>
          </w:tcPr>
          <w:p>
            <w:pPr>
              <w:spacing w:after="0"/>
              <w:rPr>
                <w:sz w:val="14"/>
                <w:szCs w:val="14"/>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71,882</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72,165</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employee and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consultant stock</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170,508</w:t>
            </w:r>
          </w:p>
        </w:tc>
        <w:tc>
          <w:tcPr>
            <w:tcW w:w="1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242,833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244,538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Compensation expense</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 grant of</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552,349</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552,349</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4"/>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(776,744)</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Amortization of</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6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4"/>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1,242,408</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1,242,408</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Unrealized loss on</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7"/>
              </w:rPr>
              <w:t>(8,573,936)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(8,573,936)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Realized gain on short-</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term investments</w:t>
            </w:r>
          </w:p>
        </w:tc>
        <w:tc>
          <w:tcPr>
            <w:tcW w:w="8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w w:val="97"/>
              </w:rPr>
              <w:t>(7,782,398)</w:t>
            </w:r>
          </w:p>
        </w:tc>
        <w:tc>
          <w:tcPr>
            <w:tcW w:w="14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(7,782,398)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(3,446,497)</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(3,446,497)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(3,446,497)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w:t>
            </w:r>
          </w:p>
        </w:tc>
        <w:tc>
          <w:tcPr>
            <w:tcW w:w="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December 31, 2001</w:t>
            </w:r>
          </w:p>
        </w:tc>
        <w:tc>
          <w:tcPr>
            <w:tcW w:w="50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5,500</w:t>
            </w:r>
          </w:p>
        </w:tc>
        <w:tc>
          <w:tcPr>
            <w:tcW w:w="9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$2,662,932</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24,220,021</w:t>
            </w:r>
          </w:p>
        </w:tc>
        <w:tc>
          <w:tcPr>
            <w:tcW w:w="100" w:type="dxa"/>
            <w:vAlign w:val="bottom"/>
            <w:shd w:val="clear" w:color="auto" w:fill="EEEEEE"/>
          </w:tcPr>
          <w:p>
            <w:pPr>
              <w:spacing w:after="0"/>
              <w:rPr>
                <w:sz w:val="14"/>
                <w:szCs w:val="14"/>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w:t>
            </w:r>
          </w:p>
        </w:tc>
        <w:tc>
          <w:tcPr>
            <w:tcW w:w="80" w:type="dxa"/>
            <w:vAlign w:val="bottom"/>
            <w:shd w:val="clear" w:color="auto" w:fill="EEEEEE"/>
          </w:tcPr>
          <w:p>
            <w:pPr>
              <w:spacing w:after="0"/>
              <w:rPr>
                <w:sz w:val="14"/>
                <w:szCs w:val="14"/>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$149,180,388</w:t>
            </w:r>
          </w:p>
        </w:tc>
        <w:tc>
          <w:tcPr>
            <w:tcW w:w="160" w:type="dxa"/>
            <w:vAlign w:val="bottom"/>
            <w:shd w:val="clear" w:color="auto" w:fill="EEEEEE"/>
          </w:tcPr>
          <w:p>
            <w:pPr>
              <w:spacing w:after="0"/>
              <w:rPr>
                <w:sz w:val="14"/>
                <w:szCs w:val="14"/>
                <w:color w:val="auto"/>
              </w:rPr>
            </w:pPr>
          </w:p>
        </w:tc>
        <w:tc>
          <w:tcPr>
            <w:tcW w:w="124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$(133,944,684)</w:t>
            </w: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4"/>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$(2,270,097)</w:t>
            </w: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$13,207,807</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AND STOCKHOLDERS’ EQUITY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vMerge w:val="restart"/>
          </w:tcPr>
          <w:p>
            <w:pPr>
              <w:spacing w:after="0"/>
              <w:rPr>
                <w:sz w:val="8"/>
                <w:szCs w:val="8"/>
                <w:color w:val="auto"/>
              </w:rPr>
            </w:pP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vMerge w:val="restart"/>
          </w:tcPr>
          <w:p>
            <w:pPr>
              <w:spacing w:after="0"/>
              <w:rPr>
                <w:sz w:val="8"/>
                <w:szCs w:val="8"/>
                <w:color w:val="auto"/>
              </w:rPr>
            </w:pPr>
          </w:p>
        </w:tc>
        <w:tc>
          <w:tcPr>
            <w:tcW w:w="10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Comprehensive</w:t>
            </w:r>
          </w:p>
        </w:tc>
        <w:tc>
          <w:tcPr>
            <w:tcW w:w="360" w:type="dxa"/>
            <w:vAlign w:val="bottom"/>
            <w:vMerge w:val="restart"/>
          </w:tcPr>
          <w:p>
            <w:pPr>
              <w:spacing w:after="0"/>
              <w:rPr>
                <w:sz w:val="8"/>
                <w:szCs w:val="8"/>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80" w:type="dxa"/>
            <w:vAlign w:val="bottom"/>
            <w:vMerge w:val="restart"/>
          </w:tcPr>
          <w:p>
            <w:pPr>
              <w:spacing w:after="0"/>
              <w:rPr>
                <w:sz w:val="8"/>
                <w:szCs w:val="8"/>
                <w:color w:val="auto"/>
              </w:rPr>
            </w:pP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at,</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December 31, 2001</w:t>
            </w: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shd w:val="clear" w:color="auto" w:fill="EEEEEE"/>
          </w:tcPr>
          <w:p>
            <w:pPr>
              <w:spacing w:after="0"/>
              <w:rPr>
                <w:sz w:val="14"/>
                <w:szCs w:val="14"/>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$ 2,662,932</w:t>
            </w:r>
          </w:p>
        </w:tc>
        <w:tc>
          <w:tcPr>
            <w:tcW w:w="120" w:type="dxa"/>
            <w:vAlign w:val="bottom"/>
            <w:shd w:val="clear" w:color="auto" w:fill="EEEEEE"/>
          </w:tcPr>
          <w:p>
            <w:pPr>
              <w:spacing w:after="0"/>
              <w:rPr>
                <w:sz w:val="14"/>
                <w:szCs w:val="14"/>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24,220,021</w:t>
            </w:r>
          </w:p>
        </w:tc>
        <w:tc>
          <w:tcPr>
            <w:tcW w:w="120" w:type="dxa"/>
            <w:vAlign w:val="bottom"/>
            <w:shd w:val="clear" w:color="auto" w:fill="EEEEEE"/>
          </w:tcPr>
          <w:p>
            <w:pPr>
              <w:spacing w:after="0"/>
              <w:rPr>
                <w:sz w:val="14"/>
                <w:szCs w:val="14"/>
                <w:color w:val="auto"/>
              </w:rPr>
            </w:pPr>
          </w:p>
        </w:tc>
        <w:tc>
          <w:tcPr>
            <w:tcW w:w="7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w:t>
            </w:r>
          </w:p>
        </w:tc>
        <w:tc>
          <w:tcPr>
            <w:tcW w:w="60" w:type="dxa"/>
            <w:vAlign w:val="bottom"/>
            <w:shd w:val="clear" w:color="auto" w:fill="EEEEEE"/>
          </w:tcPr>
          <w:p>
            <w:pPr>
              <w:spacing w:after="0"/>
              <w:rPr>
                <w:sz w:val="14"/>
                <w:szCs w:val="14"/>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$149,180,388</w:t>
            </w:r>
          </w:p>
        </w:tc>
        <w:tc>
          <w:tcPr>
            <w:tcW w:w="180" w:type="dxa"/>
            <w:vAlign w:val="bottom"/>
            <w:shd w:val="clear" w:color="auto" w:fill="EEEEEE"/>
          </w:tcPr>
          <w:p>
            <w:pPr>
              <w:spacing w:after="0"/>
              <w:rPr>
                <w:sz w:val="14"/>
                <w:szCs w:val="14"/>
                <w:color w:val="auto"/>
              </w:rPr>
            </w:pPr>
          </w:p>
        </w:tc>
        <w:tc>
          <w:tcPr>
            <w:tcW w:w="124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$(133,944,684)</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$(2,270,097)</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13,207,807</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related to equity</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financing net of</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 $89,706</w:t>
            </w:r>
          </w:p>
        </w:tc>
        <w:tc>
          <w:tcPr>
            <w:tcW w:w="60" w:type="dxa"/>
            <w:vAlign w:val="bottom"/>
          </w:tcPr>
          <w:p>
            <w:pPr>
              <w:spacing w:after="0"/>
              <w:rPr>
                <w:sz w:val="14"/>
                <w:szCs w:val="14"/>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1,135,850</w:t>
            </w:r>
          </w:p>
        </w:tc>
        <w:tc>
          <w:tcPr>
            <w:tcW w:w="1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1,117,285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1,128,644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Dividends paid to 3%</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60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holders in stock</w:t>
            </w:r>
          </w:p>
        </w:tc>
        <w:tc>
          <w:tcPr>
            <w:tcW w:w="6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5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97,969</w:t>
            </w:r>
          </w:p>
        </w:tc>
        <w:tc>
          <w:tcPr>
            <w:tcW w:w="120" w:type="dxa"/>
            <w:vAlign w:val="bottom"/>
            <w:shd w:val="clear" w:color="auto" w:fill="EEEEEE"/>
          </w:tcPr>
          <w:p>
            <w:pPr>
              <w:spacing w:after="0"/>
              <w:rPr>
                <w:sz w:val="14"/>
                <w:szCs w:val="14"/>
                <w:color w:val="auto"/>
              </w:rPr>
            </w:pPr>
          </w:p>
        </w:tc>
        <w:tc>
          <w:tcPr>
            <w:tcW w:w="7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60" w:type="dxa"/>
            <w:vAlign w:val="bottom"/>
            <w:shd w:val="clear" w:color="auto" w:fill="EEEEEE"/>
          </w:tcPr>
          <w:p>
            <w:pPr>
              <w:spacing w:after="0"/>
              <w:rPr>
                <w:sz w:val="14"/>
                <w:szCs w:val="14"/>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128,290</w:t>
            </w:r>
          </w:p>
        </w:tc>
        <w:tc>
          <w:tcPr>
            <w:tcW w:w="180" w:type="dxa"/>
            <w:vAlign w:val="bottom"/>
            <w:shd w:val="clear" w:color="auto" w:fill="EEEEEE"/>
          </w:tcPr>
          <w:p>
            <w:pPr>
              <w:spacing w:after="0"/>
              <w:rPr>
                <w:sz w:val="14"/>
                <w:szCs w:val="14"/>
                <w:color w:val="auto"/>
              </w:rPr>
            </w:pPr>
          </w:p>
        </w:tc>
        <w:tc>
          <w:tcPr>
            <w:tcW w:w="124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(129,270)</w:t>
            </w:r>
          </w:p>
        </w:tc>
        <w:tc>
          <w:tcPr>
            <w:tcW w:w="160" w:type="dxa"/>
            <w:vAlign w:val="bottom"/>
            <w:shd w:val="clear" w:color="auto" w:fill="EEEEEE"/>
          </w:tcPr>
          <w:p>
            <w:pPr>
              <w:spacing w:after="0"/>
              <w:rPr>
                <w:sz w:val="14"/>
                <w:szCs w:val="14"/>
                <w:color w:val="auto"/>
              </w:rPr>
            </w:pPr>
          </w:p>
        </w:tc>
        <w:tc>
          <w:tcPr>
            <w:tcW w:w="280" w:type="dxa"/>
            <w:vAlign w:val="bottom"/>
            <w:tcBorders>
              <w:right w:val="single" w:sz="8" w:color="EEEEEE"/>
            </w:tcBorders>
            <w:shd w:val="clear" w:color="auto" w:fill="EEEEEE"/>
          </w:tcPr>
          <w:p>
            <w:pPr>
              <w:spacing w:after="0"/>
              <w:rPr>
                <w:sz w:val="14"/>
                <w:szCs w:val="14"/>
                <w:color w:val="auto"/>
              </w:rPr>
            </w:pP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to common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(1,283,250)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1,252,244</w:t>
            </w:r>
          </w:p>
        </w:tc>
        <w:tc>
          <w:tcPr>
            <w:tcW w:w="1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12,522</w:t>
            </w:r>
          </w:p>
        </w:tc>
        <w:tc>
          <w:tcPr>
            <w:tcW w:w="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1,493,185</w:t>
            </w:r>
          </w:p>
        </w:tc>
        <w:tc>
          <w:tcPr>
            <w:tcW w:w="18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(222,457)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1,283,250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Accretion of redeemable</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6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1,280,004</w:t>
            </w:r>
          </w:p>
        </w:tc>
        <w:tc>
          <w:tcPr>
            <w:tcW w:w="1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(1,280,004)</w:t>
            </w:r>
          </w:p>
        </w:tc>
        <w:tc>
          <w:tcPr>
            <w:tcW w:w="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80" w:type="dxa"/>
            <w:vAlign w:val="bottom"/>
            <w:tcBorders>
              <w:right w:val="single" w:sz="8" w:color="EEEEEE"/>
            </w:tcBorders>
            <w:shd w:val="clear" w:color="auto" w:fill="EEEEEE"/>
          </w:tcPr>
          <w:p>
            <w:pPr>
              <w:spacing w:after="0"/>
              <w:rPr>
                <w:sz w:val="14"/>
                <w:szCs w:val="14"/>
                <w:color w:val="auto"/>
              </w:rPr>
            </w:pP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(1,280,004)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external services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61,419</w:t>
            </w:r>
          </w:p>
        </w:tc>
        <w:tc>
          <w:tcPr>
            <w:tcW w:w="1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90,913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pursuant to employee</w:t>
            </w:r>
          </w:p>
        </w:tc>
        <w:tc>
          <w:tcPr>
            <w:tcW w:w="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60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benefit plan</w:t>
            </w:r>
          </w:p>
        </w:tc>
        <w:tc>
          <w:tcPr>
            <w:tcW w:w="6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44,988</w:t>
            </w:r>
          </w:p>
        </w:tc>
        <w:tc>
          <w:tcPr>
            <w:tcW w:w="120" w:type="dxa"/>
            <w:vAlign w:val="bottom"/>
            <w:shd w:val="clear" w:color="auto" w:fill="EEEEEE"/>
          </w:tcPr>
          <w:p>
            <w:pPr>
              <w:spacing w:after="0"/>
              <w:rPr>
                <w:sz w:val="14"/>
                <w:szCs w:val="14"/>
                <w:color w:val="auto"/>
              </w:rPr>
            </w:pPr>
          </w:p>
        </w:tc>
        <w:tc>
          <w:tcPr>
            <w:tcW w:w="7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60" w:type="dxa"/>
            <w:vAlign w:val="bottom"/>
            <w:shd w:val="clear" w:color="auto" w:fill="EEEEEE"/>
          </w:tcPr>
          <w:p>
            <w:pPr>
              <w:spacing w:after="0"/>
              <w:rPr>
                <w:sz w:val="14"/>
                <w:szCs w:val="14"/>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56,015</w:t>
            </w:r>
          </w:p>
        </w:tc>
        <w:tc>
          <w:tcPr>
            <w:tcW w:w="1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80" w:type="dxa"/>
            <w:vAlign w:val="bottom"/>
            <w:tcBorders>
              <w:right w:val="single" w:sz="8" w:color="EEEEEE"/>
            </w:tcBorders>
            <w:shd w:val="clear" w:color="auto" w:fill="EEEEEE"/>
          </w:tcPr>
          <w:p>
            <w:pPr>
              <w:spacing w:after="0"/>
              <w:rPr>
                <w:sz w:val="14"/>
                <w:szCs w:val="14"/>
                <w:color w:val="auto"/>
              </w:rPr>
            </w:pP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56,465</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Exercise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employee and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consultant stock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4"/>
                <w:szCs w:val="14"/>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47,587</w:t>
            </w:r>
          </w:p>
        </w:tc>
        <w:tc>
          <w:tcPr>
            <w:tcW w:w="1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Compensation expense</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from grant of options</w:t>
            </w:r>
          </w:p>
        </w:tc>
        <w:tc>
          <w:tcPr>
            <w:tcW w:w="6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124,689</w:t>
            </w:r>
          </w:p>
        </w:tc>
        <w:tc>
          <w:tcPr>
            <w:tcW w:w="1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80" w:type="dxa"/>
            <w:vAlign w:val="bottom"/>
            <w:tcBorders>
              <w:right w:val="single" w:sz="8" w:color="EEEEEE"/>
            </w:tcBorders>
            <w:shd w:val="clear" w:color="auto" w:fill="EEEEEE"/>
          </w:tcPr>
          <w:p>
            <w:pPr>
              <w:spacing w:after="0"/>
              <w:rPr>
                <w:sz w:val="14"/>
                <w:szCs w:val="14"/>
                <w:color w:val="auto"/>
              </w:rPr>
            </w:pP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124,689</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60" w:type="dxa"/>
            <w:vAlign w:val="bottom"/>
          </w:tcPr>
          <w:p>
            <w:pPr>
              <w:spacing w:after="0"/>
              <w:rPr>
                <w:sz w:val="12"/>
                <w:szCs w:val="12"/>
                <w:color w:val="auto"/>
              </w:rPr>
            </w:pPr>
          </w:p>
        </w:tc>
        <w:tc>
          <w:tcPr>
            <w:tcW w:w="4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(1,681,413)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1,681,413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Amortization of deferred</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shd w:val="clear" w:color="auto" w:fill="EEEEEE"/>
          </w:tcPr>
          <w:p>
            <w:pPr>
              <w:spacing w:after="0"/>
              <w:rPr>
                <w:sz w:val="14"/>
                <w:szCs w:val="14"/>
                <w:color w:val="auto"/>
              </w:rPr>
            </w:pPr>
          </w:p>
        </w:tc>
        <w:tc>
          <w:tcPr>
            <w:tcW w:w="420" w:type="dxa"/>
            <w:vAlign w:val="bottom"/>
            <w:gridSpan w:val="2"/>
            <w:shd w:val="clear" w:color="auto" w:fill="EEEEEE"/>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6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80" w:type="dxa"/>
            <w:vAlign w:val="bottom"/>
            <w:tcBorders>
              <w:right w:val="single" w:sz="8" w:color="EEEEEE"/>
            </w:tcBorders>
            <w:shd w:val="clear" w:color="auto" w:fill="EEEEEE"/>
          </w:tcPr>
          <w:p>
            <w:pPr>
              <w:spacing w:after="0"/>
              <w:rPr>
                <w:sz w:val="14"/>
                <w:szCs w:val="14"/>
                <w:color w:val="auto"/>
              </w:rPr>
            </w:pP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(469,089)</w:t>
            </w:r>
          </w:p>
        </w:tc>
        <w:tc>
          <w:tcPr>
            <w:tcW w:w="1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(469,089)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5"/>
                <w:szCs w:val="15"/>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(10,365,053)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3"/>
              </w:rPr>
              <w:t>(10,365,053)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50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December 31,</w:t>
            </w:r>
          </w:p>
        </w:tc>
        <w:tc>
          <w:tcPr>
            <w:tcW w:w="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60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2002</w:t>
            </w: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EEEEEE"/>
          </w:tcPr>
          <w:p>
            <w:pPr>
              <w:spacing w:after="0"/>
              <w:rPr>
                <w:sz w:val="14"/>
                <w:szCs w:val="14"/>
                <w:color w:val="auto"/>
              </w:rPr>
            </w:pPr>
          </w:p>
        </w:tc>
        <w:tc>
          <w:tcPr>
            <w:tcW w:w="9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$ 2,659,686</w:t>
            </w:r>
          </w:p>
        </w:tc>
        <w:tc>
          <w:tcPr>
            <w:tcW w:w="120" w:type="dxa"/>
            <w:vAlign w:val="bottom"/>
            <w:shd w:val="clear" w:color="auto" w:fill="EEEEEE"/>
          </w:tcPr>
          <w:p>
            <w:pPr>
              <w:spacing w:after="0"/>
              <w:rPr>
                <w:sz w:val="14"/>
                <w:szCs w:val="14"/>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26,860,078</w:t>
            </w:r>
          </w:p>
        </w:tc>
        <w:tc>
          <w:tcPr>
            <w:tcW w:w="120" w:type="dxa"/>
            <w:vAlign w:val="bottom"/>
            <w:shd w:val="clear" w:color="auto" w:fill="EEEEEE"/>
          </w:tcPr>
          <w:p>
            <w:pPr>
              <w:spacing w:after="0"/>
              <w:rPr>
                <w:sz w:val="14"/>
                <w:szCs w:val="14"/>
                <w:color w:val="auto"/>
              </w:rPr>
            </w:pPr>
          </w:p>
        </w:tc>
        <w:tc>
          <w:tcPr>
            <w:tcW w:w="7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$268,601</w:t>
            </w:r>
          </w:p>
        </w:tc>
        <w:tc>
          <w:tcPr>
            <w:tcW w:w="60" w:type="dxa"/>
            <w:vAlign w:val="bottom"/>
            <w:shd w:val="clear" w:color="auto" w:fill="EEEEEE"/>
          </w:tcPr>
          <w:p>
            <w:pPr>
              <w:spacing w:after="0"/>
              <w:rPr>
                <w:sz w:val="14"/>
                <w:szCs w:val="14"/>
                <w:color w:val="auto"/>
              </w:rPr>
            </w:pPr>
          </w:p>
        </w:tc>
        <w:tc>
          <w:tcPr>
            <w:tcW w:w="10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$149,238,207</w:t>
            </w:r>
          </w:p>
        </w:tc>
        <w:tc>
          <w:tcPr>
            <w:tcW w:w="180" w:type="dxa"/>
            <w:vAlign w:val="bottom"/>
            <w:shd w:val="clear" w:color="auto" w:fill="EEEEEE"/>
          </w:tcPr>
          <w:p>
            <w:pPr>
              <w:spacing w:after="0"/>
              <w:rPr>
                <w:sz w:val="14"/>
                <w:szCs w:val="14"/>
                <w:color w:val="auto"/>
              </w:rPr>
            </w:pPr>
          </w:p>
        </w:tc>
        <w:tc>
          <w:tcPr>
            <w:tcW w:w="124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$(144,661,464)</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$(1,057,773)</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3,787,571</w:t>
            </w:r>
          </w:p>
        </w:tc>
        <w:tc>
          <w:tcPr>
            <w:tcW w:w="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before deemed dividend and cumulative effect of</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(10,365,053)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(3,446,497)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(11,125,477)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loss before deemed dividend and</w:t>
            </w:r>
          </w:p>
        </w:tc>
        <w:tc>
          <w:tcPr>
            <w:tcW w:w="4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cumulative effect of change in accounting principal to net</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48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860" w:type="dxa"/>
            <w:vAlign w:val="bottom"/>
            <w:tcBorders>
              <w:right w:val="single" w:sz="8" w:color="EEEEEE"/>
            </w:tcBorders>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402,190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648,273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Changes in deferred compensation</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(469,089)</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1,242,408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2,044,627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 of options in exchange for services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563,872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Gain on sale of short-term investments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(7,782,398)</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(1,427,686)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sale of rights to technology</w:t>
            </w: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receivable</w:t>
            </w:r>
          </w:p>
        </w:tc>
        <w:tc>
          <w:tcPr>
            <w:tcW w:w="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(12,351)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(49,590)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258,807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162,873</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315,213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assets, net</w:t>
            </w:r>
          </w:p>
        </w:tc>
        <w:tc>
          <w:tcPr>
            <w:tcW w:w="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(379,572)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(196,432)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(147,524)</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(1,919,195)</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(92,255)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rent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282,575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Deposits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103,345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(10,087,305)</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4"/>
              </w:rPr>
              <w:t>(10,515,967)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(6,318,104)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7,782,398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1,427,686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(222,335)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(334,321)</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(151,212)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Proceeds on sale of fixed assets</w:t>
            </w: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Acquisition of other assets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(50,344)</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(886,751)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rights to technology, net</w:t>
            </w:r>
          </w:p>
        </w:tc>
        <w:tc>
          <w:tcPr>
            <w:tcW w:w="4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(222,335)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7,738,528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389,723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1,128,644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5,852,573</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4,401,437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685,089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for agreements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stock, net</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4,727,515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 in debt service fund</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609,905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debt and lease obligations</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(289,167)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(332,083)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(324,167)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848,812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10,405,687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7,237,264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(9,460,828)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7,628,248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1,308,883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13,697,195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6,068,947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4,760,064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4,236,367</w:t>
            </w:r>
          </w:p>
        </w:tc>
        <w:tc>
          <w:tcPr>
            <w:tcW w:w="3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13,697,195</w:t>
            </w: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6,068,947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226,722</w:t>
            </w:r>
          </w:p>
        </w:tc>
        <w:tc>
          <w:tcPr>
            <w:tcW w:w="3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246,328</w:t>
            </w: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860"/>
          </w:cols>
          <w:pgMar w:left="240" w:top="415" w:right="79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2002</w:t>
      </w:r>
    </w:p>
    <w:p>
      <w:pPr>
        <w:spacing w:after="0" w:line="25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100" w:firstLine="324"/>
        <w:spacing w:after="0" w:line="296" w:lineRule="auto"/>
        <w:rPr>
          <w:sz w:val="20"/>
          <w:szCs w:val="20"/>
          <w:color w:val="auto"/>
        </w:rPr>
      </w:pPr>
      <w:r>
        <w:rPr>
          <w:rFonts w:ascii="Times New Roman" w:cs="Times New Roman" w:eastAsia="Times New Roman" w:hAnsi="Times New Roman"/>
          <w:sz w:val="16"/>
          <w:szCs w:val="16"/>
          <w:color w:val="auto"/>
        </w:rPr>
        <w:t>StemCells, Inc. (the “Company”) is a biopharmaceutical company that operates in one segment, engaged in the development of novel stem cell therapies designed to treat human diseases and disorders. The accompanying financial statements have been prepared on the basis that the Company will continue as a going concern. Since inception, the Company has incurred annual losses and negative cash flows from operations and has an accumulated deficit of approximately $144.7 million at December 31, 2002. The Company has not derived revenues from the sale of products, and does not expect to receive revenues from product sales for at least several years. It may not be able to realize sufficient revenues to achieve or sustain profitability in the future.</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StemCells has taken actions to reduce its expenses over the last two quarters, it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balances and is unable to realize adequate financing, it may be unable to meet operating obligations and be required to initiate bankruptcy proceedings. The Company’s existing capital resources are not sufficient to fund its operations through the end of the second quarter of 2003.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ind w:right="540" w:firstLine="324"/>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40" w:firstLine="324"/>
        <w:spacing w:after="0" w:line="339"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ind w:right="420" w:firstLine="324"/>
        <w:spacing w:after="0" w:line="275" w:lineRule="auto"/>
        <w:rPr>
          <w:sz w:val="20"/>
          <w:szCs w:val="20"/>
          <w:color w:val="auto"/>
        </w:rPr>
      </w:pPr>
      <w:r>
        <w:rPr>
          <w:rFonts w:ascii="Times New Roman" w:cs="Times New Roman" w:eastAsia="Times New Roman" w:hAnsi="Times New Roman"/>
          <w:sz w:val="18"/>
          <w:szCs w:val="18"/>
          <w:color w:val="auto"/>
        </w:rPr>
        <w:t>The Company considers cash equivalents to be only those investments that are highly liquid, readily convertible to cash and which mature within three months from the date of purchase.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25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Therapeutics Ltd (“Modex”). The Company sold all of its shares of Modex in 2001 for a realized gain of $7.8 million. The Company no longer holds any available-for-sale securities.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56"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The Company has no items of other comprehensive income therefore comprehensive income (loss) equals net income (loss).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640" w:type="dxa"/>
            <w:vAlign w:val="bottom"/>
            <w:shd w:val="clear" w:color="auto" w:fill="EEEEEE"/>
          </w:tcPr>
          <w:p>
            <w:pPr>
              <w:ind w:left="2360"/>
              <w:spacing w:after="0"/>
              <w:rPr>
                <w:sz w:val="20"/>
                <w:szCs w:val="20"/>
                <w:color w:val="auto"/>
              </w:rPr>
            </w:pPr>
            <w:r>
              <w:rPr>
                <w:rFonts w:ascii="Times New Roman" w:cs="Times New Roman" w:eastAsia="Times New Roman" w:hAnsi="Times New Roman"/>
                <w:sz w:val="18"/>
                <w:szCs w:val="18"/>
                <w:color w:val="auto"/>
              </w:rPr>
              <w:t>3–15 years</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40" w:type="dxa"/>
            <w:vAlign w:val="bottom"/>
            <w:shd w:val="clear" w:color="auto" w:fill="EEEEEE"/>
          </w:tcPr>
          <w:p>
            <w:pPr>
              <w:ind w:left="2360"/>
              <w:spacing w:after="0"/>
              <w:rPr>
                <w:sz w:val="20"/>
                <w:szCs w:val="20"/>
                <w:color w:val="auto"/>
              </w:rPr>
            </w:pPr>
            <w:r>
              <w:rPr>
                <w:rFonts w:ascii="Times New Roman" w:cs="Times New Roman" w:eastAsia="Times New Roman" w:hAnsi="Times New Roman"/>
                <w:sz w:val="18"/>
                <w:szCs w:val="18"/>
                <w:color w:val="auto"/>
              </w:rPr>
              <w:t>3–10 years</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Leasehold improvements are amortized on a straight-line basis over the shorter of their estimated useful lives or lease terms.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adopted FAS No. 144, “Accounting for the Impairment or Disposal of Long-lived Assets,” at the beginning of 2002. As permitted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transition rules of FAS No. 144, long-lived assets classified as held for sale as a result of activities that were initiated prior to this Statement’s initial application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continue to be accounted for in accordance with FAS No. 121. If however, the criteria for classifying long-lived assets held for sale under FAS No. 144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met by the end of the fiscal year in which this Statement is initially applied, the related long-lived assets shall be reclassified as held and used.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2002, the criteria under FAS No. 144 for classifying the Company’s long-lived assets held for sale were not met and accordingly, such assets with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of $3,203,491 at December 31, 2001 were reclassified as held and used on the balance sheet for all periods presented and are included in Property, Plant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net.</w:t>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Patent and License Costs</w:t>
      </w:r>
    </w:p>
    <w:p>
      <w:pPr>
        <w:spacing w:after="0" w:line="25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Prior to fiscal year 2001, the Company capitalized certain patent costs related to patent applications. Accumulated costs were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Effective in 2001 the Company expenses all patent costs as incurred. At December 31, 2002 and 2001, total costs capitalized were $980,000 and the related accumulated amortization was $180,000 and $125,000, respectively. The increase in year 2001 was a result of a reclassification from licenses to patents. Patent expense totaled $650,000, $647,000, and $305,000 in 2002, 2001 and 2000, respectively. License costs are capitalized and amortized over the period of the license agreement.</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201"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6"/>
          <w:szCs w:val="16"/>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 (in thousands, except per share amounts):</w:t>
      </w:r>
    </w:p>
    <w:p>
      <w:pPr>
        <w:spacing w:after="0" w:line="371"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Net loss applicable to common stockholders — as</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reported</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(11,645,057)</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9"/>
              </w:rPr>
              <w:t>(4,992,414)</w:t>
            </w:r>
          </w:p>
        </w:tc>
        <w:tc>
          <w:tcPr>
            <w:tcW w:w="220" w:type="dxa"/>
            <w:vAlign w:val="bottom"/>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(11,606,477)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Stock-based employee/ director</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 included in reported net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143,002</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491,706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Deduct: Total stock-based employee/director</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compensation expense under the fair value based</w:t>
            </w: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method for all awards</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(619,631)</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9"/>
              </w:rPr>
              <w:t>(2,246,983)</w:t>
            </w:r>
          </w:p>
        </w:tc>
        <w:tc>
          <w:tcPr>
            <w:tcW w:w="220" w:type="dxa"/>
            <w:vAlign w:val="bottom"/>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(1,182,774)</w:t>
            </w:r>
          </w:p>
        </w:tc>
        <w:tc>
          <w:tcPr>
            <w:tcW w:w="0" w:type="dxa"/>
            <w:vAlign w:val="bottom"/>
          </w:tcPr>
          <w:p>
            <w:pPr>
              <w:spacing w:after="0"/>
              <w:rPr>
                <w:sz w:val="1"/>
                <w:szCs w:val="1"/>
                <w:color w:val="auto"/>
              </w:rPr>
            </w:pPr>
          </w:p>
        </w:tc>
      </w:tr>
      <w:tr>
        <w:trPr>
          <w:trHeight w:val="10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 pro</w:t>
            </w: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(12,121,686)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(6,747,691)</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(12,641,752)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share applicable to</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common stockholders — as reported</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(0.46)</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share applicable to</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stockholders — pro forma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Shares used in Basic and Diluted loss per share</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amounts</w:t>
            </w:r>
          </w:p>
        </w:tc>
        <w:tc>
          <w:tcPr>
            <w:tcW w:w="400" w:type="dxa"/>
            <w:vAlign w:val="bottom"/>
            <w:shd w:val="clear" w:color="auto" w:fill="EEEEEE"/>
          </w:tcPr>
          <w:p>
            <w:pPr>
              <w:spacing w:after="0"/>
              <w:rPr>
                <w:sz w:val="20"/>
                <w:szCs w:val="20"/>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25,096,252</w:t>
            </w:r>
          </w:p>
        </w:tc>
        <w:tc>
          <w:tcPr>
            <w:tcW w:w="3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22,241,564</w:t>
            </w: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20,067,760</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21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stock options granted to non-employees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Long Lived Assets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residual value guarantees issued in conjunction with operating lease agreements. It also clarifies that at the time a company issues a guarantee, the company must recognize an initial liability for the fair value of the obligation it assumes under that guarantee and must disclose that information in its interim and annual financial statements. The initial recognition and initial measurement provisions apply on a prospective basis to guarantees issued or modified after December 31, 2002. The disclosure requirements are effective for financial statements of interim or annual periods ending after December 15, 2002. The Company’s adoption of FIN 45 did not have a material impact on its consolidated results of operations and financial position.</w:t>
      </w:r>
    </w:p>
    <w:p>
      <w:pPr>
        <w:spacing w:after="0" w:line="2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2002, the FASB issued Statement No. 148, “Accounting for Stock-Based Compensation — Transition and Disclosure” (“FAS 148”). FAS 148 amends FAS 123 “Accounting for Stock-Based Compensation” to provide alternative methods of transition for a voluntary change to the fair value based method of accounting for stock-based employee compensation. In addition, FAS 148 amends the disclosure requirements of FAS 123 to require more prominent disclosures in both annual and interim financial statements about the method of accounting for stock-based employee compensation and the effect of the method used on reported results. The additional disclosure requirements of FAS 148 are effective for fiscal years ending after December 15, 2002. The Company has elected to continue to follow the intrinsic value method of accounting as prescribed by Accounting Principles Board Opinion No. 25 (“APB 25”), “Accounting for Stock Issued to Employees,” to account for employee stock options.</w:t>
      </w:r>
    </w:p>
    <w:p>
      <w:pPr>
        <w:spacing w:after="0" w:line="22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In January 2003, the FASB issued FASB Interpretation No. 46, “Consolidation of Variable Interest Entities, an Interpretation of ARB No. 51(“FIN 46”).”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for all new variable interest entities created or acquired after January 31, 2003. The Company does not believe it has any investments in variable interest entities and does not anticipate any impact with the adoption of this interpretation.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ind w:right="460" w:firstLine="324"/>
        <w:spacing w:after="0" w:line="275"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ind w:right="100" w:firstLine="324"/>
        <w:spacing w:after="0" w:line="262" w:lineRule="auto"/>
        <w:rPr>
          <w:sz w:val="20"/>
          <w:szCs w:val="20"/>
          <w:color w:val="auto"/>
        </w:rPr>
      </w:pPr>
      <w:r>
        <w:rPr>
          <w:rFonts w:ascii="Times New Roman" w:cs="Times New Roman" w:eastAsia="Times New Roman" w:hAnsi="Times New Roman"/>
          <w:sz w:val="18"/>
          <w:szCs w:val="18"/>
          <w:color w:val="auto"/>
        </w:rPr>
        <w:t>Basic and diluted net loss per share has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w:t>
      </w:r>
    </w:p>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2000</w:t>
            </w: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amounts)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(11,645)</w:t>
            </w:r>
          </w:p>
        </w:tc>
        <w:tc>
          <w:tcPr>
            <w:tcW w:w="7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w w:val="98"/>
              </w:rPr>
              <w:t>(4,992)</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177"/>
              <w:spacing w:after="0"/>
              <w:rPr>
                <w:sz w:val="20"/>
                <w:szCs w:val="20"/>
                <w:color w:val="auto"/>
              </w:rPr>
            </w:pPr>
            <w:r>
              <w:rPr>
                <w:rFonts w:ascii="Times New Roman" w:cs="Times New Roman" w:eastAsia="Times New Roman" w:hAnsi="Times New Roman"/>
                <w:sz w:val="18"/>
                <w:szCs w:val="18"/>
                <w:color w:val="auto"/>
                <w:w w:val="94"/>
              </w:rPr>
              <w:t>(11,606)</w:t>
            </w:r>
          </w:p>
        </w:tc>
      </w:tr>
      <w:tr>
        <w:trPr>
          <w:trHeight w:val="202"/>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 amounts</w:t>
            </w:r>
          </w:p>
        </w:tc>
        <w:tc>
          <w:tcPr>
            <w:tcW w:w="320" w:type="dxa"/>
            <w:vAlign w:val="bottom"/>
          </w:tcPr>
          <w:p>
            <w:pPr>
              <w:spacing w:after="0"/>
              <w:rPr>
                <w:sz w:val="19"/>
                <w:szCs w:val="19"/>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25,096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w w:val="92"/>
              </w:rPr>
              <w:t>22,242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20,068</w:t>
            </w:r>
          </w:p>
        </w:tc>
      </w:tr>
      <w:tr>
        <w:trPr>
          <w:trHeight w:val="204"/>
        </w:trPr>
        <w:tc>
          <w:tcPr>
            <w:tcW w:w="20" w:type="dxa"/>
            <w:vAlign w:val="bottom"/>
          </w:tcPr>
          <w:p>
            <w:pPr>
              <w:spacing w:after="0"/>
              <w:rPr>
                <w:sz w:val="17"/>
                <w:szCs w:val="17"/>
                <w:color w:val="auto"/>
              </w:rPr>
            </w:pPr>
          </w:p>
        </w:tc>
        <w:tc>
          <w:tcPr>
            <w:tcW w:w="52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Basic and diluted net loss per share applicable to common</w:t>
            </w:r>
          </w:p>
        </w:tc>
        <w:tc>
          <w:tcPr>
            <w:tcW w:w="3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7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177"/>
              <w:spacing w:after="0"/>
              <w:rPr>
                <w:sz w:val="20"/>
                <w:szCs w:val="20"/>
                <w:color w:val="auto"/>
              </w:rPr>
            </w:pPr>
            <w:r>
              <w:rPr>
                <w:rFonts w:ascii="Times New Roman" w:cs="Times New Roman" w:eastAsia="Times New Roman" w:hAnsi="Times New Roman"/>
                <w:sz w:val="18"/>
                <w:szCs w:val="18"/>
                <w:color w:val="auto"/>
              </w:rPr>
              <w:t>(0.58)</w:t>
            </w:r>
          </w:p>
        </w:tc>
      </w:tr>
    </w:tbl>
    <w:p>
      <w:pPr>
        <w:spacing w:after="0" w:line="229"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8"/>
          <w:szCs w:val="18"/>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4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60" w:type="dxa"/>
            <w:vAlign w:val="bottom"/>
            <w:shd w:val="clear" w:color="auto" w:fill="EEEEEE"/>
          </w:tcPr>
          <w:p>
            <w:pPr>
              <w:jc w:val="right"/>
              <w:ind w:right="257"/>
              <w:spacing w:after="0"/>
              <w:rPr>
                <w:sz w:val="20"/>
                <w:szCs w:val="20"/>
                <w:color w:val="auto"/>
              </w:rPr>
            </w:pPr>
            <w:r>
              <w:rPr>
                <w:rFonts w:ascii="Times New Roman" w:cs="Times New Roman" w:eastAsia="Times New Roman" w:hAnsi="Times New Roman"/>
                <w:sz w:val="18"/>
                <w:szCs w:val="18"/>
                <w:color w:val="auto"/>
              </w:rPr>
              <w:t>2,000,000</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2,856,192</w:t>
            </w:r>
          </w:p>
        </w:tc>
        <w:tc>
          <w:tcPr>
            <w:tcW w:w="16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806,690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4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4,294,050</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3,652,560</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2,716,966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460" w:type="dxa"/>
            <w:vAlign w:val="bottom"/>
            <w:shd w:val="clear" w:color="auto" w:fill="EEEEEE"/>
          </w:tcPr>
          <w:p>
            <w:pPr>
              <w:jc w:val="right"/>
              <w:ind w:right="257"/>
              <w:spacing w:after="0"/>
              <w:rPr>
                <w:sz w:val="20"/>
                <w:szCs w:val="20"/>
                <w:color w:val="auto"/>
              </w:rPr>
            </w:pPr>
            <w:r>
              <w:rPr>
                <w:rFonts w:ascii="Times New Roman" w:cs="Times New Roman" w:eastAsia="Times New Roman" w:hAnsi="Times New Roman"/>
                <w:sz w:val="18"/>
                <w:szCs w:val="18"/>
                <w:color w:val="auto"/>
              </w:rPr>
              <w:t>1,074,593</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1,056,687</w:t>
            </w:r>
          </w:p>
        </w:tc>
        <w:tc>
          <w:tcPr>
            <w:tcW w:w="16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252,595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4"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201" w:lineRule="exact"/>
        <w:rPr>
          <w:sz w:val="20"/>
          <w:szCs w:val="20"/>
          <w:color w:val="auto"/>
        </w:rPr>
      </w:pPr>
    </w:p>
    <w:p>
      <w:pPr>
        <w:ind w:firstLine="324"/>
        <w:spacing w:after="0" w:line="293" w:lineRule="auto"/>
        <w:rPr>
          <w:sz w:val="20"/>
          <w:szCs w:val="20"/>
          <w:color w:val="auto"/>
        </w:rPr>
      </w:pPr>
      <w:r>
        <w:rPr>
          <w:rFonts w:ascii="Times New Roman" w:cs="Times New Roman" w:eastAsia="Times New Roman" w:hAnsi="Times New Roman"/>
          <w:sz w:val="16"/>
          <w:szCs w:val="16"/>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2"/>
                <w:szCs w:val="22"/>
                <w:color w:val="auto"/>
              </w:rPr>
            </w:pPr>
          </w:p>
        </w:tc>
        <w:tc>
          <w:tcPr>
            <w:tcW w:w="18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$ 3,918,889</w:t>
            </w:r>
          </w:p>
        </w:tc>
        <w:tc>
          <w:tcPr>
            <w:tcW w:w="8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$ 3,918,889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2,077,563</w:t>
            </w:r>
          </w:p>
        </w:tc>
        <w:tc>
          <w:tcPr>
            <w:tcW w:w="80" w:type="dxa"/>
            <w:vAlign w:val="bottom"/>
          </w:tcPr>
          <w:p>
            <w:pPr>
              <w:spacing w:after="0"/>
              <w:rPr>
                <w:sz w:val="18"/>
                <w:szCs w:val="18"/>
                <w:color w:val="auto"/>
              </w:rPr>
            </w:pP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1,884,580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303,351</w:t>
            </w:r>
          </w:p>
        </w:tc>
        <w:tc>
          <w:tcPr>
            <w:tcW w:w="8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273,999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6,299,803</w:t>
            </w:r>
          </w:p>
        </w:tc>
        <w:tc>
          <w:tcPr>
            <w:tcW w:w="80" w:type="dxa"/>
            <w:vAlign w:val="bottom"/>
          </w:tcPr>
          <w:p>
            <w:pPr>
              <w:spacing w:after="0"/>
              <w:rPr>
                <w:sz w:val="24"/>
                <w:szCs w:val="24"/>
                <w:color w:val="auto"/>
              </w:rPr>
            </w:pP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6,077,468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(1,962,092)</w:t>
            </w:r>
          </w:p>
        </w:tc>
        <w:tc>
          <w:tcPr>
            <w:tcW w:w="2160" w:type="dxa"/>
            <w:vAlign w:val="bottom"/>
            <w:gridSpan w:val="5"/>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(1,654,658)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$ 4,337,711</w:t>
            </w:r>
          </w:p>
        </w:tc>
        <w:tc>
          <w:tcPr>
            <w:tcW w:w="80" w:type="dxa"/>
            <w:vAlign w:val="bottom"/>
          </w:tcPr>
          <w:p>
            <w:pPr>
              <w:spacing w:after="0"/>
              <w:rPr>
                <w:sz w:val="24"/>
                <w:szCs w:val="24"/>
                <w:color w:val="auto"/>
              </w:rPr>
            </w:pP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$ 4,422,810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was $307,000, $495,000, and $451,000 for the years ending December 31, 2002, 2001 and 2000,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adopted FAS No. 144, “Accounting for the Impairment or Disposal of Long-lived Assets,” at the beginning of 2002. As permitted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transition rules of FAS No. 144, long-lived assets classified as held for sale as a result of activities that were initiated prior to this Statement’s initial application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continue to be accounted for in accordance with FAS No. 121. If however, the criteria for classifying long-lived assets held for sale under FAS No. 144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met by the end of the fiscal year in which this Statement is initially applied, the related long-lived assets shall be reclassified as held and used.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2002, the criteria under FAS No. 144 for classifying the Company’s long-lived assets held for sale were not met and accordingly, such assets with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of $3,203,491 at December 31, 2001 were reclassified as held and used on the balance sheet for all periods presented and are included in building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Depreciation of these assets will resume in 2003.</w:t>
      </w:r>
    </w:p>
    <w:p>
      <w:pPr>
        <w:spacing w:after="0" w:line="200" w:lineRule="exact"/>
        <w:rPr>
          <w:sz w:val="20"/>
          <w:szCs w:val="20"/>
          <w:color w:val="auto"/>
        </w:rPr>
      </w:pPr>
    </w:p>
    <w:p>
      <w:pPr>
        <w:spacing w:after="0" w:line="25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assets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 net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799,173</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854,974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agreements, net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Security deposit—building lease</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752,500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752,500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Deposit — other</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loan</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115,315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(Letter of Credit)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540,560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2,587,023</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2,267,207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2002 and 2001, accumulated amortization was $1,388,000 and $1,293,000, respectively, for patents and license agreements.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9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External services</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$183,813</w:t>
            </w:r>
          </w:p>
        </w:tc>
        <w:tc>
          <w:tcPr>
            <w:tcW w:w="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88,649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173,645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170,656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236,871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$587,916</w:t>
            </w:r>
          </w:p>
        </w:tc>
        <w:tc>
          <w:tcPr>
            <w:tcW w:w="2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499,165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5.1% to 9.5%. The bonds contain certain restrictive covenants which limit, among other things, the payment of cash dividends and the sale of the related assets. The Company entered into a fifteen-year lease for a laboratory facility in connection with a sale and leaseback arrangement in 1997. The lease has escalating rent payments and accordingly, the Company is recognizing rent expense on a straight-line basis. At December 31, 2002, the Company had $1,156,362 in deferred rent expense for this facility.</w:t>
      </w:r>
    </w:p>
    <w:p>
      <w:pPr>
        <w:spacing w:after="0" w:line="2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rent per year over the term of the lease from approximately $3.15 million to $2.1million. As part of the amendment the Company issued a letter of credit on January 2, 2003 for $503,079, which was an addition to the letter of credit amounting to $275,000 issued at commencement of the lease to serve as a deposit for the duration of the lease. The lease has escalating rent payments and accordingly, the Company is recognizing rent expense on a straight-line basis. At December 31, 2002 the Company had $246,219 in deferred rent expense for this facility.</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2002, future minimum lease payments and sublease income under operating and capital leases and principal payments on equipment loans are as follows:</w:t>
      </w:r>
    </w:p>
    <w:p>
      <w:pPr>
        <w:spacing w:after="0" w:line="3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Operating</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Sublease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2003</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436,909</w:t>
            </w: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2,888,796</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1,263,736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425,713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2,947,335</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1,396,919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412,587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3,007,630</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1,409,463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401,289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1,115,186</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791,463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330,644</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1,579,644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6,591,797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3,586,786</w:t>
            </w: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17,488,244</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$4,922,472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4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1,270,953</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2,315,833</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229,166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Capitalized lease obligations, less current maturities</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2,086,667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for the years ended December 31, 2002, 2001 and 2000, was $1,486,000, $2,629,000 and $1,111,000 respectively.</w:t>
      </w: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drugs for the disease. For each of 2001 and 2002, the Company received $300,000, of which $150,367 represents the Company’s share of the joint effort and has been recognized as revenue. The remainder, $149,633, was paid to Stanford University as its share of the joint effort each year of the grant. In addition in 2001, the Company received and recognized as revenue $298,614 for research from a prior SBIR grant relating to the neural program.</w:t>
      </w:r>
    </w:p>
    <w:p>
      <w:pPr>
        <w:spacing w:after="0" w:line="22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$56,250 and $225,000 for 2001 and 2002 respectively.</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Rights</w:t>
      </w:r>
    </w:p>
    <w:p>
      <w:pPr>
        <w:spacing w:after="0" w:line="25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the Company and Neurotech SA, by which Neurotech SA purchased the Company’s former encapsulated cell therapy technology.</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Wind-down of Encapsulated Cell Technology Research and Development Program</w:t>
      </w:r>
    </w:p>
    <w:p>
      <w:pPr>
        <w:spacing w:after="0" w:line="25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Until mid-1999, the Company engaged in research and development in encapsulated cell therapy technology, including a pain control program funded by AstraZeneca Group plc. In June 1999 AstraZeneca terminated the collaboration, as allowed under the terms of the original collaborative agreement signed in 1995. As a result of termination, management determined in July 1999 to restructure its research operations to abandon all further encapsulated cell technology research and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 Wind-down expenses totaled $3,327,360 for the year ended 2000.</w:t>
      </w:r>
    </w:p>
    <w:p>
      <w:pPr>
        <w:spacing w:after="0" w:line="2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provided for the estimated lease payments and operating costs of the Rhode Island facilities through an expected disposal date of June 30, 2000. The Company did not sublet the Rhode Island facilities in 2000 and therefore made a change in estimate to accrue additional expenses of $3.3 million to cover operating lease payments, utilities, taxes, insurance, maintenance, interest and other non-employee expenses through 2001. In the year 2001 the Company paid $1.7 million of expenses, which were recorded against the reserve. There was no reserve remaining at December 31, 2001. Even though it is the intent of the Company to dispose of these facilities at the earliest possible time, it cannot determine with certainty a fixed date by which such disposal will occur. In light of this uncertainty, for the year 2002 and beyond, the Company will record further costs as operating expenses as incurred. For the year 2002 the Company incurred $801,000 in operating expenses that was included in general and administrative expenses.</w:t>
      </w:r>
    </w:p>
    <w:p>
      <w:pPr>
        <w:spacing w:after="0" w:line="200" w:lineRule="exact"/>
        <w:rPr>
          <w:sz w:val="20"/>
          <w:szCs w:val="20"/>
          <w:color w:val="auto"/>
        </w:rPr>
      </w:pPr>
    </w:p>
    <w:p>
      <w:pPr>
        <w:spacing w:after="0" w:line="236"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Consulting Arrangements</w:t>
      </w:r>
    </w:p>
    <w:p>
      <w:pPr>
        <w:spacing w:after="0" w:line="25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September 1997, the Company entered into consulting arrangements with the principal scientific founders of StemCells California, Dr. Irving Weissman, Dr. Fred H. Gage and Dr. David Anderson and with Dr. Richard M. Rose, then President and CEO of the StemCells California.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deferred compensation expense associated with the unvested portion of the grants as of December 31, 2002 was $918,000. The fair value was determined using the Black-Scholes method.</w:t>
      </w:r>
    </w:p>
    <w:p>
      <w:pPr>
        <w:spacing w:after="0" w:line="22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recovery of $419,000 and expense of $692,000 for the years 2002 and 2001 respectively, as compensation expense for the fair market value of the vested portion of such options in an amount determined using the Black-Scholes method. The deferred compensation expense associated with the unvested portion of the grants was determined to be approximately $127,000 at December 31, 2002. As part of the revision of the options, Drs. Weissman and Gage relinquished all rights under an agreement. These individuals had the right to license the non-brain stem cell technology in exchange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for a payment to the Company equal to all prior funding for such research plus royalty payments. The Company plans to revalue the options using the Black-Scholes method on a quarterly basis and recognize additional or reduced compensation expense accordingly.</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w:t>
      </w:r>
    </w:p>
    <w:p>
      <w:pPr>
        <w:spacing w:after="0" w:line="25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 The calculated value of these callable warrants using the Black-Scholes method is $701,073, which is accounted for as stock issuance cost.</w:t>
      </w:r>
    </w:p>
    <w:p>
      <w:pPr>
        <w:spacing w:after="0" w:line="222"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6"/>
          <w:szCs w:val="16"/>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 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 the proceeds equal to the par value of the new shares to common stock and the balance including the value of the warrants to additional paid in capital. On December 4, 2001, the Company entered into an agreement with Millennium under which it issued 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pacing w:after="0" w:line="196"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On August 23, 2002, the Company entered into an agreement with Triton West Group, Inc. (Triton) pursuant to which the Company sold 1,028,038 shares of common stock to Triton for aggregate proceeds of $1,100,000, or approximately $1.07 per share.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Equity Line</w:t>
      </w:r>
    </w:p>
    <w:p>
      <w:pPr>
        <w:spacing w:after="0" w:line="25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There is neither a requirement that the Company draw on the facility nor a penalty for not doing so. The equity line agreement expires on December 10, 2003.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execution of the common stock purchase agreement with Sativum, the Company issued three three-year warrants to purchase an aggregate of 350,000 shares of the Company’s common stock at $2.38 per share to Sativum (250,000 shares), Pacific Crest Securities Inc. (75,000 shares) and Granite Financial Group, Inc. (25,000 shares).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22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 cannot sell more than 3,922,606 shares pursuant to the common stock purchase agreement without stockholder approval. The Company delivered a draw down notice to Sativum Investments Limited, dated as of July 11, 2001, exercising the Company’s right to draw down up to $5,000,000 at a market-based share price not less than $5.00 per share beginning July 12, 2001. Sativum purchased a total of 707,947 shares of the Company’s common stock at an average purchase price of $5.65 per share, net of Sativum’s discount of six percent. Because the market based price of the Company’s common stock was less than $5.00 for four trading days during the draw down period, the $5,000,000 request was reduced to $4,000,000. The Company’s placement agents, Pacific Crest Securities, Inc. and Granite Financial Group, Inc. received $80,000 and $40,000, respectively, as placement fees in connection with this draw down, resulting in net proceeds to the Company of $3,603,407, after paying escrow fees and other associated costs. The Company’s placement agents have exercised their warrants in full, and the Company has received payment of $238,050 for the shares issued to them. Additionally, in December 2002 and January 2003 the Company drew down $113,800 and $62,778 respectively, net of the applicable discount.</w:t>
      </w: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3% Cumulative Convertible Preferred Stock</w:t>
      </w:r>
    </w:p>
    <w:p>
      <w:pPr>
        <w:spacing w:after="0" w:line="2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preferred stock contains a mandatory redemption feature where the Company will redeem unconverted preferred stock on 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 Dividends due on the shares of the preferred stock outstanding on a Dividend Payment Date (June 30 and December 31) may be paid in the Company’s common stock if the Company so elects by such date. The Company elected to pay the June 30, 2002 and the December 31, 2002 dividends in stock valued at approximately $60,000 and $69,000 respectively. Accordingly, 38,313 and 59,656 shares of common stock respectively were issued on July 3, 2002 and December 23, 2002.</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6% Cumulative Convertible Preferred Stock</w:t>
      </w:r>
    </w:p>
    <w:p>
      <w:pPr>
        <w:spacing w:after="0" w:line="256"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On April 13, 2000 the Company issued 1,500 shares of 6% cumulative convertible preferred stock plus a warrant for 75,000 shares of common stock to two members of its Board of Directors for $1,500,000 on terms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 favorable to the Company than it was then able to obtain from outside investors. The shares are initially convertible at the option of the holders into common stock at $3.77 per share (based on the face value of the preferred shares). The conversion price is subject to adjustment upon certain equity transactions, as defined by the applicable agreement and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220"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During the first and second quarters of 2001, the conversion price was reduced as a result of the issuance of adjustable warrants to Millennium LP, as described above. The Company has revalued the beneficial conversion feature reflecting the reduced conversion prices and the most beneficial per share discount available to the preferred shareholders and has recorded additional deemed dividends aggregating $802,000 as of the applicable reset dates.</w:t>
      </w:r>
    </w:p>
    <w:p>
      <w:pPr>
        <w:spacing w:after="0" w:line="21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Issued for Technology Licenses</w:t>
      </w:r>
    </w:p>
    <w:p>
      <w:pPr>
        <w:spacing w:after="0" w:line="256" w:lineRule="exact"/>
        <w:rPr>
          <w:sz w:val="20"/>
          <w:szCs w:val="20"/>
          <w:color w:val="auto"/>
        </w:rPr>
      </w:pPr>
    </w:p>
    <w:p>
      <w:pPr>
        <w:ind w:right="20" w:firstLine="324"/>
        <w:spacing w:after="0" w:line="296" w:lineRule="auto"/>
        <w:rPr>
          <w:sz w:val="20"/>
          <w:szCs w:val="20"/>
          <w:color w:val="auto"/>
        </w:rPr>
      </w:pPr>
      <w:r>
        <w:rPr>
          <w:rFonts w:ascii="Times New Roman" w:cs="Times New Roman" w:eastAsia="Times New Roman" w:hAnsi="Times New Roman"/>
          <w:sz w:val="16"/>
          <w:szCs w:val="16"/>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the non-transplant field, or in any products employing NeuroSpheres patents for generating cells of the blood and immune system from neural stem cells.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The Company must pay an additional $10,000 upon the issuance of each of the four patents licensed under the amended agreement. In August 2002 we acquired an additional license from Cal Tech to different technology, pursuant to which we issued 27,535 shares of our common stock with a market value of approximately $35,000. Under the new license, the Company must pay an additional $10,000 upon the issuance of one patent and $5,000 on the anniversary of its issuance. All such payments may be made in stock at the Company’s election. Upon entering a license agreement with the Oregon Health Sciences University (“OHSU”) in March 1997, the Company issued it 4,838 shares of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256"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several stock plans that provide for the issuance of incentive and nonqualified stock options, performance awards and stock appreciation rights, at prices to be determined by the Board of Directors. In the case of incentive stock options, such price will not be less than the fair market value on the date of grant. Options generally vest ratably over four years and are exercisable for ten years from the date of grant or within three months of termination.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combined activity of the Company’s stock option plans for the years ended December 31:</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3,652,560</w:t>
            </w: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$2.65</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2,716,966</w:t>
            </w: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$4.32</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939,335</w:t>
            </w: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1,041,478</w:t>
            </w:r>
          </w:p>
        </w:tc>
        <w:tc>
          <w:tcPr>
            <w:tcW w:w="240" w:type="dxa"/>
            <w:vAlign w:val="bottom"/>
          </w:tcPr>
          <w:p>
            <w:pPr>
              <w:spacing w:after="0"/>
              <w:rPr>
                <w:sz w:val="18"/>
                <w:szCs w:val="18"/>
                <w:color w:val="auto"/>
              </w:rPr>
            </w:pPr>
          </w:p>
        </w:tc>
        <w:tc>
          <w:tcPr>
            <w:tcW w:w="162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0.98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1,212,082</w:t>
            </w:r>
          </w:p>
        </w:tc>
        <w:tc>
          <w:tcPr>
            <w:tcW w:w="240" w:type="dxa"/>
            <w:vAlign w:val="bottom"/>
          </w:tcPr>
          <w:p>
            <w:pPr>
              <w:spacing w:after="0"/>
              <w:rPr>
                <w:sz w:val="18"/>
                <w:szCs w:val="18"/>
                <w:color w:val="auto"/>
              </w:rPr>
            </w:pPr>
          </w:p>
        </w:tc>
        <w:tc>
          <w:tcPr>
            <w:tcW w:w="16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2.61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2,485,090</w:t>
            </w:r>
          </w:p>
        </w:tc>
        <w:tc>
          <w:tcPr>
            <w:tcW w:w="260" w:type="dxa"/>
            <w:vAlign w:val="bottom"/>
          </w:tcPr>
          <w:p>
            <w:pPr>
              <w:spacing w:after="0"/>
              <w:rPr>
                <w:sz w:val="18"/>
                <w:szCs w:val="18"/>
                <w:color w:val="auto"/>
              </w:rPr>
            </w:pPr>
          </w:p>
        </w:tc>
        <w:tc>
          <w:tcPr>
            <w:tcW w:w="164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(47,587)</w:t>
            </w:r>
          </w:p>
        </w:tc>
        <w:tc>
          <w:tcPr>
            <w:tcW w:w="162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(170,105)</w:t>
            </w:r>
          </w:p>
        </w:tc>
        <w:tc>
          <w:tcPr>
            <w:tcW w:w="16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0.93</w:t>
            </w:r>
          </w:p>
        </w:tc>
        <w:tc>
          <w:tcPr>
            <w:tcW w:w="146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(540,927)</w:t>
            </w:r>
          </w:p>
        </w:tc>
        <w:tc>
          <w:tcPr>
            <w:tcW w:w="164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(352,401)</w:t>
            </w:r>
          </w:p>
        </w:tc>
        <w:tc>
          <w:tcPr>
            <w:tcW w:w="162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4.51</w:t>
            </w: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(106,383)</w:t>
            </w:r>
          </w:p>
        </w:tc>
        <w:tc>
          <w:tcPr>
            <w:tcW w:w="16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2.26</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(166,532)</w:t>
            </w:r>
          </w:p>
        </w:tc>
        <w:tc>
          <w:tcPr>
            <w:tcW w:w="164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4,294,050</w:t>
            </w: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3.14</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3,652,560</w:t>
            </w:r>
          </w:p>
        </w:tc>
        <w:tc>
          <w:tcPr>
            <w:tcW w:w="2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$3.98</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2,716,966</w:t>
            </w: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105"/>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w:t>
            </w: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2,378,778</w:t>
            </w:r>
          </w:p>
        </w:tc>
        <w:tc>
          <w:tcPr>
            <w:tcW w:w="240" w:type="dxa"/>
            <w:vAlign w:val="bottom"/>
          </w:tcPr>
          <w:p>
            <w:pPr>
              <w:spacing w:after="0"/>
              <w:rPr>
                <w:sz w:val="19"/>
                <w:szCs w:val="19"/>
                <w:color w:val="auto"/>
              </w:rPr>
            </w:pPr>
          </w:p>
        </w:tc>
        <w:tc>
          <w:tcPr>
            <w:tcW w:w="162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$3.45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1,287,918</w:t>
            </w:r>
          </w:p>
        </w:tc>
        <w:tc>
          <w:tcPr>
            <w:tcW w:w="240" w:type="dxa"/>
            <w:vAlign w:val="bottom"/>
          </w:tcPr>
          <w:p>
            <w:pPr>
              <w:spacing w:after="0"/>
              <w:rPr>
                <w:sz w:val="19"/>
                <w:szCs w:val="19"/>
                <w:color w:val="auto"/>
              </w:rPr>
            </w:pPr>
          </w:p>
        </w:tc>
        <w:tc>
          <w:tcPr>
            <w:tcW w:w="16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$3.74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731,523</w:t>
            </w:r>
          </w:p>
        </w:tc>
        <w:tc>
          <w:tcPr>
            <w:tcW w:w="260" w:type="dxa"/>
            <w:vAlign w:val="bottom"/>
          </w:tcPr>
          <w:p>
            <w:pPr>
              <w:spacing w:after="0"/>
              <w:rPr>
                <w:sz w:val="19"/>
                <w:szCs w:val="19"/>
                <w:color w:val="auto"/>
              </w:rPr>
            </w:pPr>
          </w:p>
        </w:tc>
        <w:tc>
          <w:tcPr>
            <w:tcW w:w="164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weighted average price and life information about significant option groups outstanding at December 31, 2002: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w w:val="94"/>
              </w:rPr>
              <w:t>Options Exercisable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4"/>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3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 (Yrs.)</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4"/>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80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than $5.00</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2,629,321</w:t>
            </w:r>
          </w:p>
        </w:tc>
        <w:tc>
          <w:tcPr>
            <w:tcW w:w="20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center"/>
              <w:ind w:left="357"/>
              <w:spacing w:after="0"/>
              <w:rPr>
                <w:sz w:val="20"/>
                <w:szCs w:val="20"/>
                <w:color w:val="auto"/>
              </w:rPr>
            </w:pPr>
            <w:r>
              <w:rPr>
                <w:rFonts w:ascii="Times New Roman" w:cs="Times New Roman" w:eastAsia="Times New Roman" w:hAnsi="Times New Roman"/>
                <w:sz w:val="18"/>
                <w:szCs w:val="18"/>
                <w:color w:val="auto"/>
              </w:rPr>
              <w:t>8.33</w:t>
            </w:r>
          </w:p>
        </w:tc>
        <w:tc>
          <w:tcPr>
            <w:tcW w:w="1220" w:type="dxa"/>
            <w:vAlign w:val="bottom"/>
            <w:gridSpan w:val="2"/>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$ 1.98</w:t>
            </w: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1,402,134</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204"/>
              <w:spacing w:after="0"/>
              <w:rPr>
                <w:sz w:val="20"/>
                <w:szCs w:val="20"/>
                <w:color w:val="auto"/>
              </w:rPr>
            </w:pPr>
            <w:r>
              <w:rPr>
                <w:rFonts w:ascii="Times New Roman" w:cs="Times New Roman" w:eastAsia="Times New Roman" w:hAnsi="Times New Roman"/>
                <w:sz w:val="18"/>
                <w:szCs w:val="18"/>
                <w:color w:val="auto"/>
              </w:rPr>
              <w:t>$ 2.19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$5.01 - $10.00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1,663,729</w:t>
            </w:r>
          </w:p>
        </w:tc>
        <w:tc>
          <w:tcPr>
            <w:tcW w:w="200" w:type="dxa"/>
            <w:vAlign w:val="bottom"/>
          </w:tcPr>
          <w:p>
            <w:pPr>
              <w:spacing w:after="0"/>
              <w:rPr>
                <w:sz w:val="18"/>
                <w:szCs w:val="18"/>
                <w:color w:val="auto"/>
              </w:rPr>
            </w:pPr>
          </w:p>
        </w:tc>
        <w:tc>
          <w:tcPr>
            <w:tcW w:w="1560" w:type="dxa"/>
            <w:vAlign w:val="bottom"/>
            <w:gridSpan w:val="3"/>
          </w:tcPr>
          <w:p>
            <w:pPr>
              <w:jc w:val="center"/>
              <w:ind w:left="357"/>
              <w:spacing w:after="0"/>
              <w:rPr>
                <w:sz w:val="20"/>
                <w:szCs w:val="20"/>
                <w:color w:val="auto"/>
              </w:rPr>
            </w:pPr>
            <w:r>
              <w:rPr>
                <w:rFonts w:ascii="Times New Roman" w:cs="Times New Roman" w:eastAsia="Times New Roman" w:hAnsi="Times New Roman"/>
                <w:sz w:val="18"/>
                <w:szCs w:val="18"/>
                <w:color w:val="auto"/>
              </w:rPr>
              <w:t>4.87</w:t>
            </w: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5.25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975,644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04"/>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Greater than $10.00</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center"/>
              <w:ind w:left="357"/>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gridSpan w:val="2"/>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13.75</w:t>
            </w:r>
          </w:p>
        </w:tc>
        <w:tc>
          <w:tcPr>
            <w:tcW w:w="13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204"/>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4,294,050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2,378,778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2002, 2001 and 2000 was $1.15, $2.61 and $4.13, respectively. The fair value of options at the date of grant were estimated using the Black-Scholes model with the following weighted average assumptions: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820" w:type="dxa"/>
            <w:vAlign w:val="bottom"/>
            <w:shd w:val="clear" w:color="auto" w:fill="EEEEEE"/>
          </w:tcPr>
          <w:p>
            <w:pPr>
              <w:jc w:val="right"/>
              <w:ind w:right="97"/>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shd w:val="clear" w:color="auto" w:fill="EEEEEE"/>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Volatility</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never declared nor paid dividends on any of its common stock and does not expect to do so in the foreseeable future.</w:t>
      </w:r>
    </w:p>
    <w:p>
      <w:pPr>
        <w:sectPr>
          <w:pgSz w:w="11900" w:h="16838" w:orient="portrait"/>
          <w:cols w:equalWidth="0" w:num="1">
            <w:col w:w="11420"/>
          </w:cols>
          <w:pgMar w:left="240" w:top="41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the exercise of options, warrants and other contingent issuances of common stock.</w:t>
      </w:r>
    </w:p>
    <w:p>
      <w:pPr>
        <w:spacing w:after="0" w:line="200" w:lineRule="exact"/>
        <w:rPr>
          <w:sz w:val="20"/>
          <w:szCs w:val="20"/>
          <w:color w:val="auto"/>
        </w:rPr>
      </w:pP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exercise of stock options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6,500,566</w:t>
            </w:r>
          </w:p>
        </w:tc>
        <w:tc>
          <w:tcPr>
            <w:tcW w:w="420" w:type="dxa"/>
            <w:vAlign w:val="bottom"/>
            <w:shd w:val="clear" w:color="auto" w:fill="EEEEEE"/>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the employee benefit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174,292</w:t>
            </w:r>
          </w:p>
        </w:tc>
        <w:tc>
          <w:tcPr>
            <w:tcW w:w="420" w:type="dxa"/>
            <w:vAlign w:val="bottom"/>
          </w:tcPr>
          <w:p>
            <w:pPr>
              <w:spacing w:after="0"/>
              <w:rPr>
                <w:sz w:val="18"/>
                <w:szCs w:val="18"/>
                <w:color w:val="auto"/>
              </w:rPr>
            </w:pP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compensation of external services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216,116</w:t>
            </w:r>
          </w:p>
        </w:tc>
        <w:tc>
          <w:tcPr>
            <w:tcW w:w="420" w:type="dxa"/>
            <w:vAlign w:val="bottom"/>
            <w:shd w:val="clear" w:color="auto" w:fill="EEEEEE"/>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the equity line and related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5,142,188</w:t>
            </w:r>
          </w:p>
        </w:tc>
        <w:tc>
          <w:tcPr>
            <w:tcW w:w="420" w:type="dxa"/>
            <w:vAlign w:val="bottom"/>
          </w:tcPr>
          <w:p>
            <w:pPr>
              <w:spacing w:after="0"/>
              <w:rPr>
                <w:sz w:val="18"/>
                <w:szCs w:val="18"/>
                <w:color w:val="auto"/>
              </w:rPr>
            </w:pP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6% convertible preferred stock and related warrants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158,242</w:t>
            </w:r>
          </w:p>
        </w:tc>
        <w:tc>
          <w:tcPr>
            <w:tcW w:w="420" w:type="dxa"/>
            <w:vAlign w:val="bottom"/>
            <w:shd w:val="clear" w:color="auto" w:fill="EEEEEE"/>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3% convertible preferred stock and related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2,071,144</w:t>
            </w:r>
          </w:p>
        </w:tc>
        <w:tc>
          <w:tcPr>
            <w:tcW w:w="420" w:type="dxa"/>
            <w:vAlign w:val="bottom"/>
          </w:tcPr>
          <w:p>
            <w:pPr>
              <w:spacing w:after="0"/>
              <w:rPr>
                <w:sz w:val="18"/>
                <w:szCs w:val="18"/>
                <w:color w:val="auto"/>
              </w:rPr>
            </w:pP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possible future issuances of shares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13,971,962</w:t>
            </w:r>
          </w:p>
        </w:tc>
        <w:tc>
          <w:tcPr>
            <w:tcW w:w="420" w:type="dxa"/>
            <w:vAlign w:val="bottom"/>
            <w:shd w:val="clear" w:color="auto" w:fill="EEEEEE"/>
          </w:tcPr>
          <w:p>
            <w:pPr>
              <w:spacing w:after="0"/>
              <w:rPr>
                <w:sz w:val="18"/>
                <w:szCs w:val="18"/>
                <w:color w:val="auto"/>
              </w:rPr>
            </w:pPr>
          </w:p>
        </w:tc>
      </w:tr>
      <w:tr>
        <w:trPr>
          <w:trHeight w:val="108"/>
        </w:trPr>
        <w:tc>
          <w:tcPr>
            <w:tcW w:w="67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28,234,510</w:t>
            </w:r>
          </w:p>
        </w:tc>
        <w:tc>
          <w:tcPr>
            <w:tcW w:w="420" w:type="dxa"/>
            <w:vAlign w:val="bottom"/>
          </w:tcPr>
          <w:p>
            <w:pPr>
              <w:spacing w:after="0"/>
              <w:rPr>
                <w:sz w:val="24"/>
                <w:szCs w:val="24"/>
                <w:color w:val="auto"/>
              </w:rPr>
            </w:pPr>
          </w:p>
        </w:tc>
      </w:tr>
      <w:tr>
        <w:trPr>
          <w:trHeight w:val="110"/>
        </w:trPr>
        <w:tc>
          <w:tcPr>
            <w:tcW w:w="67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bl>
    <w:p>
      <w:pPr>
        <w:spacing w:after="0" w:line="335" w:lineRule="exact"/>
        <w:rPr>
          <w:sz w:val="20"/>
          <w:szCs w:val="20"/>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Agreements</w:t>
      </w:r>
    </w:p>
    <w:p>
      <w:pPr>
        <w:spacing w:after="0" w:line="25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November 1997, the Company signed a Research Funding and Option Agreement with The Scripps Research Institute (“Scripps”) relating to certain stem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research. Under the terms of the Agreement, StemCells agreed to fund research in the total amount of approximately $931,000 at Scripps over a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years. StemCells paid Scripps approximately $225,000 in 2000. In addition, the Company agreed to issue to Scripps 4,837 shares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a stock option to purchase 9,674 shares of the Company’s Common Stock with an exercise price of $.01 per share upon the achievement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specified milestones. Under the Agreement, StemCells has an option for an exclusive license to the inventions resulting from the sponsored research, subject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payment of royalties and certain other amounts, and is obligated to make payments totaling $425,000 for achievement of certain milestones.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entered a Sponsored Research Agreement and a License Agreement with Oregon Health Sciences University (“OHSU”) in March 1997, relating to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research concerning liver repopulating cells. Under subsequent Sponsored Research Agreements with OHSU, StemCells paid OHSU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$80,500 in 2000, $105,000 in 2001 and $110,000 in 2002. In addition, the Company issued 4,838 shares of common stock and an option to purchase up to 62,888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to OHSU with an exercise price of $.01 per share. The option has vested as to 9,675 shares for which shares were issued on March 31, 2002;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option was terminated and we issued 4,000 shares of our common stock, with a market value of approximately $3,900, to OHSU in January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amendment to the license agreement.</w:t>
      </w:r>
    </w:p>
    <w:p>
      <w:pPr>
        <w:spacing w:after="0" w:line="2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2001, the Company entered into a collaboration with Stanford University to pursue certain additional research funded by the National Institutes of Health under an SBIR grant discussed above. Pursuant to its agreement, the Company paid Stanford approximately $150,000 in each of 2001 and 2002. In 2002, the Company entered into a research agreement with the University of California, Irvine (“Irvine”), under which it paid Irvine approximately $3,200 in 2002 and will pay it approximately $23,300 in 2003. The Company also entered a sponsored research agreement with the University of Texas Medical Branch (“UTMB”) under which it paid UTMB approximately $21,000 in 2002 and will pay it approximately $42,000 in 2003.</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4"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9,690,000</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42,900,000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43,700,000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56,890,000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52,010,000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w w:val="94"/>
              </w:rPr>
              <w:t>(56,890,000)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w w:val="96"/>
              </w:rPr>
              <w:t>(52,010,000)</w:t>
            </w: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$4,880,000, $3,400,000, and $1,084,000 during 2002, 2001, and 2000 respectively.</w:t>
      </w:r>
    </w:p>
    <w:p>
      <w:pPr>
        <w:spacing w:after="0" w:line="213" w:lineRule="exact"/>
        <w:rPr>
          <w:sz w:val="20"/>
          <w:szCs w:val="20"/>
          <w:color w:val="auto"/>
        </w:rPr>
      </w:pPr>
    </w:p>
    <w:p>
      <w:pPr>
        <w:ind w:right="160" w:firstLine="324"/>
        <w:spacing w:after="0" w:line="339" w:lineRule="auto"/>
        <w:rPr>
          <w:sz w:val="20"/>
          <w:szCs w:val="20"/>
          <w:color w:val="auto"/>
        </w:rPr>
      </w:pPr>
      <w:r>
        <w:rPr>
          <w:rFonts w:ascii="Times New Roman" w:cs="Times New Roman" w:eastAsia="Times New Roman" w:hAnsi="Times New Roman"/>
          <w:sz w:val="16"/>
          <w:szCs w:val="16"/>
          <w:color w:val="auto"/>
        </w:rPr>
        <w:t>As of December 31, 2002, the Company had net operating loss carryforwards for federal income tax purposes of approximately $107,000,000 which expire in the years 2004 through 2022, and federal research and development tax credits of approximately $3,700,000 which expire in the years 2004 through 2022.</w:t>
      </w:r>
    </w:p>
    <w:p>
      <w:pPr>
        <w:spacing w:after="0" w:line="156"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2002, the Company had net operating loss carryforwards for state income tax purposes of approximately $107,000,000 which expire in the years 2004 through 2019, and state research and development tax credits of approximately $550,000 which do not expire.</w:t>
      </w:r>
    </w:p>
    <w:p>
      <w:pPr>
        <w:spacing w:after="0" w:line="201"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8"/>
          <w:szCs w:val="18"/>
          <w:color w:val="auto"/>
        </w:rPr>
        <w:t>Utilization of the Company’s net operating loss may be subject to substantial annual limitation due to ownership change limitations provide by the Internal Revenue Code and similar state provisions. Such an annual limitation could result in the expiration of the net operating loss before utilization.</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Retirement Plan</w:t>
      </w:r>
    </w:p>
    <w:p>
      <w:pPr>
        <w:spacing w:after="0" w:line="254"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$76,000, $63,000, and $33,000 for the years ended December 31, 2002, 2001 and 2000, respectively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Quarterly Financial Information (unaudited)</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80"/>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Quarter</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95"/>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3"/>
        </w:trPr>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22"/>
                <w:szCs w:val="22"/>
                <w:color w:val="auto"/>
              </w:rPr>
            </w:pPr>
          </w:p>
        </w:tc>
        <w:tc>
          <w:tcPr>
            <w:tcW w:w="8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1"/>
              </w:rPr>
              <w:t>Third</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5"/>
              </w:rPr>
              <w:t>Fourth</w:t>
            </w:r>
          </w:p>
        </w:tc>
      </w:tr>
      <w:tr>
        <w:trPr>
          <w:trHeight w:val="95"/>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gridSpan w:val="3"/>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50"/>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 thousands, except per share data)</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2,876</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2,765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1,818</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Income (loss) before deemed dividend to preferred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9"/>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1"/>
              </w:rPr>
              <w:t>(2,810)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(3,058)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1"/>
              </w:rPr>
              <w:t>(2,725)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1"/>
              </w:rPr>
              <w:t>(1,772)</w:t>
            </w:r>
          </w:p>
        </w:tc>
      </w:tr>
      <w:tr>
        <w:trPr>
          <w:trHeight w:val="217"/>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1"/>
              </w:rPr>
              <w:t>(3,130)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(3,543)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1"/>
              </w:rPr>
              <w:t>(3,045)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1"/>
              </w:rPr>
              <w:t>(1,927)</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Basic and diluted (loss) per share applicable to common</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(0.07)</w:t>
            </w:r>
          </w:p>
        </w:tc>
      </w:tr>
      <w:tr>
        <w:trPr>
          <w:trHeight w:val="218"/>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3,672</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Income (loss) before deemed dividend to preferred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9"/>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spacing w:after="0"/>
              <w:rPr>
                <w:sz w:val="19"/>
                <w:szCs w:val="19"/>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1"/>
              </w:rPr>
              <w:t>(1,787)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1"/>
              </w:rPr>
              <w:t>(3,524)</w:t>
            </w:r>
          </w:p>
        </w:tc>
      </w:tr>
      <w:tr>
        <w:trPr>
          <w:trHeight w:val="217"/>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income (loss) applicable to common shareholders</w:t>
            </w: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1"/>
              </w:rPr>
              <w:t>(1,787)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1"/>
              </w:rPr>
              <w:t>(4,266)</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Basic and diluted income (loss) per share applicable to</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320" w:type="dxa"/>
            <w:vAlign w:val="bottom"/>
          </w:tcPr>
          <w:p>
            <w:pPr>
              <w:spacing w:after="0"/>
              <w:rPr>
                <w:sz w:val="19"/>
                <w:szCs w:val="19"/>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Less than $0.01 per share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5" w:right="13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and Executive Officers of the Registrant, Promoters and Control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2003 Annual Meeting of Shareholders.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2003 Annual Meeting of Shareholders.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w:t>
      </w:r>
    </w:p>
    <w:p>
      <w:pPr>
        <w:spacing w:after="0" w:line="256"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the end of December 31, 2002.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28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w:t>
            </w:r>
          </w:p>
        </w:tc>
      </w:tr>
      <w:tr>
        <w:trPr>
          <w:trHeight w:val="149"/>
        </w:trPr>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t>
            </w: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r>
      <w:tr>
        <w:trPr>
          <w:trHeight w:val="149"/>
        </w:trPr>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Remaining Available for</w:t>
            </w:r>
          </w:p>
        </w:tc>
      </w:tr>
      <w:tr>
        <w:trPr>
          <w:trHeight w:val="149"/>
        </w:trPr>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 Issued Upon</w:t>
            </w:r>
          </w:p>
        </w:tc>
        <w:tc>
          <w:tcPr>
            <w:tcW w:w="2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2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Issuance Under Equity</w:t>
            </w:r>
          </w:p>
        </w:tc>
      </w:tr>
      <w:tr>
        <w:trPr>
          <w:trHeight w:val="149"/>
        </w:trPr>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 of</w:t>
            </w:r>
          </w:p>
        </w:tc>
        <w:tc>
          <w:tcPr>
            <w:tcW w:w="2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2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r>
      <w:tr>
        <w:trPr>
          <w:trHeight w:val="149"/>
        </w:trPr>
        <w:tc>
          <w:tcPr>
            <w:tcW w:w="2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 Securities</w:t>
            </w:r>
          </w:p>
        </w:tc>
      </w:tr>
      <w:tr>
        <w:trPr>
          <w:trHeight w:val="178"/>
        </w:trPr>
        <w:tc>
          <w:tcPr>
            <w:tcW w:w="32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5"/>
                <w:szCs w:val="15"/>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Warrants and Rights</w:t>
            </w:r>
          </w:p>
        </w:tc>
        <w:tc>
          <w:tcPr>
            <w:tcW w:w="2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Reflected in Column (A))</w:t>
            </w:r>
          </w:p>
        </w:tc>
      </w:tr>
      <w:tr>
        <w:trPr>
          <w:trHeight w:val="95"/>
        </w:trPr>
        <w:tc>
          <w:tcPr>
            <w:tcW w:w="20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r>
      <w:tr>
        <w:trPr>
          <w:trHeight w:val="30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7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4,294,050(1)</w:t>
            </w:r>
          </w:p>
        </w:tc>
        <w:tc>
          <w:tcPr>
            <w:tcW w:w="234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$3.248</w:t>
            </w:r>
          </w:p>
        </w:tc>
        <w:tc>
          <w:tcPr>
            <w:tcW w:w="30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1,833,437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arrangements not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8"/>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196,699(2)</w:t>
            </w:r>
          </w:p>
        </w:tc>
        <w:tc>
          <w:tcPr>
            <w:tcW w:w="234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$3.840</w:t>
            </w:r>
          </w:p>
        </w:tc>
        <w:tc>
          <w:tcPr>
            <w:tcW w:w="280" w:type="dxa"/>
            <w:vAlign w:val="bottom"/>
          </w:tcPr>
          <w:p>
            <w:pPr>
              <w:spacing w:after="0"/>
              <w:rPr>
                <w:sz w:val="19"/>
                <w:szCs w:val="19"/>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w:t>
            </w:r>
          </w:p>
        </w:tc>
      </w:tr>
      <w:tr>
        <w:trPr>
          <w:trHeight w:val="110"/>
        </w:trPr>
        <w:tc>
          <w:tcPr>
            <w:tcW w:w="2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r>
      <w:tr>
        <w:trPr>
          <w:trHeight w:val="3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4,490,749</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1,833,437</w:t>
            </w:r>
          </w:p>
        </w:tc>
      </w:tr>
      <w:tr>
        <w:trPr>
          <w:trHeight w:val="107"/>
        </w:trPr>
        <w:tc>
          <w:tcPr>
            <w:tcW w:w="2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2" w:lineRule="exact"/>
        <w:rPr>
          <w:sz w:val="20"/>
          <w:szCs w:val="20"/>
          <w:color w:val="auto"/>
        </w:rPr>
      </w:pPr>
    </w:p>
    <w:p>
      <w:pPr>
        <w:ind w:left="460" w:right="200" w:hanging="452"/>
        <w:spacing w:after="0" w:line="26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186"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8"/>
          <w:szCs w:val="18"/>
          <w:color w:val="auto"/>
        </w:rPr>
        <w:t>The Company has fully vested warrants outstanding to purchase 50,500 shares of our common stock for $5.04 per share, issued in August 2000, and exercisable, in whole or in part, for five years from the date of issuance. The Company also has a warrant outstanding to purchase 146,199 shares of our common stock that was issued in December 2001, issued fully vested with an exercise price of $3.42 per share, and exercisable, in whole or in part, for four years from the date of issuance. These warrants, which constitute the equity compensation arrangements not approved by security holders, were all issued in exchange for placement agent or advisory services by non-employees.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information required by this Item is incorporated by reference from our Proxy Statement for the 2003 Annual Meeting of Shareholders.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2003 Annual Meeting of Shareholders.</w:t>
      </w:r>
    </w:p>
    <w:p>
      <w:pPr>
        <w:sectPr>
          <w:pgSz w:w="11900" w:h="16838" w:orient="portrait"/>
          <w:cols w:equalWidth="0" w:num="1">
            <w:col w:w="11420"/>
          </w:cols>
          <w:pgMar w:left="240" w:top="41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response to the requirement of the Sarbanes-Oxley Act of 2002, within 90 days prior to the date of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Subsequent to this evaluation there were no significant changes in internal controls or other factors that could significantly affect the internal controls of the Company, and no corrective actions were required or undertaken.</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 and Reports on Form 8-K</w:t>
      </w:r>
    </w:p>
    <w:p>
      <w:pPr>
        <w:spacing w:after="0" w:line="256" w:lineRule="exact"/>
        <w:rPr>
          <w:sz w:val="20"/>
          <w:szCs w:val="20"/>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FORM 10-K.</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filed as part of this Report are listed and indexed under Item 8 above.</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are not included herein because they are not applicable or the required information appears in the Financial Statements or Notes thereto.</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90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900" w:type="dxa"/>
            <w:vAlign w:val="bottom"/>
            <w:tcBorders>
              <w:bottom w:val="single" w:sz="8" w:color="808080"/>
            </w:tcBorders>
          </w:tcPr>
          <w:p>
            <w:pPr>
              <w:spacing w:after="0"/>
              <w:rPr>
                <w:sz w:val="8"/>
                <w:szCs w:val="8"/>
                <w:color w:val="auto"/>
              </w:rPr>
            </w:pPr>
          </w:p>
        </w:tc>
      </w:tr>
      <w:tr>
        <w:trPr>
          <w:trHeight w:val="303"/>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Warrant Certificate issued to a certain purchaser of the Registrant’s Common Stock in April 1995.</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4.3X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Mark Angelo</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4.4X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Robert Farrell</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4.5X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Joseph Donahue</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4.6X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Hunter Singer</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4.7X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May Davis</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4.8X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4.9X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4.10XXX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May 10, 2001 between the Registrant and Sativum Investments Limited.</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4.11XXX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Sativum Investments Limited.</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4.12XXX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Pacific Crest Securities, Inc.</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4.13XXX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Granite Financial Group, Inc.</w:t>
            </w:r>
          </w:p>
        </w:tc>
      </w:tr>
      <w:tr>
        <w:trPr>
          <w:trHeight w:val="228"/>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4.14XXX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 dated June 21, 2001, issued to Millennium Partners, L.P.</w:t>
            </w:r>
          </w:p>
        </w:tc>
      </w:tr>
      <w:tr>
        <w:trPr>
          <w:trHeight w:val="432"/>
        </w:trPr>
        <w:tc>
          <w:tcPr>
            <w:tcW w:w="2200" w:type="dxa"/>
            <w:vAlign w:val="bottom"/>
          </w:tcPr>
          <w:p>
            <w:pPr>
              <w:spacing w:after="0"/>
              <w:rPr>
                <w:sz w:val="24"/>
                <w:szCs w:val="24"/>
                <w:color w:val="auto"/>
              </w:rPr>
            </w:pPr>
          </w:p>
        </w:tc>
        <w:tc>
          <w:tcPr>
            <w:tcW w:w="92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57</w:t>
            </w:r>
          </w:p>
        </w:tc>
      </w:tr>
      <w:tr>
        <w:trPr>
          <w:trHeight w:val="228"/>
        </w:trPr>
        <w:tc>
          <w:tcPr>
            <w:tcW w:w="2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680" w:type="dxa"/>
            <w:vAlign w:val="bottom"/>
          </w:tcPr>
          <w:p>
            <w:pPr>
              <w:jc w:val="right"/>
              <w:ind w:right="3692"/>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r>
      <w:tr>
        <w:trPr>
          <w:trHeight w:val="303"/>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4.15XXX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 Class A, dated June 21, 2001, issued to Millennium Partners, L.P.</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Designations of the Powers, Preferences and Relative, Participating, Optional and other Special Rights of</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Preferred Stock and Qualifications, Limitations and Restrictions Thereof of 3% Cumulative Convertible Preferred Stock</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 StemCells, Inc.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4.18XXXX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Cantor Fitzgerald &amp; Co.</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Amendment to Registration Rights dated as of February 14, 1992 among the Registrant and certain of its stockholders.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at-will Employment Agreement between the Registrant and most of its employees.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Agreement for Consulting Services between the Registrant and members of its Scientific Advisory Board.</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Nondisclosure Agreement between the Registrant and its Contractors.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Master Lease and Warrant Agreement dated April 23, 1991 between the Registrant and PacifiCorp Credit, Inc.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1988 Stock Option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Equity Incentive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Stock Option Plan for Non-Employee Directors.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Employee Stock Purchase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Research Agreement dated as of March 16, 1994 between NeuroSpheres, Ltd. and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September 30, 1994 between The First National Bank of Boston and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Lease Agreement between the Registrant and Rhode Island Industrial Facilities Corporation, dated as of August 1, 1992.</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First Amendment to Lease Agreement between Registrant and The Rhode Island Industrial Facilities Corporation dated as</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September 15, 1994.</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Development, Marketing and License Agreement, dated as of March 30, 1995 between Registrant and Astra AB.</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Form of Unit Purchase Agreement to be executed by the purchasers of the Common Stock and Warrants offered in April</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Common Stock Purchase Agreement to be executed among the Registrant and certain purchasers of the</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Registrant’s Common Stock.</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Agreement dated as of November 21, 1997 by and between Hub RI Properties Trust, as Landlord, and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CytoTherapeutics, Inc., as Tenant.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individual stockholders option agreement dated as of July 10, 1996 among the Company and the individuals listed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therein.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Valoria option agreement dated of July 10, 1996 between the Company and the Societe Financiere Valoria SA.</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October 22, 1996 between The First National Bank of Boston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and Plan of Merger dated as of August 13, 1997 among StemCells, Inc., the Registrant and CTI Acquisition</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Consulting Agreement dated as of September 25, 1997 between Dr. Irving Weissman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among each of Dr. Irving Weissman and Dr. Fred H. Gage and the Registrant.</w:t>
            </w:r>
          </w:p>
        </w:tc>
      </w:tr>
      <w:tr>
        <w:trPr>
          <w:trHeight w:val="228"/>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 1996 Stock Option Plan.</w:t>
            </w:r>
          </w:p>
        </w:tc>
      </w:tr>
      <w:tr>
        <w:trPr>
          <w:trHeight w:val="432"/>
        </w:trPr>
        <w:tc>
          <w:tcPr>
            <w:tcW w:w="2420" w:type="dxa"/>
            <w:vAlign w:val="bottom"/>
          </w:tcPr>
          <w:p>
            <w:pPr>
              <w:spacing w:after="0"/>
              <w:rPr>
                <w:sz w:val="24"/>
                <w:szCs w:val="24"/>
                <w:color w:val="auto"/>
              </w:rPr>
            </w:pPr>
          </w:p>
        </w:tc>
        <w:tc>
          <w:tcPr>
            <w:tcW w:w="900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color w:val="auto"/>
              </w:rPr>
              <w:t>58</w:t>
            </w:r>
          </w:p>
        </w:tc>
      </w:tr>
      <w:tr>
        <w:trPr>
          <w:trHeight w:val="228"/>
        </w:trPr>
        <w:tc>
          <w:tcPr>
            <w:tcW w:w="2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820" w:type="dxa"/>
            <w:vAlign w:val="bottom"/>
          </w:tcPr>
          <w:p>
            <w:pPr>
              <w:jc w:val="right"/>
              <w:ind w:right="3772"/>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r>
      <w:tr>
        <w:trPr>
          <w:trHeight w:val="303"/>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10.33****</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1997 StemCells Research Stock Option Plan (the “1997 Plan”)</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10.34****</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Performance-Based Incentive Option Agreement issued under the 1997 Plan.</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10.35###</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Employment Agreement dated as of September 25, 1997 between Dr. Richard M. Rose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10.38[*]</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Rights Agreement, dated as of July 27, 1998 between Bank Boston, N.A. as Rights Agent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10.40$**</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Consulting Services Agreement dated as of July 27, 1998, as amended December 19, 1998 between Dr. John J. Schwartz and</w:t>
            </w:r>
          </w:p>
        </w:tc>
      </w:tr>
      <w:tr>
        <w:trPr>
          <w:trHeight w:val="216"/>
        </w:trPr>
        <w:tc>
          <w:tcPr>
            <w:tcW w:w="228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10.41$**</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as of December 19, 1998 between John J. Schwartz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10.42$**</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10.43$**</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10.44$**</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November 20, 1998 between The Scripps Research Institute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10.45$$**</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Purchase Agreement and License Agreement dated as of December 29, 1999 between Neurotech S.A.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10.46**</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10.47**</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10.48X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dated as of July 31, 2000 between the Registrant and investors.</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10.49X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July 31, 2000 between the Registrant and Millennium Partners, L.P.</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10.50XXX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Common Stock Purchase Agreement, dated as of May 10, 2001, between the Registrant and Sativum Investments Limited.</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10.51XXX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Escrow Agreement, dated as of May 10, 2001, among the Registrant, Sativum Investments Limited and Epstein, Becker &amp;</w:t>
            </w:r>
          </w:p>
        </w:tc>
      </w:tr>
      <w:tr>
        <w:trPr>
          <w:trHeight w:val="216"/>
        </w:trPr>
        <w:tc>
          <w:tcPr>
            <w:tcW w:w="228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Green, P.C.</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10.52XX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30, 2000, between the Registrant and NeuroSpheres Ltd.</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10.53XX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January 2, 2001, between the Registrant and Martin McGlynn</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10.54XX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dated February 1, 2001, between the Board of Trustees of Stanford University and the Registrant.</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10.55XXX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June 21, 2001, by and between the Registrant and Millennium Partners, L.P.</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10.56XXX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June 21, 2001, by and between the Registrant and Millennium Partners, L.P.</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10.57$$$</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2001 Equity Incentive Plan</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10.58[**]</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December 4, 2001 between the Registrant and Riverview Group, L.L.C.</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10.59[**]</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December 4, 2001 between the Registrant and Riverview Group, L.L.C.</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10.60[**]</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between the Registrant and Millennium Partners, L.P.</w:t>
            </w:r>
          </w:p>
        </w:tc>
      </w:tr>
      <w:tr>
        <w:trPr>
          <w:trHeight w:val="216"/>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10.61[**]</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among the Registrant, Millennium Partners, L.P. and Riverview Group, L.L.C.</w:t>
            </w:r>
          </w:p>
        </w:tc>
      </w:tr>
      <w:tr>
        <w:trPr>
          <w:trHeight w:val="228"/>
        </w:trPr>
        <w:tc>
          <w:tcPr>
            <w:tcW w:w="22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21X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432"/>
        </w:trPr>
        <w:tc>
          <w:tcPr>
            <w:tcW w:w="2280" w:type="dxa"/>
            <w:vAlign w:val="bottom"/>
          </w:tcPr>
          <w:p>
            <w:pPr>
              <w:spacing w:after="0"/>
              <w:rPr>
                <w:sz w:val="24"/>
                <w:szCs w:val="24"/>
                <w:color w:val="auto"/>
              </w:rPr>
            </w:pPr>
          </w:p>
        </w:tc>
        <w:tc>
          <w:tcPr>
            <w:tcW w:w="914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2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90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0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900" w:type="dxa"/>
            <w:vAlign w:val="bottom"/>
            <w:tcBorders>
              <w:bottom w:val="single" w:sz="8" w:color="808080"/>
            </w:tcBorders>
          </w:tcPr>
          <w:p>
            <w:pPr>
              <w:spacing w:after="0"/>
              <w:rPr>
                <w:sz w:val="8"/>
                <w:szCs w:val="8"/>
                <w:color w:val="auto"/>
              </w:rPr>
            </w:pPr>
          </w:p>
        </w:tc>
      </w:tr>
      <w:tr>
        <w:trPr>
          <w:trHeight w:val="303"/>
        </w:trPr>
        <w:tc>
          <w:tcPr>
            <w:tcW w:w="20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Ernst &amp; Young LLP, Independent Auditors.</w:t>
            </w:r>
          </w:p>
        </w:tc>
      </w:tr>
      <w:tr>
        <w:trPr>
          <w:trHeight w:val="216"/>
        </w:trPr>
        <w:tc>
          <w:tcPr>
            <w:tcW w:w="20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Cautionary factors relevant to forward-looking information.</w:t>
            </w:r>
          </w:p>
        </w:tc>
      </w:tr>
      <w:tr>
        <w:trPr>
          <w:trHeight w:val="216"/>
        </w:trPr>
        <w:tc>
          <w:tcPr>
            <w:tcW w:w="22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99.1XX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Side Letter, dated March 17, 2001, between the Company and Oleh S. Hnatiuk regarding NeuroSpheres License Agreement,</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dated October 30, 2000.</w:t>
            </w:r>
          </w:p>
        </w:tc>
      </w:tr>
      <w:tr>
        <w:trPr>
          <w:trHeight w:val="216"/>
        </w:trPr>
        <w:tc>
          <w:tcPr>
            <w:tcW w:w="20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(Martin McGlynn, Chief Executive Officer)</w:t>
            </w:r>
          </w:p>
        </w:tc>
      </w:tr>
      <w:tr>
        <w:trPr>
          <w:trHeight w:val="216"/>
        </w:trPr>
        <w:tc>
          <w:tcPr>
            <w:tcW w:w="20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8"/>
                <w:szCs w:val="18"/>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28"/>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(George Koshy, Acting Chief Financial Officer)</w:t>
            </w:r>
          </w:p>
        </w:tc>
      </w:tr>
      <w:tr>
        <w:trPr>
          <w:trHeight w:val="218"/>
        </w:trPr>
        <w:tc>
          <w:tcPr>
            <w:tcW w:w="2080" w:type="dxa"/>
            <w:vAlign w:val="bottom"/>
            <w:tcBorders>
              <w:bottom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00" w:type="dxa"/>
            <w:vAlign w:val="bottom"/>
          </w:tcPr>
          <w:p>
            <w:pPr>
              <w:spacing w:after="0"/>
              <w:rPr>
                <w:sz w:val="18"/>
                <w:szCs w:val="18"/>
                <w:color w:val="auto"/>
              </w:rPr>
            </w:pPr>
          </w:p>
        </w:tc>
      </w:tr>
    </w:tbl>
    <w:p>
      <w:pPr>
        <w:spacing w:after="0" w:line="3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w:t>
      </w:r>
    </w:p>
    <w:p>
      <w:pPr>
        <w:spacing w:after="0" w:line="21" w:lineRule="exact"/>
        <w:rPr>
          <w:sz w:val="20"/>
          <w:szCs w:val="20"/>
          <w:color w:val="auto"/>
        </w:rPr>
      </w:pPr>
    </w:p>
    <w:p>
      <w:pPr>
        <w:ind w:left="820" w:hanging="812"/>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33-85494.</w:t>
      </w:r>
    </w:p>
    <w:p>
      <w:pPr>
        <w:spacing w:after="0" w:line="267" w:lineRule="exact"/>
        <w:rPr>
          <w:sz w:val="20"/>
          <w:szCs w:val="20"/>
          <w:color w:val="auto"/>
        </w:rPr>
      </w:pPr>
    </w:p>
    <w:p>
      <w:pPr>
        <w:ind w:left="820" w:right="280" w:hanging="812"/>
        <w:spacing w:after="0" w:line="275"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S-3, File No. 33-97272.</w:t>
      </w:r>
    </w:p>
    <w:p>
      <w:pPr>
        <w:spacing w:after="0" w:line="201" w:lineRule="exact"/>
        <w:rPr>
          <w:sz w:val="20"/>
          <w:szCs w:val="20"/>
          <w:color w:val="auto"/>
        </w:rPr>
      </w:pPr>
    </w:p>
    <w:p>
      <w:pPr>
        <w:ind w:left="820" w:right="280" w:hanging="812"/>
        <w:spacing w:after="0" w:line="275"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33-91228.</w:t>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Registration Statement on Form S-1, File No. 33-45739.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Annual Report on Form 10-K for fiscal</w:t>
      </w:r>
    </w:p>
    <w:p>
      <w:pPr>
        <w:spacing w:after="0" w:line="44" w:lineRule="exact"/>
        <w:rPr>
          <w:sz w:val="20"/>
          <w:szCs w:val="20"/>
          <w:color w:val="auto"/>
        </w:rPr>
      </w:pPr>
    </w:p>
    <w:p>
      <w:pPr>
        <w:ind w:left="820" w:hanging="812"/>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ended December 31, 1992 and filed March 30, 1993.</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Confidential treatment requested as to certain portions. The term “confidential treatment” and the mark “**” as used throughout the indicated Exhibits</w:t>
      </w:r>
    </w:p>
    <w:p>
      <w:pPr>
        <w:spacing w:after="0" w:line="44" w:lineRule="exact"/>
        <w:rPr>
          <w:sz w:val="20"/>
          <w:szCs w:val="20"/>
          <w:color w:val="auto"/>
        </w:rPr>
      </w:pPr>
    </w:p>
    <w:p>
      <w:pPr>
        <w:ind w:left="820" w:hanging="812"/>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that material has been omitted and separately filed with the Commission.</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Quarterly Report on Form 10-Q for the</w:t>
      </w:r>
    </w:p>
    <w:p>
      <w:pPr>
        <w:spacing w:after="0" w:line="44" w:lineRule="exact"/>
        <w:rPr>
          <w:sz w:val="20"/>
          <w:szCs w:val="20"/>
          <w:color w:val="auto"/>
        </w:rPr>
      </w:pPr>
    </w:p>
    <w:p>
      <w:pPr>
        <w:ind w:left="820" w:hanging="812"/>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March 31, 1994 and filed on May 14, 1994.</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1993 and filed on March 30, 1994.</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w:t>
      </w:r>
    </w:p>
    <w:p>
      <w:pPr>
        <w:spacing w:after="0" w:line="21" w:lineRule="exact"/>
        <w:rPr>
          <w:sz w:val="20"/>
          <w:szCs w:val="20"/>
          <w:color w:val="auto"/>
        </w:rPr>
      </w:pPr>
    </w:p>
    <w:p>
      <w:pPr>
        <w:ind w:left="820" w:hanging="812"/>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March 31, 1996.</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w:t>
      </w:r>
    </w:p>
    <w:p>
      <w:pPr>
        <w:spacing w:after="0" w:line="21" w:lineRule="exact"/>
        <w:rPr>
          <w:sz w:val="20"/>
          <w:szCs w:val="20"/>
          <w:color w:val="auto"/>
        </w:rPr>
      </w:pPr>
    </w:p>
    <w:p>
      <w:pPr>
        <w:ind w:left="820" w:hanging="812"/>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September 30, 1996.</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an Exhibit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1996 and filed on March 31, 1997.</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an Exhibit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1995.</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Quarterly Report on Form 10-Q for the</w:t>
      </w:r>
    </w:p>
    <w:p>
      <w:pPr>
        <w:spacing w:after="0" w:line="44" w:lineRule="exact"/>
        <w:rPr>
          <w:sz w:val="20"/>
          <w:szCs w:val="20"/>
          <w:color w:val="auto"/>
        </w:rPr>
      </w:pPr>
    </w:p>
    <w:p>
      <w:pPr>
        <w:ind w:left="820" w:hanging="812"/>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September 30, 1997 and filed on November 14, 1997.</w:t>
      </w:r>
    </w:p>
    <w:p>
      <w:pPr>
        <w:spacing w:after="0" w:line="266" w:lineRule="exact"/>
        <w:rPr>
          <w:rFonts w:ascii="Times New Roman" w:cs="Times New Roman" w:eastAsia="Times New Roman" w:hAnsi="Times New Roman"/>
          <w:sz w:val="18"/>
          <w:szCs w:val="18"/>
          <w:color w:val="auto"/>
        </w:rPr>
      </w:pPr>
    </w:p>
    <w:p>
      <w:pPr>
        <w:ind w:left="820" w:right="280" w:hanging="812"/>
        <w:spacing w:after="0" w:line="275"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S-8, File No. 333-37313.</w:t>
      </w:r>
    </w:p>
    <w:p>
      <w:pPr>
        <w:spacing w:after="0" w:line="201" w:lineRule="exact"/>
        <w:rPr>
          <w:sz w:val="20"/>
          <w:szCs w:val="20"/>
          <w:color w:val="auto"/>
        </w:rPr>
      </w:pPr>
    </w:p>
    <w:p>
      <w:pPr>
        <w:ind w:left="820" w:right="240" w:hanging="812"/>
        <w:spacing w:after="0" w:line="275"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1420"/>
          </w:cols>
          <w:pgMar w:left="240" w:top="41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current report on Form 8-K filed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3, 1998.</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current report on Form 8-K filed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7, 2001.</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annual report on Form 10-K for the</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fiscal year ended December 31, 1998 and filed on March 31, 1999.</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14, 2000.</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definitive proxy statement filed</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1, 2001.</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Previously filed with the Commission as an Exhibit to, and incorporated herein by reference to, the Registrant’s Registration Statement on Form S-1,</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 No. 333-45496.</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Previously filed with the Commission as an Exhibit to, and incorporated herein by reference to, the Registrant’s Annual Report on Form 10-K for the</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XX</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fiscal year ended December 31, 2000 and filed on April 2, 2001.</w:t>
            </w:r>
          </w:p>
        </w:tc>
      </w:tr>
    </w:tbl>
    <w:p>
      <w:pPr>
        <w:spacing w:after="0" w:line="231" w:lineRule="exact"/>
        <w:rPr>
          <w:sz w:val="20"/>
          <w:szCs w:val="20"/>
          <w:color w:val="auto"/>
        </w:rPr>
      </w:pPr>
    </w:p>
    <w:p>
      <w:pPr>
        <w:ind w:left="820" w:right="500" w:hanging="812"/>
        <w:spacing w:after="0" w:line="275"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 herein by reference to, the Registrant’s Registration Statement filed on Form S-1 as amended to Form S-3, File No. 333-61726.</w:t>
      </w:r>
    </w:p>
    <w:p>
      <w:pPr>
        <w:spacing w:after="0" w:line="201" w:lineRule="exact"/>
        <w:rPr>
          <w:sz w:val="20"/>
          <w:szCs w:val="20"/>
          <w:color w:val="auto"/>
        </w:rPr>
      </w:pPr>
    </w:p>
    <w:p>
      <w:pPr>
        <w:ind w:left="820" w:right="400" w:hanging="812"/>
        <w:spacing w:after="0" w:line="275"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filed on Form S-3, File No. 333-75806.</w:t>
      </w:r>
    </w:p>
    <w:p>
      <w:pPr>
        <w:spacing w:after="0" w:line="20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w:t>
      </w:r>
    </w:p>
    <w:p>
      <w:pPr>
        <w:spacing w:after="0" w:line="252" w:lineRule="exact"/>
        <w:rPr>
          <w:sz w:val="20"/>
          <w:szCs w:val="20"/>
          <w:color w:val="auto"/>
        </w:rPr>
      </w:pPr>
    </w:p>
    <w:p>
      <w:pPr>
        <w:jc w:val="both"/>
        <w:ind w:right="40" w:firstLine="324"/>
        <w:spacing w:after="0" w:line="339" w:lineRule="auto"/>
        <w:rPr>
          <w:sz w:val="20"/>
          <w:szCs w:val="20"/>
          <w:color w:val="auto"/>
        </w:rPr>
      </w:pPr>
      <w:r>
        <w:rPr>
          <w:rFonts w:ascii="Times New Roman" w:cs="Times New Roman" w:eastAsia="Times New Roman" w:hAnsi="Times New Roman"/>
          <w:sz w:val="16"/>
          <w:szCs w:val="16"/>
          <w:color w:val="auto"/>
        </w:rPr>
        <w:t>A current report on Form 8-K was filed by the Registrant on December 23, 2002. In that report, under Item 5, the Registrant reported that the Nasdaq Stock Market had approved its application to transfer the listing of its common stock from the National Market to the SmallCap Market, effective December 23, 2002.</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STEMCELLS, INC.</w:t>
      </w: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100965</wp:posOffset>
            </wp:positionV>
            <wp:extent cx="43478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Martin McGlynn</w:t>
      </w:r>
    </w:p>
    <w:p>
      <w:pPr>
        <w:spacing w:after="0" w:line="3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28, 2003</w:t>
      </w:r>
    </w:p>
    <w:p>
      <w:pPr>
        <w:spacing w:after="0" w:line="252"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8" w:lineRule="exact"/>
        <w:rPr>
          <w:sz w:val="20"/>
          <w:szCs w:val="20"/>
          <w:color w:val="auto"/>
        </w:rPr>
      </w:pPr>
    </w:p>
    <w:p>
      <w:pPr>
        <w:ind w:left="2420"/>
        <w:spacing w:after="0"/>
        <w:tabs>
          <w:tab w:leader="none" w:pos="7500" w:val="left"/>
          <w:tab w:leader="none" w:pos="106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Capacity</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 MARTIN MCGLYNN</w:t>
            </w:r>
          </w:p>
        </w:tc>
        <w:tc>
          <w:tcPr>
            <w:tcW w:w="46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7"/>
              </w:rPr>
              <w:t>President and Chief Executive Officer and Director</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109"/>
        </w:trPr>
        <w:tc>
          <w:tcPr>
            <w:tcW w:w="5400" w:type="dxa"/>
            <w:vAlign w:val="bottom"/>
            <w:tcBorders>
              <w:bottom w:val="single" w:sz="8" w:color="808080"/>
            </w:tcBorders>
          </w:tcPr>
          <w:p>
            <w:pPr>
              <w:spacing w:after="0"/>
              <w:rPr>
                <w:sz w:val="9"/>
                <w:szCs w:val="9"/>
                <w:color w:val="auto"/>
              </w:rPr>
            </w:pPr>
          </w:p>
        </w:tc>
        <w:tc>
          <w:tcPr>
            <w:tcW w:w="4600" w:type="dxa"/>
            <w:vAlign w:val="bottom"/>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Martin McGlynn</w:t>
            </w:r>
          </w:p>
        </w:tc>
        <w:tc>
          <w:tcPr>
            <w:tcW w:w="4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GEORGE KOSHY</w:t>
            </w:r>
          </w:p>
        </w:tc>
        <w:tc>
          <w:tcPr>
            <w:tcW w:w="46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Controller and Acting Chief Financial Officer (principal</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109"/>
        </w:trPr>
        <w:tc>
          <w:tcPr>
            <w:tcW w:w="5400" w:type="dxa"/>
            <w:vAlign w:val="bottom"/>
            <w:tcBorders>
              <w:bottom w:val="single" w:sz="8" w:color="808080"/>
            </w:tcBorders>
          </w:tcPr>
          <w:p>
            <w:pPr>
              <w:spacing w:after="0"/>
              <w:rPr>
                <w:sz w:val="9"/>
                <w:szCs w:val="9"/>
                <w:color w:val="auto"/>
              </w:rPr>
            </w:pPr>
          </w:p>
        </w:tc>
        <w:tc>
          <w:tcPr>
            <w:tcW w:w="4600" w:type="dxa"/>
            <w:vAlign w:val="bottom"/>
            <w:vMerge w:val="restart"/>
          </w:tcPr>
          <w:p>
            <w:pPr>
              <w:jc w:val="center"/>
              <w:ind w:left="92"/>
              <w:spacing w:after="0"/>
              <w:rPr>
                <w:sz w:val="20"/>
                <w:szCs w:val="20"/>
                <w:color w:val="auto"/>
              </w:rPr>
            </w:pPr>
            <w:r>
              <w:rPr>
                <w:rFonts w:ascii="Times New Roman" w:cs="Times New Roman" w:eastAsia="Times New Roman" w:hAnsi="Times New Roman"/>
                <w:sz w:val="18"/>
                <w:szCs w:val="18"/>
                <w:color w:val="auto"/>
                <w:w w:val="97"/>
              </w:rPr>
              <w:t>financial officer and principal accounting officer)</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George Koshy</w:t>
            </w:r>
          </w:p>
        </w:tc>
        <w:tc>
          <w:tcPr>
            <w:tcW w:w="4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RICARDO B. LEVY, PH.D.</w:t>
            </w:r>
          </w:p>
        </w:tc>
        <w:tc>
          <w:tcPr>
            <w:tcW w:w="46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Director</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4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Ricardo B. Levy, Ph.D.</w:t>
            </w: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ROGER PERLMUTTER, M.D.</w:t>
            </w:r>
          </w:p>
        </w:tc>
        <w:tc>
          <w:tcPr>
            <w:tcW w:w="46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Director</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4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Roger Perlmutter, M.D.</w:t>
            </w: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JOHN J. SCHWARTZ, PH.D.</w:t>
            </w:r>
          </w:p>
        </w:tc>
        <w:tc>
          <w:tcPr>
            <w:tcW w:w="46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7"/>
              </w:rPr>
              <w:t>Director, Chairman of the Board</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4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J. Schwartz, Ph.D.</w:t>
            </w: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IRVING L. WEISSMAN, M.D.</w:t>
            </w:r>
          </w:p>
        </w:tc>
        <w:tc>
          <w:tcPr>
            <w:tcW w:w="46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Director</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4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Irving L. Weissman, M.D.</w:t>
            </w: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460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McGlynn, certify that:</w:t>
      </w:r>
    </w:p>
    <w:p>
      <w:pPr>
        <w:spacing w:after="0" w:line="252" w:lineRule="exact"/>
        <w:rPr>
          <w:sz w:val="20"/>
          <w:szCs w:val="20"/>
          <w:color w:val="auto"/>
        </w:rPr>
      </w:pPr>
    </w:p>
    <w:p>
      <w:pPr>
        <w:ind w:left="580" w:hanging="248"/>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StemCells, Inc.;</w:t>
      </w:r>
    </w:p>
    <w:p>
      <w:pPr>
        <w:spacing w:after="0" w:line="252" w:lineRule="exact"/>
        <w:rPr>
          <w:rFonts w:ascii="Times New Roman" w:cs="Times New Roman" w:eastAsia="Times New Roman" w:hAnsi="Times New Roman"/>
          <w:sz w:val="18"/>
          <w:szCs w:val="18"/>
          <w:color w:val="auto"/>
        </w:rPr>
      </w:pPr>
    </w:p>
    <w:p>
      <w:pPr>
        <w:ind w:right="100" w:firstLine="332"/>
        <w:spacing w:after="0" w:line="339" w:lineRule="auto"/>
        <w:tabs>
          <w:tab w:leader="none" w:pos="57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5" w:lineRule="exact"/>
        <w:rPr>
          <w:rFonts w:ascii="Times New Roman" w:cs="Times New Roman" w:eastAsia="Times New Roman" w:hAnsi="Times New Roman"/>
          <w:sz w:val="16"/>
          <w:szCs w:val="16"/>
          <w:color w:val="auto"/>
        </w:rPr>
      </w:pPr>
    </w:p>
    <w:p>
      <w:pPr>
        <w:ind w:right="60" w:firstLine="332"/>
        <w:spacing w:after="0" w:line="275" w:lineRule="auto"/>
        <w:tabs>
          <w:tab w:leader="none" w:pos="5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Times New Roman" w:cs="Times New Roman" w:eastAsia="Times New Roman" w:hAnsi="Times New Roman"/>
          <w:sz w:val="18"/>
          <w:szCs w:val="18"/>
          <w:color w:val="auto"/>
        </w:rPr>
      </w:pPr>
    </w:p>
    <w:p>
      <w:pPr>
        <w:ind w:firstLine="332"/>
        <w:spacing w:after="0" w:line="275" w:lineRule="auto"/>
        <w:tabs>
          <w:tab w:leader="none" w:pos="5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Times New Roman" w:cs="Times New Roman" w:eastAsia="Times New Roman" w:hAnsi="Times New Roman"/>
          <w:sz w:val="18"/>
          <w:szCs w:val="18"/>
          <w:color w:val="auto"/>
        </w:rPr>
      </w:pPr>
    </w:p>
    <w:p>
      <w:pPr>
        <w:ind w:left="360" w:right="60" w:firstLine="323"/>
        <w:spacing w:after="0" w:line="275" w:lineRule="auto"/>
        <w:tabs>
          <w:tab w:leader="none" w:pos="8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27" w:lineRule="exact"/>
        <w:rPr>
          <w:rFonts w:ascii="Times New Roman" w:cs="Times New Roman" w:eastAsia="Times New Roman" w:hAnsi="Times New Roman"/>
          <w:sz w:val="18"/>
          <w:szCs w:val="18"/>
          <w:color w:val="auto"/>
        </w:rPr>
      </w:pPr>
    </w:p>
    <w:p>
      <w:pPr>
        <w:ind w:left="360" w:right="400" w:firstLine="323"/>
        <w:spacing w:after="0" w:line="275"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227" w:lineRule="exact"/>
        <w:rPr>
          <w:rFonts w:ascii="Times New Roman" w:cs="Times New Roman" w:eastAsia="Times New Roman" w:hAnsi="Times New Roman"/>
          <w:sz w:val="18"/>
          <w:szCs w:val="18"/>
          <w:color w:val="auto"/>
        </w:rPr>
      </w:pPr>
    </w:p>
    <w:p>
      <w:pPr>
        <w:ind w:left="360" w:right="340" w:firstLine="323"/>
        <w:spacing w:after="0" w:line="275" w:lineRule="auto"/>
        <w:tabs>
          <w:tab w:leader="none" w:pos="8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ind w:right="80" w:firstLine="332"/>
        <w:spacing w:after="0" w:line="275" w:lineRule="auto"/>
        <w:tabs>
          <w:tab w:leader="none" w:pos="5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200" w:lineRule="exact"/>
        <w:rPr>
          <w:rFonts w:ascii="Times New Roman" w:cs="Times New Roman" w:eastAsia="Times New Roman" w:hAnsi="Times New Roman"/>
          <w:sz w:val="18"/>
          <w:szCs w:val="18"/>
          <w:color w:val="auto"/>
        </w:rPr>
      </w:pPr>
    </w:p>
    <w:p>
      <w:pPr>
        <w:ind w:left="360" w:right="520" w:firstLine="323"/>
        <w:spacing w:after="0" w:line="275" w:lineRule="auto"/>
        <w:tabs>
          <w:tab w:leader="none" w:pos="8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27" w:lineRule="exact"/>
        <w:rPr>
          <w:rFonts w:ascii="Times New Roman" w:cs="Times New Roman" w:eastAsia="Times New Roman" w:hAnsi="Times New Roman"/>
          <w:sz w:val="18"/>
          <w:szCs w:val="18"/>
          <w:color w:val="auto"/>
        </w:rPr>
      </w:pPr>
    </w:p>
    <w:p>
      <w:pPr>
        <w:ind w:left="860" w:hanging="177"/>
        <w:spacing w:after="0"/>
        <w:tabs>
          <w:tab w:leader="none" w:pos="86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and</w:t>
      </w:r>
    </w:p>
    <w:p>
      <w:pPr>
        <w:spacing w:after="0" w:line="275" w:lineRule="exact"/>
        <w:rPr>
          <w:rFonts w:ascii="Times New Roman" w:cs="Times New Roman" w:eastAsia="Times New Roman" w:hAnsi="Times New Roman"/>
          <w:sz w:val="16"/>
          <w:szCs w:val="16"/>
          <w:color w:val="auto"/>
        </w:rPr>
      </w:pPr>
    </w:p>
    <w:p>
      <w:pPr>
        <w:jc w:val="both"/>
        <w:ind w:right="120" w:firstLine="332"/>
        <w:spacing w:after="0" w:line="262" w:lineRule="auto"/>
        <w:tabs>
          <w:tab w:leader="none" w:pos="5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100965</wp:posOffset>
            </wp:positionV>
            <wp:extent cx="4347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8"/>
          <w:szCs w:val="18"/>
          <w:color w:val="auto"/>
        </w:rPr>
        <w:t>Martin McGlynn</w:t>
      </w:r>
    </w:p>
    <w:p>
      <w:pPr>
        <w:spacing w:after="0" w:line="34"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2003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ACTING CHIEF FINANCIAL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Koshy, certify that:</w:t>
      </w:r>
    </w:p>
    <w:p>
      <w:pPr>
        <w:spacing w:after="0" w:line="252" w:lineRule="exact"/>
        <w:rPr>
          <w:sz w:val="20"/>
          <w:szCs w:val="20"/>
          <w:color w:val="auto"/>
        </w:rPr>
      </w:pPr>
    </w:p>
    <w:p>
      <w:pPr>
        <w:ind w:left="580" w:hanging="248"/>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StemCells, Inc.;</w:t>
      </w:r>
    </w:p>
    <w:p>
      <w:pPr>
        <w:spacing w:after="0" w:line="252" w:lineRule="exact"/>
        <w:rPr>
          <w:rFonts w:ascii="Times New Roman" w:cs="Times New Roman" w:eastAsia="Times New Roman" w:hAnsi="Times New Roman"/>
          <w:sz w:val="18"/>
          <w:szCs w:val="18"/>
          <w:color w:val="auto"/>
        </w:rPr>
      </w:pPr>
    </w:p>
    <w:p>
      <w:pPr>
        <w:ind w:right="100" w:firstLine="332"/>
        <w:spacing w:after="0" w:line="339" w:lineRule="auto"/>
        <w:tabs>
          <w:tab w:leader="none" w:pos="57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5" w:lineRule="exact"/>
        <w:rPr>
          <w:rFonts w:ascii="Times New Roman" w:cs="Times New Roman" w:eastAsia="Times New Roman" w:hAnsi="Times New Roman"/>
          <w:sz w:val="16"/>
          <w:szCs w:val="16"/>
          <w:color w:val="auto"/>
        </w:rPr>
      </w:pPr>
    </w:p>
    <w:p>
      <w:pPr>
        <w:ind w:right="60" w:firstLine="332"/>
        <w:spacing w:after="0" w:line="275" w:lineRule="auto"/>
        <w:tabs>
          <w:tab w:leader="none" w:pos="5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Times New Roman" w:cs="Times New Roman" w:eastAsia="Times New Roman" w:hAnsi="Times New Roman"/>
          <w:sz w:val="18"/>
          <w:szCs w:val="18"/>
          <w:color w:val="auto"/>
        </w:rPr>
      </w:pPr>
    </w:p>
    <w:p>
      <w:pPr>
        <w:ind w:firstLine="332"/>
        <w:spacing w:after="0" w:line="275" w:lineRule="auto"/>
        <w:tabs>
          <w:tab w:leader="none" w:pos="5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Times New Roman" w:cs="Times New Roman" w:eastAsia="Times New Roman" w:hAnsi="Times New Roman"/>
          <w:sz w:val="18"/>
          <w:szCs w:val="18"/>
          <w:color w:val="auto"/>
        </w:rPr>
      </w:pPr>
    </w:p>
    <w:p>
      <w:pPr>
        <w:ind w:left="360" w:right="60" w:firstLine="323"/>
        <w:spacing w:after="0" w:line="275" w:lineRule="auto"/>
        <w:tabs>
          <w:tab w:leader="none" w:pos="8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27" w:lineRule="exact"/>
        <w:rPr>
          <w:rFonts w:ascii="Times New Roman" w:cs="Times New Roman" w:eastAsia="Times New Roman" w:hAnsi="Times New Roman"/>
          <w:sz w:val="18"/>
          <w:szCs w:val="18"/>
          <w:color w:val="auto"/>
        </w:rPr>
      </w:pPr>
    </w:p>
    <w:p>
      <w:pPr>
        <w:ind w:left="360" w:right="400" w:firstLine="323"/>
        <w:spacing w:after="0" w:line="275"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227" w:lineRule="exact"/>
        <w:rPr>
          <w:rFonts w:ascii="Times New Roman" w:cs="Times New Roman" w:eastAsia="Times New Roman" w:hAnsi="Times New Roman"/>
          <w:sz w:val="18"/>
          <w:szCs w:val="18"/>
          <w:color w:val="auto"/>
        </w:rPr>
      </w:pPr>
    </w:p>
    <w:p>
      <w:pPr>
        <w:ind w:left="360" w:right="340" w:firstLine="323"/>
        <w:spacing w:after="0" w:line="275" w:lineRule="auto"/>
        <w:tabs>
          <w:tab w:leader="none" w:pos="8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ind w:right="80" w:firstLine="332"/>
        <w:spacing w:after="0" w:line="275" w:lineRule="auto"/>
        <w:tabs>
          <w:tab w:leader="none" w:pos="5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200" w:lineRule="exact"/>
        <w:rPr>
          <w:rFonts w:ascii="Times New Roman" w:cs="Times New Roman" w:eastAsia="Times New Roman" w:hAnsi="Times New Roman"/>
          <w:sz w:val="18"/>
          <w:szCs w:val="18"/>
          <w:color w:val="auto"/>
        </w:rPr>
      </w:pPr>
    </w:p>
    <w:p>
      <w:pPr>
        <w:ind w:left="360" w:right="520" w:firstLine="323"/>
        <w:spacing w:after="0" w:line="275" w:lineRule="auto"/>
        <w:tabs>
          <w:tab w:leader="none" w:pos="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27" w:lineRule="exact"/>
        <w:rPr>
          <w:rFonts w:ascii="Times New Roman" w:cs="Times New Roman" w:eastAsia="Times New Roman" w:hAnsi="Times New Roman"/>
          <w:sz w:val="18"/>
          <w:szCs w:val="18"/>
          <w:color w:val="auto"/>
        </w:rPr>
      </w:pPr>
    </w:p>
    <w:p>
      <w:pPr>
        <w:ind w:left="840" w:hanging="157"/>
        <w:spacing w:after="0"/>
        <w:tabs>
          <w:tab w:leader="none" w:pos="8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and</w:t>
      </w:r>
    </w:p>
    <w:p>
      <w:pPr>
        <w:spacing w:after="0" w:line="275" w:lineRule="exact"/>
        <w:rPr>
          <w:rFonts w:ascii="Times New Roman" w:cs="Times New Roman" w:eastAsia="Times New Roman" w:hAnsi="Times New Roman"/>
          <w:sz w:val="16"/>
          <w:szCs w:val="16"/>
          <w:color w:val="auto"/>
        </w:rPr>
      </w:pPr>
    </w:p>
    <w:p>
      <w:pPr>
        <w:jc w:val="both"/>
        <w:ind w:right="120" w:firstLine="332"/>
        <w:spacing w:after="0" w:line="262" w:lineRule="auto"/>
        <w:tabs>
          <w:tab w:leader="none" w:pos="5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100965</wp:posOffset>
            </wp:positionV>
            <wp:extent cx="43478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8"/>
          <w:szCs w:val="18"/>
          <w:color w:val="auto"/>
        </w:rPr>
        <w:t>George Koshy</w:t>
      </w:r>
    </w:p>
    <w:p>
      <w:pPr>
        <w:spacing w:after="0" w:line="34"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8"/>
          <w:szCs w:val="18"/>
          <w:i w:val="1"/>
          <w:iCs w:val="1"/>
          <w:color w:val="auto"/>
        </w:rPr>
        <w:t>Controller and Acting Chief Financial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2003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0" w:type="dxa"/>
            <w:vAlign w:val="bottom"/>
          </w:tcPr>
          <w:p>
            <w:pPr>
              <w:jc w:val="center"/>
              <w:ind w:right="2522"/>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r>
      <w:tr>
        <w:trPr>
          <w:trHeight w:val="596"/>
        </w:trPr>
        <w:tc>
          <w:tcPr>
            <w:tcW w:w="230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880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0" w:type="dxa"/>
            <w:vAlign w:val="bottom"/>
            <w:tcBorders>
              <w:bottom w:val="single" w:sz="8" w:color="808080"/>
            </w:tcBorders>
          </w:tcPr>
          <w:p>
            <w:pPr>
              <w:spacing w:after="0"/>
              <w:rPr>
                <w:sz w:val="8"/>
                <w:szCs w:val="8"/>
                <w:color w:val="auto"/>
              </w:rPr>
            </w:pPr>
          </w:p>
        </w:tc>
      </w:tr>
      <w:tr>
        <w:trPr>
          <w:trHeight w:val="303"/>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Warrant Certificate issued to a certain purchaser of the Registrant’s Common Stock in April 1995.</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4.3X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Mark Angelo</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4.4X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Robert Farrell</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4.5X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Joseph Donahue</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4.6X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Hunter Singer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4.7X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May Davis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4.8X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4.9X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4.10XXX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May 10, 2001 between the Registrant and Sativum Investments Limited.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4.11XXX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Sativum Investments Limited.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4.12XXX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Pacific Crest Securities,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4.13XXX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Granite Financial Group,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4.14XXX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 dated June 21, 2001, issued to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4.15XXX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 Class A, dated June 21, 2001, issued to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4.16[**]</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Designations of the Powers, Preferences and Relative, Participating, Optional and other Special Rights of</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Preferred Stock and Qualifications, Limitations and Restrictions Thereof of 3% Cumulative Convertible Preferred Stock for</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4.17[**]</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4.18XXXX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Cantor Fitzgerald &amp; Co.</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Amendment to Registration Rights dated as of February 14, 1992 among the Registrant and certain of its stockholders.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at-will Employment Agreement between the Registrant and most of its employees.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Agreement for Consulting Services between the Registrant and members of its Scientific Advisory Board.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Nondisclosure Agreement between the Registrant and its Contractors.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Master Lease and Warrant Agreement dated April 23, 1991 between the Registrant and PacifiCorp Credit,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1988 Stock Option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10.7*</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Equity Incentive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10.8*</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Stock Option Plan for Non-Employee Directors.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10.9**!!!!</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Employee Stock Purchase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Research Agreement dated as of March 16, 1994 between NeuroSpheres, Ltd. and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10.13++</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September 30, 1994 between The First National Bank of Boston and Registrant.</w:t>
            </w:r>
          </w:p>
        </w:tc>
      </w:tr>
      <w:tr>
        <w:trPr>
          <w:trHeight w:val="228"/>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10.14++</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Agreement between the Registrant and Rhode Island Industrial Facilities Corporation, dated as of August 1, 1992.</w:t>
            </w:r>
          </w:p>
        </w:tc>
      </w:tr>
      <w:tr>
        <w:trPr>
          <w:trHeight w:val="432"/>
        </w:trPr>
        <w:tc>
          <w:tcPr>
            <w:tcW w:w="2300" w:type="dxa"/>
            <w:vAlign w:val="bottom"/>
          </w:tcPr>
          <w:p>
            <w:pPr>
              <w:spacing w:after="0"/>
              <w:rPr>
                <w:sz w:val="24"/>
                <w:szCs w:val="24"/>
                <w:color w:val="auto"/>
              </w:rPr>
            </w:pPr>
          </w:p>
        </w:tc>
        <w:tc>
          <w:tcPr>
            <w:tcW w:w="9120" w:type="dxa"/>
            <w:vAlign w:val="bottom"/>
            <w:gridSpan w:val="2"/>
          </w:tcPr>
          <w:p>
            <w:pPr>
              <w:jc w:val="right"/>
              <w:ind w:right="5542"/>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2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680" w:type="dxa"/>
            <w:vAlign w:val="bottom"/>
          </w:tcPr>
          <w:p>
            <w:pPr>
              <w:jc w:val="right"/>
              <w:ind w:right="3692"/>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r>
      <w:tr>
        <w:trPr>
          <w:trHeight w:val="303"/>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First Amendment to Lease Agreement between Registrant and The Rhode Island Industrial Facilities Corporation dated as</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September 15, 1994.</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Development, Marketing and License Agreement, dated as of March 30, 1995 between Registrant and Astra AB.</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Form of Unit Purchase Agreement to be executed by the purchasers of the Common Stock and Warrants offered in April</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Common Stock Purchase Agreement to be executed among the Registrant and certain purchasers of the</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Registrant’s Common Stock.</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Agreement dated as of November 21, 1997 by and between Hub RI Properties Trust, as Landlord, and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CytoTherapeutics, Inc., as Tenant.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individual stockholders option agreement dated as of July 10, 1996 among the Company and the individuals listed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therein.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Valoria option agreement dated of July 10, 1996 between the Company and the Societe Financiere Valoria SA.</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October 22, 1996 between The First National Bank of Boston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and Plan of Merger dated as of August 13, 1997 among StemCells, Inc., the Registrant and CTI Acquisition</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Consulting Agreement dated as of September 25, 1997 between Dr. Irving Weissman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among each of Dr. Irving Weissman and Dr. Fred H. Gage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 1996 Stock Option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1997 StemCells Research Stock Option Plan (the “1997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Performance-Based Incentive Option Agreement issued under the 1997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Employment Agreement dated as of September 25, 1997 between Dr. Richard M. Rose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Rights Agreement, dated as of July 27, 1998 between Bank Boston, N.A. as Rights Agent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10.40$**</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Consulting Services Agreement dated as of July 27, 1998, as amended December 19, 1998 between Dr. John J. Schwartz</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10.41$**</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as of December 19, 1998 between John J. Schwartz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November 20,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Purchase Agreement and License Agreement dated as of December 29, 1999 between Neurotech S.A.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10.48X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dated as of July 31, 2000 between the Registrant and investors.</w:t>
            </w:r>
          </w:p>
        </w:tc>
      </w:tr>
      <w:tr>
        <w:trPr>
          <w:trHeight w:val="228"/>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10.49X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July 31, 2000 between the Registrant and Millennium Partners, L.P.</w:t>
            </w:r>
          </w:p>
        </w:tc>
      </w:tr>
      <w:tr>
        <w:trPr>
          <w:trHeight w:val="432"/>
        </w:trPr>
        <w:tc>
          <w:tcPr>
            <w:tcW w:w="2420" w:type="dxa"/>
            <w:vAlign w:val="bottom"/>
          </w:tcPr>
          <w:p>
            <w:pPr>
              <w:spacing w:after="0"/>
              <w:rPr>
                <w:sz w:val="24"/>
                <w:szCs w:val="24"/>
                <w:color w:val="auto"/>
              </w:rPr>
            </w:pPr>
          </w:p>
        </w:tc>
        <w:tc>
          <w:tcPr>
            <w:tcW w:w="900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color w:val="auto"/>
              </w:rPr>
              <w:t>66</w:t>
            </w:r>
          </w:p>
        </w:tc>
      </w:tr>
      <w:tr>
        <w:trPr>
          <w:trHeight w:val="228"/>
        </w:trPr>
        <w:tc>
          <w:tcPr>
            <w:tcW w:w="2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82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r>
      <w:tr>
        <w:trPr>
          <w:trHeight w:val="303"/>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10.50XXX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Common Stock Purchase Agreement, dated as of May 10, 2001, between the Registrant and Sativum Investments Limited.</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10.51XXX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Escrow Agreement, dated as of May 10, 2001, among the Registrant, Sativum Investments Limited and Epstein, Becker &amp;</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Green, P.C.</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10.52XX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30, 2000, between the Registrant and NeuroSpheres Ltd.</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10.53XX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January 2, 2001, between the Registrant and Martin McGlynn</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10.54XX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dated February 1, 2001, between the Board of Trustees of Stanford University and the Registrant.</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10.55XXX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June 21, 2001, by and between the Registrant and Millennium Partners, L.P.</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10.56XXX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June 21, 2001, by and between the Registrant and Millennium Partners, L.P.</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2001 Equity Incentive Plan</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10.58[**]</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December 4, 2001 between the Registrant and Riverview Group, L.L.C.</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December 4, 2001 between the Registrant and Riverview Group, L.L.C.</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between the Registrant and Millennium Partners, L.P.</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among the Registrant, Millennium Partners, L.P. and Riverview Group, L.L.C.</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Ernst &amp; Young LLP, Independent Auditors.</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Cautionary factors relevant to forward-looking information.</w:t>
            </w:r>
          </w:p>
        </w:tc>
      </w:tr>
      <w:tr>
        <w:trPr>
          <w:trHeight w:val="216"/>
        </w:trPr>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99.1XX</w:t>
            </w: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Side Letter, dated March 17, 2001, between the Company and Oleh S. Hnatiuk regarding NeuroSpheres License Agreement,</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dated October 30, 2000.</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(Martin McGlynn, Chief Executive Officer)</w:t>
            </w:r>
          </w:p>
        </w:tc>
      </w:tr>
      <w:tr>
        <w:trPr>
          <w:trHeight w:val="216"/>
        </w:trPr>
        <w:tc>
          <w:tcPr>
            <w:tcW w:w="20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8"/>
                <w:szCs w:val="18"/>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28"/>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(George Koshy, Acting Chief Financial Officer)</w:t>
            </w:r>
          </w:p>
        </w:tc>
      </w:tr>
      <w:tr>
        <w:trPr>
          <w:trHeight w:val="218"/>
        </w:trPr>
        <w:tc>
          <w:tcPr>
            <w:tcW w:w="2080" w:type="dxa"/>
            <w:vAlign w:val="bottom"/>
            <w:tcBorders>
              <w:bottom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20" w:type="dxa"/>
            <w:vAlign w:val="bottom"/>
          </w:tcPr>
          <w:p>
            <w:pPr>
              <w:spacing w:after="0"/>
              <w:rPr>
                <w:sz w:val="18"/>
                <w:szCs w:val="18"/>
                <w:color w:val="auto"/>
              </w:rPr>
            </w:pPr>
          </w:p>
        </w:tc>
      </w:tr>
    </w:tbl>
    <w:p>
      <w:pPr>
        <w:spacing w:after="0" w:line="3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w:t>
      </w:r>
    </w:p>
    <w:p>
      <w:pPr>
        <w:spacing w:after="0" w:line="21" w:lineRule="exact"/>
        <w:rPr>
          <w:sz w:val="20"/>
          <w:szCs w:val="20"/>
          <w:color w:val="auto"/>
        </w:rPr>
      </w:pPr>
    </w:p>
    <w:p>
      <w:pPr>
        <w:ind w:left="820" w:hanging="812"/>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33-85494.</w:t>
      </w:r>
    </w:p>
    <w:p>
      <w:pPr>
        <w:spacing w:after="0" w:line="267" w:lineRule="exact"/>
        <w:rPr>
          <w:sz w:val="20"/>
          <w:szCs w:val="20"/>
          <w:color w:val="auto"/>
        </w:rPr>
      </w:pPr>
    </w:p>
    <w:p>
      <w:pPr>
        <w:ind w:left="820" w:right="280" w:hanging="812"/>
        <w:spacing w:after="0" w:line="275"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S-3, File No. 33-97272.</w:t>
      </w:r>
    </w:p>
    <w:p>
      <w:pPr>
        <w:spacing w:after="0" w:line="201" w:lineRule="exact"/>
        <w:rPr>
          <w:sz w:val="20"/>
          <w:szCs w:val="20"/>
          <w:color w:val="auto"/>
        </w:rPr>
      </w:pPr>
    </w:p>
    <w:p>
      <w:pPr>
        <w:ind w:left="820" w:right="280" w:hanging="812"/>
        <w:spacing w:after="0" w:line="275"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33-91228.</w:t>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Registration Statement on Form S-1, File No. 33-45739.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Annual Report on Form 10-K for fiscal</w:t>
      </w:r>
    </w:p>
    <w:p>
      <w:pPr>
        <w:spacing w:after="0" w:line="44" w:lineRule="exact"/>
        <w:rPr>
          <w:sz w:val="20"/>
          <w:szCs w:val="20"/>
          <w:color w:val="auto"/>
        </w:rPr>
      </w:pPr>
    </w:p>
    <w:p>
      <w:pPr>
        <w:ind w:left="820" w:hanging="812"/>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ended December 31, 1992 and filed March 30, 1993.</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Confidential treatment requested as to certain portions. The term “confidential treatment” and the mark “**” as used throughout the indicated Exhibits</w:t>
      </w:r>
    </w:p>
    <w:p>
      <w:pPr>
        <w:spacing w:after="0" w:line="44" w:lineRule="exact"/>
        <w:rPr>
          <w:sz w:val="20"/>
          <w:szCs w:val="20"/>
          <w:color w:val="auto"/>
        </w:rPr>
      </w:pPr>
    </w:p>
    <w:p>
      <w:pPr>
        <w:ind w:left="5620" w:right="5060" w:hanging="5612"/>
        <w:spacing w:after="0" w:line="440" w:lineRule="auto"/>
        <w:tabs>
          <w:tab w:leader="none" w:pos="81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that material has been omitted and separately filed with the Commission.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Quarterly Report on Form 10-Q for the</w:t>
      </w:r>
    </w:p>
    <w:p>
      <w:pPr>
        <w:spacing w:after="0" w:line="44" w:lineRule="exact"/>
        <w:rPr>
          <w:sz w:val="20"/>
          <w:szCs w:val="20"/>
          <w:color w:val="auto"/>
        </w:rPr>
      </w:pPr>
    </w:p>
    <w:p>
      <w:pPr>
        <w:ind w:left="820" w:hanging="812"/>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March 31, 1994 and filed on May 14, 1994.</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1993 and filed on March 30, 1994.</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w:t>
      </w:r>
    </w:p>
    <w:p>
      <w:pPr>
        <w:spacing w:after="0" w:line="21" w:lineRule="exact"/>
        <w:rPr>
          <w:sz w:val="20"/>
          <w:szCs w:val="20"/>
          <w:color w:val="auto"/>
        </w:rPr>
      </w:pPr>
    </w:p>
    <w:p>
      <w:pPr>
        <w:ind w:left="820" w:hanging="812"/>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March 31, 1996.</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w:t>
      </w:r>
    </w:p>
    <w:p>
      <w:pPr>
        <w:spacing w:after="0" w:line="21" w:lineRule="exact"/>
        <w:rPr>
          <w:sz w:val="20"/>
          <w:szCs w:val="20"/>
          <w:color w:val="auto"/>
        </w:rPr>
      </w:pPr>
    </w:p>
    <w:p>
      <w:pPr>
        <w:ind w:left="820" w:hanging="812"/>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September 30, 1996.</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an Exhibit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1996 and filed on March 31, 1997.</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an Exhibit to, and incorporated herein by reference to, the Registrant’s Annual Report on Form 10-K for the</w:t>
      </w:r>
    </w:p>
    <w:p>
      <w:pPr>
        <w:spacing w:after="0" w:line="44" w:lineRule="exact"/>
        <w:rPr>
          <w:sz w:val="20"/>
          <w:szCs w:val="20"/>
          <w:color w:val="auto"/>
        </w:rPr>
      </w:pPr>
    </w:p>
    <w:p>
      <w:pPr>
        <w:ind w:left="820" w:hanging="812"/>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December 31, 1995.</w:t>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Previously filed with the Commission as Exhibits to, and incorporated herein by reference to, the Registrant’s Quarterly Report on Form 10-Q for the</w:t>
      </w:r>
    </w:p>
    <w:p>
      <w:pPr>
        <w:spacing w:after="0" w:line="44" w:lineRule="exact"/>
        <w:rPr>
          <w:sz w:val="20"/>
          <w:szCs w:val="20"/>
          <w:color w:val="auto"/>
        </w:rPr>
      </w:pPr>
    </w:p>
    <w:p>
      <w:pPr>
        <w:ind w:left="820" w:hanging="812"/>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ended September 30, 1997 and filed on November 14, 1997.</w:t>
      </w:r>
    </w:p>
    <w:p>
      <w:pPr>
        <w:spacing w:after="0" w:line="266" w:lineRule="exact"/>
        <w:rPr>
          <w:rFonts w:ascii="Times New Roman" w:cs="Times New Roman" w:eastAsia="Times New Roman" w:hAnsi="Times New Roman"/>
          <w:sz w:val="18"/>
          <w:szCs w:val="18"/>
          <w:color w:val="auto"/>
        </w:rPr>
      </w:pPr>
    </w:p>
    <w:p>
      <w:pPr>
        <w:ind w:left="820" w:right="180" w:hanging="812"/>
        <w:spacing w:after="0" w:line="275" w:lineRule="auto"/>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S-8, File No. 333-37313.</w:t>
      </w:r>
    </w:p>
    <w:p>
      <w:pPr>
        <w:spacing w:after="0" w:line="201" w:lineRule="exact"/>
        <w:rPr>
          <w:sz w:val="20"/>
          <w:szCs w:val="20"/>
          <w:color w:val="auto"/>
        </w:rPr>
      </w:pPr>
    </w:p>
    <w:p>
      <w:pPr>
        <w:ind w:left="820" w:right="140" w:hanging="812"/>
        <w:spacing w:after="0" w:line="275"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current report on Form 8-K filed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3, 1998.</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current report on Form 8-K filed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7, 2001.</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Previously filed with the Commission as an Exhibit to, and incorporated herein by reference to, the Registrant’s annual report on Form 10-K for the</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fiscal year ended December 31, 1998 and filed on March 31, 1999.</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14, 2000.</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definitive proxy statement filed</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1, 2001.</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Previously filed with the Commission as an Exhibit to, and incorporated herein by reference to, the Registrant’s Registration Statement on Form S-1,</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 No. 333-45496.</w:t>
            </w:r>
          </w:p>
        </w:tc>
      </w:tr>
      <w:tr>
        <w:trPr>
          <w:trHeight w:val="447"/>
        </w:trPr>
        <w:tc>
          <w:tcPr>
            <w:tcW w:w="5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Previously filed with the Commission as an Exhibit to, and incorporated herein by reference to, the Registrant’s Annual Report on Form 10-K for the</w:t>
            </w:r>
          </w:p>
        </w:tc>
      </w:t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XX</w:t>
            </w:r>
          </w:p>
        </w:tc>
        <w:tc>
          <w:tcPr>
            <w:tcW w:w="10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fiscal year ended December 31, 2000 and filed on April 2, 2001.</w:t>
            </w:r>
          </w:p>
        </w:tc>
      </w:tr>
    </w:tbl>
    <w:p>
      <w:pPr>
        <w:spacing w:after="0" w:line="231" w:lineRule="exact"/>
        <w:rPr>
          <w:sz w:val="20"/>
          <w:szCs w:val="20"/>
          <w:color w:val="auto"/>
        </w:rPr>
      </w:pPr>
    </w:p>
    <w:p>
      <w:pPr>
        <w:ind w:left="820" w:right="520" w:hanging="812"/>
        <w:spacing w:after="0" w:line="275" w:lineRule="auto"/>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 herein by reference to, the Registrant’s Registration Statement filed on Form S-1 as amended to Form S-3, File No. 333-61726.</w:t>
      </w:r>
    </w:p>
    <w:p>
      <w:pPr>
        <w:spacing w:after="0" w:line="201" w:lineRule="exact"/>
        <w:rPr>
          <w:sz w:val="20"/>
          <w:szCs w:val="20"/>
          <w:color w:val="auto"/>
        </w:rPr>
      </w:pPr>
    </w:p>
    <w:p>
      <w:pPr>
        <w:ind w:left="820" w:right="420" w:hanging="812"/>
        <w:spacing w:after="0" w:line="275" w:lineRule="auto"/>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filed on Form S-3, File No. 333-75806.</w:t>
      </w:r>
    </w:p>
    <w:p>
      <w:pPr>
        <w:sectPr>
          <w:pgSz w:w="11900" w:h="16838" w:orient="portrait"/>
          <w:cols w:equalWidth="0" w:num="1">
            <w:col w:w="11320"/>
          </w:cols>
          <w:pgMar w:left="240" w:top="415" w:right="339" w:bottom="1440" w:gutter="0" w:footer="0" w:header="0"/>
        </w:sectPr>
      </w:pP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20"/>
          </w:cols>
          <w:pgMar w:left="240" w:top="415" w:right="339" w:bottom="1440" w:gutter="0" w:footer="0" w:header="0"/>
          <w:type w:val="continuous"/>
        </w:sectPr>
      </w:pPr>
    </w:p>
    <w:bookmarkStart w:id="71" w:name="page72"/>
    <w:bookmarkEnd w:id="7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1" w:lineRule="exact"/>
        <w:rPr>
          <w:sz w:val="20"/>
          <w:szCs w:val="20"/>
          <w:color w:val="auto"/>
        </w:rPr>
      </w:pPr>
    </w:p>
    <w:p>
      <w:pPr>
        <w:ind w:right="2099" w:firstLine="632"/>
        <w:spacing w:after="0" w:line="279"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 333-83992) of Stemcells, Inc. and in the Registration Statements (Form S-3 No. 333-68900 and No. 333-91228) of CytoTherapeutics, Inc. and in the related Prospectuses of our report dated March 4, 2003, with respect to the consolidated financial statements of StemCells, Inc. included in the Annual Report (Form 10-K) for the year ended December 31, 2002.</w:t>
      </w:r>
    </w:p>
    <w:p>
      <w:pPr>
        <w:spacing w:after="0" w:line="29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28, 2003</w:t>
      </w:r>
    </w:p>
    <w:p>
      <w:pPr>
        <w:sectPr>
          <w:pgSz w:w="11900" w:h="16838" w:orient="portrait"/>
          <w:cols w:equalWidth="0" w:num="1">
            <w:col w:w="10219"/>
          </w:cols>
          <w:pgMar w:left="240" w:top="312" w:right="1440" w:bottom="1440" w:gutter="0" w:footer="0" w:header="0"/>
        </w:sectPr>
      </w:pPr>
    </w:p>
    <w:bookmarkStart w:id="72" w:name="page73"/>
    <w:bookmarkEnd w:id="72"/>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82"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82" w:lineRule="exact"/>
        <w:rPr>
          <w:sz w:val="20"/>
          <w:szCs w:val="20"/>
          <w:color w:val="auto"/>
        </w:rPr>
      </w:pPr>
    </w:p>
    <w:p>
      <w:pPr>
        <w:jc w:val="both"/>
        <w:ind w:right="1779"/>
        <w:spacing w:after="0" w:line="402" w:lineRule="auto"/>
        <w:rPr>
          <w:sz w:val="20"/>
          <w:szCs w:val="20"/>
          <w:color w:val="auto"/>
        </w:rPr>
      </w:pPr>
      <w:r>
        <w:rPr>
          <w:rFonts w:ascii="Courier New" w:cs="Courier New" w:eastAsia="Courier New" w:hAnsi="Courier New"/>
          <w:sz w:val="16"/>
          <w:szCs w:val="16"/>
          <w:color w:val="auto"/>
        </w:rPr>
        <w:t>OUR FINANCIAL SITUATION IS PRECARIOUS AND OUR EXISTING CAPITAL RESOURCES ARE NOT SUFFICIENT TO FUND OUR OPERATIONS THROUGH THE END OF THE SECOND QUARTER OF 2003.</w:t>
      </w:r>
    </w:p>
    <w:p>
      <w:pPr>
        <w:spacing w:after="0" w:line="1"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The Company has incurred significant operating losses and negative cash flows since inception. The Company has not achieved profitability and may not be able to realize sufficient revenues to achieve or sustain profitability in the future. Although StemCells has taken actions to reduce its expense rates over the last two quarters, we do not expect to be profitable in the next several years, but rather expect to incur additional operating losses. We have very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reserves and proceeds from equity and debt offerings, proceeds from the</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73" w:name="page74"/>
    <w:bookmarkEnd w:id="73"/>
    <w:p>
      <w:pPr>
        <w:ind w:right="1779"/>
        <w:spacing w:after="0" w:line="283" w:lineRule="auto"/>
        <w:rPr>
          <w:sz w:val="20"/>
          <w:szCs w:val="20"/>
          <w:color w:val="auto"/>
        </w:rPr>
      </w:pPr>
      <w:r>
        <w:rPr>
          <w:rFonts w:ascii="Courier New" w:cs="Courier New" w:eastAsia="Courier New" w:hAnsi="Courier New"/>
          <w:sz w:val="16"/>
          <w:szCs w:val="16"/>
          <w:color w:val="auto"/>
        </w:rPr>
        <w:t>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not sufficient to fund our operations through the end of the second quarter of 2003.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94" w:lineRule="exact"/>
        <w:rPr>
          <w:sz w:val="20"/>
          <w:szCs w:val="20"/>
          <w:color w:val="auto"/>
        </w:rPr>
      </w:pPr>
    </w:p>
    <w:p>
      <w:pPr>
        <w:ind w:right="1779" w:firstLine="632"/>
        <w:spacing w:after="0" w:line="283" w:lineRule="auto"/>
        <w:rPr>
          <w:sz w:val="20"/>
          <w:szCs w:val="20"/>
          <w:color w:val="auto"/>
        </w:rPr>
      </w:pPr>
      <w:r>
        <w:rPr>
          <w:rFonts w:ascii="Courier New" w:cs="Courier New" w:eastAsia="Courier New" w:hAnsi="Courier New"/>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Our existing capital resources are not sufficient to fund our operations through the end of the second quarter of 2003. Lack of necessary funds may require us to delay, scale back or eliminate some or all of our research and product development programs and/or our capital expenditures or to license our potential products or technologies to third parties.</w:t>
      </w:r>
    </w:p>
    <w:p>
      <w:pPr>
        <w:spacing w:after="0" w:line="80"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18"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93" w:lineRule="exact"/>
        <w:rPr>
          <w:sz w:val="20"/>
          <w:szCs w:val="20"/>
          <w:color w:val="auto"/>
        </w:rPr>
      </w:pPr>
    </w:p>
    <w:p>
      <w:pPr>
        <w:ind w:left="860" w:hanging="220"/>
        <w:spacing w:after="0"/>
        <w:tabs>
          <w:tab w:leader="none" w:pos="8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1" w:lineRule="exact"/>
        <w:rPr>
          <w:rFonts w:ascii="Courier New" w:cs="Courier New" w:eastAsia="Courier New" w:hAnsi="Courier New"/>
          <w:sz w:val="18"/>
          <w:szCs w:val="18"/>
          <w:color w:val="auto"/>
        </w:rPr>
      </w:pPr>
    </w:p>
    <w:p>
      <w:pPr>
        <w:ind w:left="860" w:right="2199" w:hanging="220"/>
        <w:spacing w:after="0" w:line="347" w:lineRule="auto"/>
        <w:tabs>
          <w:tab w:leader="none" w:pos="8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18" w:lineRule="exact"/>
        <w:rPr>
          <w:sz w:val="20"/>
          <w:szCs w:val="20"/>
          <w:color w:val="auto"/>
        </w:rPr>
      </w:pPr>
    </w:p>
    <w:p>
      <w:pPr>
        <w:ind w:right="1779" w:firstLine="632"/>
        <w:spacing w:after="0" w:line="283"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80"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66"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$1,300,000 per year for our former science and</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74" w:name="page75"/>
    <w:bookmarkEnd w:id="74"/>
    <w:p>
      <w:pPr>
        <w:ind w:right="1779"/>
        <w:spacing w:after="0" w:line="283" w:lineRule="auto"/>
        <w:rPr>
          <w:sz w:val="20"/>
          <w:szCs w:val="20"/>
          <w:color w:val="auto"/>
        </w:rPr>
      </w:pPr>
      <w:r>
        <w:rPr>
          <w:rFonts w:ascii="Courier New" w:cs="Courier New" w:eastAsia="Courier New" w:hAnsi="Courier New"/>
          <w:sz w:val="16"/>
          <w:szCs w:val="16"/>
          <w:color w:val="auto"/>
        </w:rPr>
        <w:t>administrative facility, which we have leased through June 30, 2013, and debt service payments and payments for operating costs of approximately $600,000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9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18"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0" w:lineRule="exact"/>
        <w:rPr>
          <w:sz w:val="20"/>
          <w:szCs w:val="20"/>
          <w:color w:val="auto"/>
        </w:rPr>
      </w:pPr>
    </w:p>
    <w:p>
      <w:pPr>
        <w:spacing w:after="0" w:line="302"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18"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10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 WILL BE HARMED.</w:t>
      </w:r>
    </w:p>
    <w:p>
      <w:pPr>
        <w:spacing w:after="0" w:line="18"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75" w:name="page76"/>
    <w:bookmarkEnd w:id="75"/>
    <w:p>
      <w:pPr>
        <w:ind w:right="1779"/>
        <w:spacing w:after="0" w:line="276" w:lineRule="auto"/>
        <w:rPr>
          <w:sz w:val="20"/>
          <w:szCs w:val="20"/>
          <w:color w:val="auto"/>
        </w:rPr>
      </w:pPr>
      <w:r>
        <w:rPr>
          <w:rFonts w:ascii="Courier New" w:cs="Courier New" w:eastAsia="Courier New" w:hAnsi="Courier New"/>
          <w:sz w:val="16"/>
          <w:szCs w:val="16"/>
          <w:color w:val="auto"/>
        </w:rPr>
        <w:t>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200" w:lineRule="exact"/>
        <w:rPr>
          <w:sz w:val="20"/>
          <w:szCs w:val="20"/>
          <w:color w:val="auto"/>
        </w:rPr>
      </w:pPr>
    </w:p>
    <w:p>
      <w:pPr>
        <w:spacing w:after="0" w:line="308"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18"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93"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76" w:name="page77"/>
    <w:bookmarkEnd w:id="76"/>
    <w:p>
      <w:pPr>
        <w:ind w:right="1879" w:firstLine="632"/>
        <w:spacing w:after="0" w:line="253" w:lineRule="auto"/>
        <w:rPr>
          <w:sz w:val="20"/>
          <w:szCs w:val="20"/>
          <w:color w:val="auto"/>
        </w:rPr>
      </w:pPr>
      <w:r>
        <w:rPr>
          <w:rFonts w:ascii="Courier New" w:cs="Courier New" w:eastAsia="Courier New" w:hAnsi="Courier New"/>
          <w:sz w:val="18"/>
          <w:szCs w:val="18"/>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and Pharmacia Corp., have at least one clinical trial for Parkinson's disease in progress at some phase, and some have more than one. At least seven companies already have products on the market. We expect competition to increase.</w:t>
      </w:r>
    </w:p>
    <w:p>
      <w:pPr>
        <w:spacing w:after="0" w:line="104"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In general, we believe that our most significant competitors will be fully integrated pharmaceutical companies and more established biotechnology companies, such as Biogen, Inc., Genzyme, and Celgene.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Athersys, Titan Pharmaceuticals, Vesta Therapeutics, Layton Bioscience Inc., NeuralStem Biopharmaceuticals, NeuroNova, and ReNeuron, and with universities and other research institutions who are developing treatments for degenerative diseases that are stem cell-based. 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00" w:lineRule="exact"/>
        <w:rPr>
          <w:sz w:val="20"/>
          <w:szCs w:val="20"/>
          <w:color w:val="auto"/>
        </w:rPr>
      </w:pPr>
    </w:p>
    <w:p>
      <w:pPr>
        <w:spacing w:after="0" w:line="301"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18" w:lineRule="exact"/>
        <w:rPr>
          <w:sz w:val="20"/>
          <w:szCs w:val="20"/>
          <w:color w:val="auto"/>
        </w:rPr>
      </w:pPr>
    </w:p>
    <w:p>
      <w:pPr>
        <w:ind w:right="1779" w:firstLine="632"/>
        <w:spacing w:after="0" w:line="276"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 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00" w:lineRule="exact"/>
        <w:rPr>
          <w:sz w:val="20"/>
          <w:szCs w:val="20"/>
          <w:color w:val="auto"/>
        </w:rPr>
      </w:pPr>
    </w:p>
    <w:p>
      <w:pPr>
        <w:spacing w:after="0" w:line="296" w:lineRule="exact"/>
        <w:rPr>
          <w:sz w:val="20"/>
          <w:szCs w:val="20"/>
          <w:color w:val="auto"/>
        </w:rPr>
      </w:pPr>
    </w:p>
    <w:p>
      <w:pPr>
        <w:ind w:right="1879" w:firstLine="632"/>
        <w:spacing w:after="0" w:line="293" w:lineRule="auto"/>
        <w:rPr>
          <w:sz w:val="20"/>
          <w:szCs w:val="20"/>
          <w:color w:val="auto"/>
        </w:rPr>
      </w:pPr>
      <w:r>
        <w:rPr>
          <w:rFonts w:ascii="Courier New" w:cs="Courier New" w:eastAsia="Courier New" w:hAnsi="Courier New"/>
          <w:sz w:val="16"/>
          <w:szCs w:val="16"/>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w:t>
      </w: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77" w:name="page78"/>
    <w:bookmarkEnd w:id="77"/>
    <w:p>
      <w:pPr>
        <w:ind w:right="1779"/>
        <w:spacing w:after="0" w:line="256" w:lineRule="auto"/>
        <w:rPr>
          <w:sz w:val="20"/>
          <w:szCs w:val="20"/>
          <w:color w:val="auto"/>
        </w:rPr>
      </w:pPr>
      <w:r>
        <w:rPr>
          <w:rFonts w:ascii="Courier New" w:cs="Courier New" w:eastAsia="Courier New" w:hAnsi="Courier New"/>
          <w:sz w:val="18"/>
          <w:szCs w:val="18"/>
          <w:color w:val="auto"/>
        </w:rPr>
        <w:t>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98"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66"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04"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488" w:right="1440" w:bottom="1440" w:gutter="0" w:footer="0" w:header="0"/>
        </w:sectPr>
      </w:pPr>
    </w:p>
    <w:bookmarkStart w:id="78" w:name="page79"/>
    <w:bookmarkEnd w:id="78"/>
    <w:p>
      <w:pPr>
        <w:jc w:val="both"/>
        <w:ind w:right="2839"/>
        <w:spacing w:after="0" w:line="292"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66" w:lineRule="exact"/>
        <w:rPr>
          <w:sz w:val="20"/>
          <w:szCs w:val="20"/>
          <w:color w:val="auto"/>
        </w:rPr>
      </w:pPr>
    </w:p>
    <w:p>
      <w:pPr>
        <w:ind w:right="1779" w:firstLine="632"/>
        <w:spacing w:after="0" w:line="276"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0" w:lineRule="exact"/>
        <w:rPr>
          <w:sz w:val="20"/>
          <w:szCs w:val="20"/>
          <w:color w:val="auto"/>
        </w:rPr>
      </w:pPr>
    </w:p>
    <w:p>
      <w:pPr>
        <w:spacing w:after="0" w:line="30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SMALLCAP MARKET, WHICH COULD ELIMINATE THE TRADING MARKET FOR OUR COMMON STOCK.</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6"/>
          <w:szCs w:val="16"/>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we must maintain $2.5 million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2002 was $3,787,571.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 we cannot assure you that if we were delisted we would be able to have our common stock relisted on the Nasdaq SmallCap Market. If our common stock were delisted from the Nasdaq SmallCap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p>
      <w:pPr>
        <w:spacing w:after="0" w:line="200" w:lineRule="exact"/>
        <w:rPr>
          <w:sz w:val="20"/>
          <w:szCs w:val="20"/>
          <w:color w:val="auto"/>
        </w:rPr>
      </w:pPr>
    </w:p>
    <w:p>
      <w:pPr>
        <w:spacing w:after="0" w:line="308"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THE SALE AND ISSUANCE OF THE 3% CUMULATIVE CONVERTIBLE REDEEMABLE PREFERRED STOCK WILL HAVE AN IMPACT TO EARNINGS AVAILABLE TO COMMON STOCKHOLDERS.</w:t>
      </w:r>
    </w:p>
    <w:p>
      <w:pPr>
        <w:spacing w:after="0" w:line="1"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Of the proceeds from our sale of the 3% cumulative convertible redeemable preferred stock in 2001, approximately $3.1 million was allocated to the common stock warrants and the conversion feature included with the subscription agreements, and was reflected as an increase to additional paid-in capital and a</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488" w:right="1440" w:bottom="1440" w:gutter="0" w:footer="0" w:header="0"/>
        </w:sectPr>
      </w:pPr>
    </w:p>
    <w:bookmarkStart w:id="79" w:name="page80"/>
    <w:bookmarkEnd w:id="79"/>
    <w:p>
      <w:pPr>
        <w:jc w:val="both"/>
        <w:ind w:right="1879"/>
        <w:spacing w:after="0" w:line="318" w:lineRule="auto"/>
        <w:rPr>
          <w:sz w:val="20"/>
          <w:szCs w:val="20"/>
          <w:color w:val="auto"/>
        </w:rPr>
      </w:pPr>
      <w:r>
        <w:rPr>
          <w:rFonts w:ascii="Courier New" w:cs="Courier New" w:eastAsia="Courier New" w:hAnsi="Courier New"/>
          <w:sz w:val="16"/>
          <w:szCs w:val="16"/>
          <w:color w:val="auto"/>
        </w:rPr>
        <w:t>decrease to the 3% cumulative convertible redeemable preferred stock. This $3.1 million will be accreted to the preferred stock over the term of the redemption period. This accretion, along with the preferred stock dividends, will increase the net loss (reduce the net income) available to common stockholders.</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488" w:right="1440" w:bottom="1440" w:gutter="0" w:footer="0" w:header="0"/>
        </w:sectPr>
      </w:pPr>
    </w:p>
    <w:bookmarkStart w:id="80" w:name="page81"/>
    <w:bookmarkEnd w:id="80"/>
    <w:p>
      <w:pPr>
        <w:ind w:left="718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2002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jc w:val="right"/>
        <w:ind w:left="640" w:right="2199"/>
        <w:spacing w:after="0" w:line="402" w:lineRule="auto"/>
        <w:rPr>
          <w:sz w:val="20"/>
          <w:szCs w:val="20"/>
          <w:color w:val="auto"/>
        </w:rPr>
      </w:pPr>
      <w:r>
        <w:rPr>
          <w:rFonts w:ascii="Courier New" w:cs="Courier New" w:eastAsia="Courier New" w:hAnsi="Courier New"/>
          <w:sz w:val="16"/>
          <w:szCs w:val="16"/>
          <w:color w:val="auto"/>
        </w:rPr>
        <w:t>(1).  The Report fully complies with the requirements of Section 13(a) or 15(d) of the Securities Exchange Act of 1934, as amended; and</w:t>
      </w:r>
    </w:p>
    <w:p>
      <w:pPr>
        <w:spacing w:after="0" w:line="1" w:lineRule="exact"/>
        <w:rPr>
          <w:sz w:val="20"/>
          <w:szCs w:val="20"/>
          <w:color w:val="auto"/>
        </w:rPr>
      </w:pPr>
    </w:p>
    <w:p>
      <w:pPr>
        <w:ind w:left="1280" w:right="1779" w:hanging="631"/>
        <w:spacing w:after="0" w:line="292"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69"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28,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spacing w:after="0" w:line="29"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312" w:right="1440" w:bottom="1440" w:gutter="0" w:footer="0" w:header="0"/>
        </w:sectPr>
      </w:pPr>
    </w:p>
    <w:bookmarkStart w:id="81" w:name="page82"/>
    <w:bookmarkEnd w:id="81"/>
    <w:p>
      <w:pPr>
        <w:ind w:left="7180"/>
        <w:spacing w:after="0"/>
        <w:rPr>
          <w:sz w:val="20"/>
          <w:szCs w:val="20"/>
          <w:color w:val="auto"/>
        </w:rPr>
      </w:pPr>
      <w:r>
        <w:rPr>
          <w:rFonts w:ascii="Courier New" w:cs="Courier New" w:eastAsia="Courier New" w:hAnsi="Courier New"/>
          <w:sz w:val="16"/>
          <w:szCs w:val="16"/>
          <w:color w:val="auto"/>
        </w:rPr>
        <w:t>EXHIBIT 99.3</w:t>
      </w:r>
    </w:p>
    <w:p>
      <w:pPr>
        <w:spacing w:after="0" w:line="22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spacing w:after="0" w:line="3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2002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jc w:val="right"/>
        <w:ind w:left="640" w:right="2199"/>
        <w:spacing w:after="0" w:line="402" w:lineRule="auto"/>
        <w:rPr>
          <w:sz w:val="20"/>
          <w:szCs w:val="20"/>
          <w:color w:val="auto"/>
        </w:rPr>
      </w:pPr>
      <w:r>
        <w:rPr>
          <w:rFonts w:ascii="Courier New" w:cs="Courier New" w:eastAsia="Courier New" w:hAnsi="Courier New"/>
          <w:sz w:val="16"/>
          <w:szCs w:val="16"/>
          <w:color w:val="auto"/>
        </w:rPr>
        <w:t>(1).  The Report fully complies with the requirements of Section 13(a) or 15(d) of the Securities Exchange Act of 1934, as amended; and</w:t>
      </w:r>
    </w:p>
    <w:p>
      <w:pPr>
        <w:spacing w:after="0" w:line="1" w:lineRule="exact"/>
        <w:rPr>
          <w:sz w:val="20"/>
          <w:szCs w:val="20"/>
          <w:color w:val="auto"/>
        </w:rPr>
      </w:pPr>
    </w:p>
    <w:p>
      <w:pPr>
        <w:ind w:left="1280" w:right="1779" w:hanging="631"/>
        <w:spacing w:after="0" w:line="292"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69"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28,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29"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amp;"/>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emdash "/>
      <w:numFmt w:val="bullet"/>
      <w:start w:val="1"/>
    </w:lvl>
  </w:abstractNum>
  <w:abstractNum w:abstractNumId="7">
    <w:nsid w:val="2D517796"/>
    <w:multiLevelType w:val="hybridMultilevel"/>
    <w:lvl w:ilvl="0">
      <w:lvlJc w:val="left"/>
      <w:lvlText w:val="\emdash "/>
      <w:numFmt w:val="bullet"/>
      <w:start w:val="1"/>
    </w:lvl>
  </w:abstractNum>
  <w:abstractNum w:abstractNumId="8">
    <w:nsid w:val="580BD78F"/>
    <w:multiLevelType w:val="hybridMultilevel"/>
    <w:lvl w:ilvl="0">
      <w:lvlJc w:val="left"/>
      <w:lvlText w:val="\emdash "/>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lowerRoman"/>
      <w:start w:val="2"/>
    </w:lvl>
  </w:abstractNum>
  <w:abstractNum w:abstractNumId="13">
    <w:nsid w:val="2A487CB0"/>
    <w:multiLevelType w:val="hybridMultilevel"/>
    <w:lvl w:ilvl="0">
      <w:lvlJc w:val="left"/>
      <w:lvlText w:val="%1."/>
      <w:numFmt w:val="decimal"/>
      <w:start w:val="4"/>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2"/>
    </w:lvl>
  </w:abstractNum>
  <w:abstractNum w:abstractNumId="19">
    <w:nsid w:val="4B588F54"/>
    <w:multiLevelType w:val="hybridMultilevel"/>
    <w:lvl w:ilvl="0">
      <w:lvlJc w:val="left"/>
      <w:lvlText w:val="%1."/>
      <w:numFmt w:val="decimal"/>
      <w:start w:val="3"/>
    </w:lvl>
  </w:abstractNum>
  <w:abstractNum w:abstractNumId="20">
    <w:nsid w:val="542289EC"/>
    <w:multiLevelType w:val="hybridMultilevel"/>
    <w:lvl w:ilvl="0">
      <w:lvlJc w:val="left"/>
      <w:lvlText w:val="%1."/>
      <w:numFmt w:val="decimal"/>
      <w:start w:val="4"/>
    </w:lvl>
  </w:abstractNum>
  <w:abstractNum w:abstractNumId="21">
    <w:nsid w:val="6DE91B18"/>
    <w:multiLevelType w:val="hybridMultilevel"/>
    <w:lvl w:ilvl="0">
      <w:lvlJc w:val="left"/>
      <w:lvlText w:val="%1."/>
      <w:numFmt w:val="decimal"/>
      <w:start w:val="5"/>
    </w:lvl>
  </w:abstractNum>
  <w:abstractNum w:abstractNumId="22">
    <w:nsid w:val="38437FDB"/>
    <w:multiLevelType w:val="hybridMultilevel"/>
    <w:lvl w:ilvl="0">
      <w:lvlJc w:val="left"/>
      <w:lvlText w:val="%1."/>
      <w:numFmt w:val="decimal"/>
      <w:start w:val="6"/>
    </w:lvl>
  </w:abstractNum>
  <w:abstractNum w:abstractNumId="23">
    <w:nsid w:val="7644A45C"/>
    <w:multiLevelType w:val="hybridMultilevel"/>
    <w:lvl w:ilvl="0">
      <w:lvlJc w:val="left"/>
      <w:lvlText w:val="%1."/>
      <w:numFmt w:val="decimal"/>
      <w:start w:val="7"/>
    </w:lvl>
  </w:abstractNum>
  <w:abstractNum w:abstractNumId="24">
    <w:nsid w:val="32FFF902"/>
    <w:multiLevelType w:val="hybridMultilevel"/>
    <w:lvl w:ilvl="0">
      <w:lvlJc w:val="left"/>
      <w:lvlText w:val="%1."/>
      <w:numFmt w:val="decimal"/>
      <w:start w:val="8"/>
    </w:lvl>
  </w:abstractNum>
  <w:abstractNum w:abstractNumId="25">
    <w:nsid w:val="684A481A"/>
    <w:multiLevelType w:val="hybridMultilevel"/>
    <w:lvl w:ilvl="0">
      <w:lvlJc w:val="left"/>
      <w:lvlText w:val="%1."/>
      <w:numFmt w:val="decimal"/>
      <w:start w:val="9"/>
    </w:lvl>
  </w:abstractNum>
  <w:abstractNum w:abstractNumId="26">
    <w:nsid w:val="579478FE"/>
    <w:multiLevelType w:val="hybridMultilevel"/>
    <w:lvl w:ilvl="0">
      <w:lvlJc w:val="left"/>
      <w:lvlText w:val="%1."/>
      <w:numFmt w:val="decimal"/>
      <w:start w:val="10"/>
    </w:lvl>
  </w:abstractNum>
  <w:abstractNum w:abstractNumId="27">
    <w:nsid w:val="749ABB43"/>
    <w:multiLevelType w:val="hybridMultilevel"/>
    <w:lvl w:ilvl="0">
      <w:lvlJc w:val="left"/>
      <w:lvlText w:val="%1."/>
      <w:numFmt w:val="decimal"/>
      <w:start w:val="11"/>
    </w:lvl>
  </w:abstractNum>
  <w:abstractNum w:abstractNumId="28">
    <w:nsid w:val="3DC240FB"/>
    <w:multiLevelType w:val="hybridMultilevel"/>
    <w:lvl w:ilvl="0">
      <w:lvlJc w:val="left"/>
      <w:lvlText w:val="%1."/>
      <w:numFmt w:val="decimal"/>
      <w:start w:val="12"/>
    </w:lvl>
  </w:abstractNum>
  <w:abstractNum w:abstractNumId="29">
    <w:nsid w:val="1BA026FA"/>
    <w:multiLevelType w:val="hybridMultilevel"/>
    <w:lvl w:ilvl="0">
      <w:lvlJc w:val="left"/>
      <w:lvlText w:val="%1."/>
      <w:numFmt w:val="decimal"/>
      <w:start w:val="13"/>
    </w:lvl>
  </w:abstractNum>
  <w:abstractNum w:abstractNumId="30">
    <w:nsid w:val="79A1DEAA"/>
    <w:multiLevelType w:val="hybridMultilevel"/>
    <w:lvl w:ilvl="0">
      <w:lvlJc w:val="left"/>
      <w:lvlText w:val="%1."/>
      <w:numFmt w:val="decimal"/>
      <w:start w:val="14"/>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upperLetter"/>
      <w:start w:val="76"/>
    </w:lvl>
  </w:abstractNum>
  <w:abstractNum w:abstractNumId="48">
    <w:nsid w:val="D34B6A8"/>
    <w:multiLevelType w:val="hybridMultilevel"/>
    <w:lvl w:ilvl="0">
      <w:lvlJc w:val="left"/>
      <w:lvlText w:val="%1"/>
      <w:numFmt w:val="upperLetter"/>
      <w:start w:val="102"/>
    </w:lvl>
    <w:lvl w:ilvl="1">
      <w:lvlJc w:val="left"/>
      <w:lvlText w:val="(%2)"/>
      <w:numFmt w:val="lowerLetter"/>
      <w:start w:val="2"/>
    </w:lvl>
  </w:abstractNum>
  <w:abstractNum w:abstractNumId="49">
    <w:nsid w:val="10233C99"/>
    <w:multiLevelType w:val="hybridMultilevel"/>
    <w:lvl w:ilvl="0">
      <w:lvlJc w:val="left"/>
      <w:lvlText w:val="(%1)"/>
      <w:numFmt w:val="decimal"/>
      <w:start w:val="1"/>
    </w:lvl>
    <w:lvl w:ilvl="1">
      <w:lvlJc w:val="left"/>
      <w:lvlText w:val="%2."/>
      <w:numFmt w:val="lowerLetter"/>
      <w:start w:val="1"/>
    </w:lvl>
  </w:abstractNum>
  <w:abstractNum w:abstractNumId="50">
    <w:nsid w:val="3F6AB60F"/>
    <w:multiLevelType w:val="hybridMultilevel"/>
    <w:lvl w:ilvl="0">
      <w:lvlJc w:val="left"/>
      <w:lvlText w:val="(%1)"/>
      <w:numFmt w:val="decimal"/>
      <w:start w:val="1"/>
    </w:lvl>
    <w:lvl w:ilvl="1">
      <w:lvlJc w:val="left"/>
      <w:lvlText w:val="%2."/>
      <w:numFmt w:val="lowerLetter"/>
      <w:start w:val="1"/>
    </w:lvl>
  </w:abstractNum>
  <w:abstractNum w:abstractNumId="51">
    <w:nsid w:val="61574095"/>
    <w:multiLevelType w:val="hybridMultilevel"/>
    <w:lvl w:ilvl="0">
      <w:lvlJc w:val="left"/>
      <w:lvlText w:val="%1"/>
      <w:numFmt w:val="decimal"/>
      <w:start w:val="1"/>
    </w:lvl>
    <w:lvl w:ilvl="1">
      <w:lvlJc w:val="left"/>
      <w:lvlText w:val="%2."/>
      <w:numFmt w:val="lowerLetter"/>
      <w:start w:val="4"/>
    </w:lvl>
  </w:abstractNum>
  <w:abstractNum w:abstractNumId="52">
    <w:nsid w:val="7E0C57B1"/>
    <w:multiLevelType w:val="hybridMultilevel"/>
    <w:lvl w:ilvl="0">
      <w:lvlJc w:val="left"/>
      <w:lvlText w:val="(%1)"/>
      <w:numFmt w:val="decimal"/>
      <w:start w:val="6"/>
    </w:lvl>
    <w:lvl w:ilvl="1">
      <w:lvlJc w:val="left"/>
      <w:lvlText w:val="%2"/>
      <w:numFmt w:val="lowerLetter"/>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upperLetter"/>
      <w:start w:val="76"/>
    </w:lvl>
  </w:abstractNum>
  <w:abstractNum w:abstractNumId="68">
    <w:nsid w:val="98A3148"/>
    <w:multiLevelType w:val="hybridMultilevel"/>
    <w:lvl w:ilvl="0">
      <w:lvlJc w:val="left"/>
      <w:lvlText w:val="%1"/>
      <w:numFmt w:val="upperLetter"/>
      <w:start w:val="102"/>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2019-12-13T21:01:07Z</dcterms:created>
  <dcterms:modified xsi:type="dcterms:W3CDTF">2019-12-13T21:01:07Z</dcterms:modified>
</cp:coreProperties>
</file>