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Kenneth Blair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jc w:val="right"/>
              <w:ind w:right="1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240,000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619,549</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699,549</w:t>
            </w:r>
            <w:r>
              <w:rPr>
                <w:rFonts w:ascii="Arial" w:cs="Arial" w:eastAsia="Arial" w:hAnsi="Arial"/>
                <w:sz w:val="22"/>
                <w:szCs w:val="22"/>
                <w:color w:val="008000"/>
                <w:w w:val="84"/>
                <w:vertAlign w:val="superscript"/>
              </w:rPr>
              <w:t>(4)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7"/>
              <w:spacing w:after="0"/>
              <w:rPr>
                <w:sz w:val="20"/>
                <w:szCs w:val="20"/>
                <w:color w:val="auto"/>
              </w:rPr>
            </w:pPr>
            <w:r>
              <w:rPr>
                <w:rFonts w:ascii="Arial" w:cs="Arial" w:eastAsia="Arial" w:hAnsi="Arial"/>
                <w:sz w:val="18"/>
                <w:szCs w:val="18"/>
                <w:color w:val="0000FF"/>
                <w:w w:val="87"/>
              </w:rPr>
              <w:t>21,013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1/3 vesting on each of January 8, 2016, January 8, 2017, and January 9, 2018.</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210,000 restricted stock units, with 70,000 of these vesting on each of May 24, 2015, May 24, 2016, and May 24, 2017; (2) 65,000 restricted stock units, with 32,500 of these vesting on each of January 27, 2015 and January 27, 2016; and (3) 240,000 restricted stock units, with 80,000 of these vesting on each of January 8, 2016, January 8, 2017, and January 8, 2018.</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performance based vesting set by the issuer's Board of Directors and tied to the timely and successful conduct and completion of the issuer's Phase II clinical studies in dry AMD and spinal cord injury.</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210,000 restricted stock units, with 70,000 of these vesting on each of May 24, 2015, May 24, 2016, and May 24, 2017; (2) 65,000 restricted stock units, with 32,500 of these vesting on each of January 27, 2015 and January 27, 2016; (3) 240,000 restricted stock units, with 80,000 of these vesting on each of January 8, 2016, January 8, 2017, and January 8, 2018; and (4) 80,000 restricted stock units with performance based vesting.</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88"/>
              </w:rPr>
              <w:t>/s/ Ken Stratton</w:t>
            </w:r>
          </w:p>
        </w:tc>
        <w:tc>
          <w:tcPr>
            <w:tcW w:w="10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01/09/2015</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32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2019-12-24T02:48:09Z</dcterms:created>
  <dcterms:modified xsi:type="dcterms:W3CDTF">2019-12-24T02:48:09Z</dcterms:modified>
</cp:coreProperties>
</file>