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FORM 10-K</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4" w:lineRule="exact"/>
        <w:rPr>
          <w:sz w:val="24"/>
          <w:szCs w:val="24"/>
          <w:color w:val="auto"/>
        </w:rPr>
      </w:pPr>
    </w:p>
    <w:p>
      <w:pPr>
        <w:ind w:left="970" w:right="4679" w:hanging="705"/>
        <w:spacing w:after="0" w:line="235" w:lineRule="auto"/>
        <w:tabs>
          <w:tab w:leader="none" w:pos="4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340"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9"/>
          </w:cols>
          <w:pgMar w:left="230" w:top="401" w:right="1440" w:bottom="1440" w:gutter="0" w:footer="0" w:header="0"/>
        </w:sectPr>
      </w:pPr>
    </w:p>
    <w:p>
      <w:pPr>
        <w:spacing w:after="0" w:line="200" w:lineRule="exact"/>
        <w:rPr>
          <w:sz w:val="24"/>
          <w:szCs w:val="24"/>
          <w:color w:val="auto"/>
        </w:rPr>
      </w:pPr>
    </w:p>
    <w:p>
      <w:pPr>
        <w:spacing w:after="0" w:line="314" w:lineRule="exact"/>
        <w:rPr>
          <w:sz w:val="24"/>
          <w:szCs w:val="24"/>
          <w:color w:val="auto"/>
        </w:rPr>
      </w:pPr>
    </w:p>
    <w:p>
      <w:pPr>
        <w:ind w:left="27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530" w:space="440"/>
            <w:col w:w="9259"/>
          </w:cols>
          <w:pgMar w:left="230" w:top="401" w:right="1440" w:bottom="1440" w:gutter="0" w:footer="0" w:header="0"/>
          <w:type w:val="continuous"/>
        </w:sectPr>
      </w:pPr>
    </w:p>
    <w:p>
      <w:pPr>
        <w:spacing w:after="0" w:line="14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0-19871</w:t>
      </w:r>
    </w:p>
    <w:p>
      <w:pPr>
        <w:jc w:val="center"/>
        <w:ind w:right="31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27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401" w:right="1440" w:bottom="1440"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94-3078125</w:t>
      </w:r>
    </w:p>
    <w:p>
      <w:pPr>
        <w:spacing w:after="0" w:line="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5" w:lineRule="exact"/>
        <w:rPr>
          <w:sz w:val="24"/>
          <w:szCs w:val="24"/>
          <w:color w:val="auto"/>
        </w:rPr>
      </w:pPr>
    </w:p>
    <w:p>
      <w:pPr>
        <w:sectPr>
          <w:pgSz w:w="11900" w:h="16838" w:orient="portrait"/>
          <w:cols w:equalWidth="0" w:num="2">
            <w:col w:w="3250" w:space="720"/>
            <w:col w:w="6259"/>
          </w:cols>
          <w:pgMar w:left="230" w:top="401" w:right="1440" w:bottom="1440" w:gutter="0" w:footer="0" w:header="0"/>
          <w:type w:val="continuous"/>
        </w:sectPr>
      </w:pPr>
    </w:p>
    <w:p>
      <w:pPr>
        <w:spacing w:after="0" w:line="139"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525 DEL REY AVENUE, SUITE C, SUNNYVALE, CA 94086</w:t>
      </w:r>
    </w:p>
    <w:p>
      <w:pPr>
        <w:ind w:left="1670"/>
        <w:spacing w:after="0"/>
        <w:rPr>
          <w:sz w:val="20"/>
          <w:szCs w:val="20"/>
          <w:color w:val="auto"/>
        </w:rPr>
      </w:pPr>
      <w:r>
        <w:rPr>
          <w:rFonts w:ascii="Courier New" w:cs="Courier New" w:eastAsia="Courier New" w:hAnsi="Courier New"/>
          <w:sz w:val="15"/>
          <w:szCs w:val="15"/>
          <w:color w:val="auto"/>
        </w:rPr>
        <w:t>(Address of principal offices) (zip code)</w:t>
      </w:r>
    </w:p>
    <w:p>
      <w:pPr>
        <w:spacing w:after="0" w:line="169" w:lineRule="exact"/>
        <w:rPr>
          <w:sz w:val="24"/>
          <w:szCs w:val="24"/>
          <w:color w:val="auto"/>
        </w:rPr>
      </w:pPr>
    </w:p>
    <w:p>
      <w:pPr>
        <w:jc w:val="center"/>
        <w:ind w:right="3270"/>
        <w:spacing w:after="0"/>
        <w:tabs>
          <w:tab w:leader="none" w:pos="16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(408) 731-8670</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0"/>
        <w:spacing w:after="0"/>
        <w:rPr>
          <w:sz w:val="20"/>
          <w:szCs w:val="20"/>
          <w:color w:val="auto"/>
        </w:rPr>
      </w:pPr>
      <w:r>
        <w:rPr>
          <w:rFonts w:ascii="Courier New" w:cs="Courier New" w:eastAsia="Courier New" w:hAnsi="Courier New"/>
          <w:sz w:val="15"/>
          <w:szCs w:val="15"/>
          <w:color w:val="auto"/>
        </w:rPr>
        <w:t>COMMON STOCK, $.01 PAR VALUE</w:t>
      </w:r>
    </w:p>
    <w:p>
      <w:pPr>
        <w:jc w:val="center"/>
        <w:ind w:right="3170"/>
        <w:spacing w:after="0"/>
        <w:rPr>
          <w:sz w:val="20"/>
          <w:szCs w:val="20"/>
          <w:color w:val="auto"/>
        </w:rPr>
      </w:pPr>
      <w:r>
        <w:rPr>
          <w:rFonts w:ascii="Courier New" w:cs="Courier New" w:eastAsia="Courier New" w:hAnsi="Courier New"/>
          <w:sz w:val="15"/>
          <w:szCs w:val="15"/>
          <w:color w:val="auto"/>
        </w:rPr>
        <w:t>JUNIOR PREFERRED STOCK PURCHASE RIGHTS</w:t>
      </w:r>
    </w:p>
    <w:p>
      <w:pPr>
        <w:jc w:val="center"/>
        <w:ind w:right="317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78"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359" w:firstLine="353"/>
        <w:spacing w:after="0" w:line="258" w:lineRule="auto"/>
        <w:rPr>
          <w:sz w:val="20"/>
          <w:szCs w:val="20"/>
          <w:color w:val="auto"/>
        </w:rPr>
      </w:pPr>
      <w:r>
        <w:rPr>
          <w:rFonts w:ascii="Courier New" w:cs="Courier New" w:eastAsia="Courier New" w:hAnsi="Courier New"/>
          <w:sz w:val="14"/>
          <w:szCs w:val="14"/>
          <w:color w:val="auto"/>
        </w:rPr>
        <w:t>Aggregate market value of Common Stock held by non-affiliates at March 20, 2001: $42,643,084.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20, 2001: 20,994,035 shares.</w:t>
      </w:r>
    </w:p>
    <w:p>
      <w:pPr>
        <w:spacing w:after="0" w:line="164"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jc w:val="center"/>
        <w:ind w:right="3199"/>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This report contains certain forward-looking statements regarding, among other things, the expected results of our operations, the progress of our product development and clinical programs and of our collaborations, the need for, and timing of, additional capital and capital expenditures, strategic partner collaboration prospects, costs of manufacture of products, the protection of and the need for additional intellectual property rights, regulatory matters, the need for additional facilities and potential market opportunities. Our actual results may vary materially from those contained in such forward-looking statements because of risks to which we are subject, such as risks of lack of available funding, failure to develop strategic partnerships, delays in research, adverse results from our research or development programs, obsolescence of our technology, competition from third parties, termination of our collaborations, intellectual property rights of third parties, unavailability of needed raw materials, our failure, or our collaborators' failure, to perform, litigation, regulatory restrictions, and other risks to which we are subject.</w:t>
      </w:r>
    </w:p>
    <w:p>
      <w:pPr>
        <w:spacing w:after="0" w:line="18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SEE "CAUTIONARY FACTORS RELEVANT TO FORWARD-LOOKING INFORMATION" FILED HEREWITH AS EXHIBIT 99 AND INCORPORATED HEREIN BY REFERENCE.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6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CELL THERAPY BACKGROUND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3" w:name="page4"/>
    <w:bookmarkEnd w:id="3"/>
    <w:p>
      <w:pPr>
        <w:ind w:right="3179"/>
        <w:spacing w:after="0" w:line="238" w:lineRule="auto"/>
        <w:rPr>
          <w:sz w:val="20"/>
          <w:szCs w:val="20"/>
          <w:color w:val="auto"/>
        </w:rPr>
      </w:pPr>
      <w:r>
        <w:rPr>
          <w:rFonts w:ascii="Courier New" w:cs="Courier New" w:eastAsia="Courier New" w:hAnsi="Courier New"/>
          <w:sz w:val="15"/>
          <w:szCs w:val="15"/>
          <w:color w:val="auto"/>
        </w:rPr>
        <w:t>cure the degenerative condition. 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59" w:lineRule="exact"/>
        <w:rPr>
          <w:sz w:val="20"/>
          <w:szCs w:val="20"/>
          <w:color w:val="auto"/>
        </w:rPr>
      </w:pPr>
    </w:p>
    <w:p>
      <w:pPr>
        <w:ind w:left="600" w:hanging="257"/>
        <w:spacing w:after="0"/>
        <w:tabs>
          <w:tab w:leader="none" w:pos="6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340" w:right="3259" w:firstLine="3"/>
        <w:spacing w:after="0" w:line="235" w:lineRule="auto"/>
        <w:tabs>
          <w:tab w:leader="none" w:pos="60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5" w:lineRule="exact"/>
        <w:rPr>
          <w:rFonts w:ascii="Courier New" w:cs="Courier New" w:eastAsia="Courier New" w:hAnsi="Courier New"/>
          <w:sz w:val="15"/>
          <w:szCs w:val="15"/>
          <w:color w:val="auto"/>
        </w:rPr>
      </w:pPr>
    </w:p>
    <w:p>
      <w:pPr>
        <w:ind w:left="340" w:right="3259" w:firstLine="3"/>
        <w:spacing w:after="0" w:line="237" w:lineRule="auto"/>
        <w:tabs>
          <w:tab w:leader="none" w:pos="60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81"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1" w:lineRule="exact"/>
        <w:rPr>
          <w:sz w:val="20"/>
          <w:szCs w:val="20"/>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4" w:name="page5"/>
    <w:bookmarkEnd w:id="4"/>
    <w:p>
      <w:pPr>
        <w:ind w:left="340"/>
        <w:spacing w:after="0"/>
        <w:rPr>
          <w:sz w:val="20"/>
          <w:szCs w:val="20"/>
          <w:color w:val="auto"/>
        </w:rPr>
      </w:pPr>
      <w:r>
        <w:rPr>
          <w:rFonts w:ascii="Courier New" w:cs="Courier New" w:eastAsia="Courier New" w:hAnsi="Courier New"/>
          <w:sz w:val="15"/>
          <w:szCs w:val="15"/>
          <w:color w:val="auto"/>
        </w:rPr>
        <w:t>- diagnostics.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5" w:lineRule="exact"/>
        <w:rPr>
          <w:sz w:val="20"/>
          <w:szCs w:val="20"/>
          <w:color w:val="auto"/>
        </w:rPr>
      </w:pPr>
    </w:p>
    <w:p>
      <w:pPr>
        <w:ind w:left="520" w:right="3699" w:hanging="177"/>
        <w:spacing w:after="0" w:line="235"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5"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5" w:name="page6"/>
    <w:bookmarkEnd w:id="5"/>
    <w:p>
      <w:pPr>
        <w:ind w:right="3359"/>
        <w:spacing w:after="0" w:line="235" w:lineRule="auto"/>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6" w:name="page7"/>
    <w:bookmarkEnd w:id="6"/>
    <w:p>
      <w:pPr>
        <w:ind w:left="167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00" w:lineRule="exact"/>
        <w:rPr>
          <w:sz w:val="20"/>
          <w:szCs w:val="20"/>
          <w:color w:val="auto"/>
        </w:rPr>
      </w:pPr>
    </w:p>
    <w:p>
      <w:pPr>
        <w:spacing w:after="0" w:line="308" w:lineRule="exact"/>
        <w:rPr>
          <w:sz w:val="20"/>
          <w:szCs w:val="20"/>
          <w:color w:val="auto"/>
        </w:rPr>
      </w:pPr>
    </w:p>
    <w:p>
      <w:pPr>
        <w:ind w:left="450"/>
        <w:spacing w:after="0"/>
        <w:tabs>
          <w:tab w:leader="none" w:pos="570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ind w:left="10"/>
        <w:spacing w:after="0"/>
        <w:tabs>
          <w:tab w:leader="none" w:pos="41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890"/>
        <w:spacing w:after="0"/>
        <w:tabs>
          <w:tab w:leader="none" w:pos="640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9"/>
          </w:cols>
          <w:pgMar w:left="230" w:top="452" w:right="1440" w:bottom="1440" w:gutter="0" w:footer="0" w:header="0"/>
        </w:sectPr>
      </w:pPr>
    </w:p>
    <w:p>
      <w:pPr>
        <w:spacing w:after="0" w:line="175" w:lineRule="exact"/>
        <w:rPr>
          <w:sz w:val="20"/>
          <w:szCs w:val="20"/>
          <w:color w:val="auto"/>
        </w:rPr>
      </w:pPr>
    </w:p>
    <w:p>
      <w:pPr>
        <w:ind w:left="10" w:right="242"/>
        <w:spacing w:after="0" w:line="237" w:lineRule="auto"/>
        <w:rPr>
          <w:sz w:val="20"/>
          <w:szCs w:val="20"/>
          <w:color w:val="auto"/>
        </w:rPr>
      </w:pPr>
      <w:r>
        <w:rPr>
          <w:rFonts w:ascii="Courier New" w:cs="Courier New" w:eastAsia="Courier New" w:hAnsi="Courier New"/>
          <w:sz w:val="15"/>
          <w:szCs w:val="15"/>
          <w:color w:val="auto"/>
        </w:rPr>
        <w:t>Repair or replace damaged central nervous system tissue (including spinal cord, degenerated retinas and tissue affected by certain genetic disorders)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58" w:right="1499" w:hanging="358"/>
        <w:spacing w:after="0" w:line="237" w:lineRule="auto"/>
        <w:tabs>
          <w:tab w:leader="none" w:pos="35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8" w:lineRule="exact"/>
        <w:rPr>
          <w:rFonts w:ascii="Courier New" w:cs="Courier New" w:eastAsia="Courier New" w:hAnsi="Courier New"/>
          <w:sz w:val="15"/>
          <w:szCs w:val="15"/>
          <w:color w:val="auto"/>
        </w:rPr>
      </w:pPr>
    </w:p>
    <w:p>
      <w:pPr>
        <w:ind w:left="358" w:right="1679" w:hanging="358"/>
        <w:spacing w:after="0" w:line="256" w:lineRule="auto"/>
        <w:tabs>
          <w:tab w:leader="none" w:pos="35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the ability of neurosphere-initiating stem cells from human brain</w:t>
      </w:r>
    </w:p>
    <w:p>
      <w:pPr>
        <w:ind w:left="358" w:right="1419" w:hanging="358"/>
        <w:spacing w:after="0" w:line="237" w:lineRule="auto"/>
        <w:tabs>
          <w:tab w:leader="none" w:pos="35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73"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ind w:left="790"/>
        <w:spacing w:after="0"/>
        <w:tabs>
          <w:tab w:leader="none" w:pos="6509" w:val="left"/>
        </w:tabs>
        <w:rPr>
          <w:sz w:val="20"/>
          <w:szCs w:val="20"/>
          <w:color w:val="auto"/>
        </w:rPr>
      </w:pPr>
      <w:r>
        <w:rPr>
          <w:rFonts w:ascii="Courier New" w:cs="Courier New" w:eastAsia="Courier New" w:hAnsi="Courier New"/>
          <w:sz w:val="15"/>
          <w:szCs w:val="15"/>
          <w:color w:val="auto"/>
        </w:rPr>
        <w:t>PANCREAS ISLET STEM CELL</w:t>
      </w:r>
      <w:r>
        <w:rPr>
          <w:sz w:val="20"/>
          <w:szCs w:val="20"/>
          <w:color w:val="auto"/>
        </w:rPr>
        <w:tab/>
      </w:r>
      <w:r>
        <w:rPr>
          <w:rFonts w:ascii="Courier New" w:cs="Courier New" w:eastAsia="Courier New" w:hAnsi="Courier New"/>
          <w:sz w:val="14"/>
          <w:szCs w:val="14"/>
          <w:color w:val="auto"/>
        </w:rPr>
        <w:t>RESEARCH</w:t>
      </w:r>
    </w:p>
    <w:p>
      <w:pPr>
        <w:sectPr>
          <w:pgSz w:w="11900" w:h="16838" w:orient="portrait"/>
          <w:cols w:equalWidth="0" w:num="1">
            <w:col w:w="10229"/>
          </w:cols>
          <w:pgMar w:left="230" w:top="452" w:right="1440" w:bottom="1440" w:gutter="0" w:footer="0" w:header="0"/>
          <w:type w:val="continuous"/>
        </w:sectPr>
      </w:pPr>
    </w:p>
    <w:p>
      <w:pPr>
        <w:spacing w:after="0" w:line="175" w:lineRule="exact"/>
        <w:rPr>
          <w:sz w:val="20"/>
          <w:szCs w:val="20"/>
          <w:color w:val="auto"/>
        </w:rPr>
      </w:pPr>
    </w:p>
    <w:p>
      <w:pPr>
        <w:ind w:left="10" w:right="422"/>
        <w:spacing w:after="0" w:line="235"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58" w:right="1419" w:hanging="358"/>
        <w:spacing w:after="0" w:line="237" w:lineRule="auto"/>
        <w:tabs>
          <w:tab w:leader="none" w:pos="3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markers on the surface of cells to identify, isolate and culture islet stem cells of the pancreas</w:t>
      </w:r>
    </w:p>
    <w:p>
      <w:pPr>
        <w:ind w:left="358" w:hanging="358"/>
        <w:spacing w:after="0"/>
        <w:tabs>
          <w:tab w:leader="none" w:pos="3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69"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LIVER STEM CELL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Repair or replace damaged liver tissue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including tissue resulting from certain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metabolic genetic diseases</w:t>
      </w:r>
    </w:p>
    <w:p>
      <w:pPr>
        <w:spacing w:after="0" w:line="20" w:lineRule="exact"/>
        <w:rPr>
          <w:sz w:val="20"/>
          <w:szCs w:val="20"/>
          <w:color w:val="auto"/>
        </w:rPr>
      </w:pPr>
      <w:r>
        <w:rPr>
          <w:sz w:val="20"/>
          <w:szCs w:val="20"/>
          <w:color w:val="auto"/>
        </w:rPr>
        <w:br w:type="column"/>
      </w:r>
    </w:p>
    <w:p>
      <w:pPr>
        <w:jc w:val="center"/>
        <w:ind w:right="1141"/>
        <w:spacing w:after="0"/>
        <w:rPr>
          <w:sz w:val="20"/>
          <w:szCs w:val="20"/>
          <w:color w:val="auto"/>
        </w:rPr>
      </w:pPr>
      <w:r>
        <w:rPr>
          <w:rFonts w:ascii="Courier New" w:cs="Courier New" w:eastAsia="Courier New" w:hAnsi="Courier New"/>
          <w:sz w:val="15"/>
          <w:szCs w:val="15"/>
          <w:color w:val="auto"/>
        </w:rPr>
        <w:t>RESEARCH</w:t>
      </w:r>
    </w:p>
    <w:p>
      <w:pPr>
        <w:spacing w:after="0" w:line="5" w:lineRule="exact"/>
        <w:rPr>
          <w:sz w:val="20"/>
          <w:szCs w:val="20"/>
          <w:color w:val="auto"/>
        </w:rPr>
      </w:pPr>
    </w:p>
    <w:p>
      <w:pPr>
        <w:ind w:left="358" w:right="14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5" w:lineRule="exact"/>
        <w:rPr>
          <w:rFonts w:ascii="Courier New" w:cs="Courier New" w:eastAsia="Courier New" w:hAnsi="Courier New"/>
          <w:sz w:val="15"/>
          <w:szCs w:val="15"/>
          <w:color w:val="auto"/>
        </w:rPr>
      </w:pPr>
    </w:p>
    <w:p>
      <w:pPr>
        <w:ind w:left="358" w:right="15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6" w:lineRule="exact"/>
        <w:rPr>
          <w:rFonts w:ascii="Courier New" w:cs="Courier New" w:eastAsia="Courier New" w:hAnsi="Courier New"/>
          <w:sz w:val="15"/>
          <w:szCs w:val="15"/>
          <w:color w:val="auto"/>
        </w:rPr>
      </w:pPr>
    </w:p>
    <w:p>
      <w:pPr>
        <w:ind w:left="358" w:right="15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200"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59"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5" w:lineRule="exact"/>
        <w:rPr>
          <w:sz w:val="20"/>
          <w:szCs w:val="20"/>
          <w:color w:val="auto"/>
        </w:rPr>
      </w:pPr>
    </w:p>
    <w:p>
      <w:pPr>
        <w:jc w:val="both"/>
        <w:ind w:left="10" w:right="3619" w:firstLine="353"/>
        <w:spacing w:after="0" w:line="237"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52" w:right="1440" w:bottom="1440" w:gutter="0" w:footer="0" w:header="0"/>
          <w:type w:val="continuous"/>
        </w:sectPr>
      </w:pPr>
    </w:p>
    <w:bookmarkStart w:id="7" w:name="page8"/>
    <w:bookmarkEnd w:id="7"/>
    <w:p>
      <w:pPr>
        <w:ind w:right="3439"/>
        <w:spacing w:after="0" w:line="259" w:lineRule="auto"/>
        <w:rPr>
          <w:sz w:val="20"/>
          <w:szCs w:val="20"/>
          <w:color w:val="auto"/>
        </w:rPr>
      </w:pPr>
      <w:r>
        <w:rPr>
          <w:rFonts w:ascii="Courier New" w:cs="Courier New" w:eastAsia="Courier New" w:hAnsi="Courier New"/>
          <w:sz w:val="14"/>
          <w:szCs w:val="14"/>
          <w:color w:val="auto"/>
        </w:rPr>
        <w:t>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A U.S. patent on those methods has since been allowed. We are expanding our preclinical efforts toward the goal of selecting the proper indications to pursue.</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January 2000, we reported what we regard as an even more important result: In long term animal studies, our researchers were able to take these purified and expanded stem cells and transplant them into the normal brains of immunodeficient mouse hosts, where they take hold and grow into neurons and glial cells.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8" w:name="page9"/>
    <w:bookmarkEnd w:id="8"/>
    <w:p>
      <w:pPr>
        <w:ind w:right="3179" w:firstLine="353"/>
        <w:spacing w:after="0" w:line="238"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8"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359" w:hanging="177"/>
        <w:spacing w:after="0" w:line="237"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4"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has, to the present, been conducted by Nora Sarvetnick, Ph.D., of The Scripps Research Institute, in collaboration with some of our senior researchers. It is our intention to bring the research on stem and progenitor cells of the pancreas in house We expect that Dr. Sarvetnick will continue to consult with us.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9" w:name="page10"/>
    <w:bookmarkEnd w:id="9"/>
    <w:p>
      <w:pPr>
        <w:ind w:right="3179" w:firstLine="353"/>
        <w:spacing w:after="0" w:line="257"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0" w:name="page11"/>
    <w:bookmarkEnd w:id="10"/>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7"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w:t>
      </w:r>
    </w:p>
    <w:p>
      <w:pPr>
        <w:spacing w:after="0" w:line="1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$112.76 per share, for total proceeds of approximately $2,550,000. In connection with this sale, we agreed not to resell any more of our remaining 103,577 Modex shares until April 12, 2001. The market value of our Modex holdings at March 27, 2001 was $8,732,797 based on the closing market price of Modex stock on the Swiss Neue Market exchange at that date of 145.00 Swiss francs per share, or approximately $84.31, per share.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ind w:right="3439"/>
        <w:spacing w:after="0" w:line="260" w:lineRule="auto"/>
        <w:rPr>
          <w:sz w:val="20"/>
          <w:szCs w:val="20"/>
          <w:color w:val="auto"/>
        </w:rPr>
      </w:pPr>
      <w:r>
        <w:rPr>
          <w:rFonts w:ascii="Courier New" w:cs="Courier New" w:eastAsia="Courier New" w:hAnsi="Courier New"/>
          <w:sz w:val="14"/>
          <w:szCs w:val="14"/>
          <w:color w:val="auto"/>
        </w:rPr>
        <w:t>California Institute of Technology. All of these agreements relate largely to stem or progenitor cells and or to processes and methods for the isolation, identification, expansion or culturing of stem or progenitor cells.</w:t>
      </w:r>
    </w:p>
    <w:p>
      <w:pPr>
        <w:spacing w:after="0" w:line="163"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Our research agreement with Scripps expired on November 14, 2000. It is our intention to bring the research on stem and progenitor cells of the pancreas in house. Dr. Nora Sarvetnick, who led the 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NEUROSPHERES, LTD.</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3" w:name="page14"/>
    <w:bookmarkEnd w:id="13"/>
    <w:p>
      <w:pPr>
        <w:ind w:right="3259"/>
        <w:spacing w:after="0" w:line="237" w:lineRule="auto"/>
        <w:rPr>
          <w:sz w:val="20"/>
          <w:szCs w:val="20"/>
          <w:color w:val="auto"/>
        </w:rPr>
      </w:pPr>
      <w:r>
        <w:rPr>
          <w:rFonts w:ascii="Courier New" w:cs="Courier New" w:eastAsia="Courier New" w:hAnsi="Courier New"/>
          <w:sz w:val="15"/>
          <w:szCs w:val="15"/>
          <w:color w:val="auto"/>
        </w:rPr>
        <w:t>therapy area includes twenty-two issued U.S. patents, seven of which issued in 2000. An additional twenty-seven patent applications are pending, five of which have been allowed.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and Application Number WO 00/36091 (An animal model for identifying a common stem/ progenitor to liver cells and pancreatic cells); Application Number WO98/50526 (Generation, characterization, and isolation of neuroepithelial stem cells and lineage restricted intermediate precursor); Application Number WO 00/50572 (Use of collagenase in the preparation of neural stem cell cultures); and Application Number WO 00/47762 (Enriched neural stem cell populations and methods of identifying, isolating, and enriching neural stem cells).</w:t>
      </w:r>
    </w:p>
    <w:p>
      <w:pPr>
        <w:spacing w:after="0" w:line="181"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34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University of California, San Diego: U.S. Patent Number 5,776,948 (Method of production of neuroblasts); U.S. Patent Number 6,013,521 (Method of production of neuroblasts); U.S. Patent Number 6,020,197 (Method of production of neuroblasts); and Application Number WO 94/16059 (Method of production of neuroblasts).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 VITRO neural crest stem cell assay); U.S. Patent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4" w:name="page15"/>
    <w:bookmarkEnd w:id="14"/>
    <w:p>
      <w:pPr>
        <w:ind w:right="3179"/>
        <w:spacing w:after="0" w:line="257" w:lineRule="auto"/>
        <w:rPr>
          <w:sz w:val="20"/>
          <w:szCs w:val="20"/>
          <w:color w:val="auto"/>
        </w:rPr>
      </w:pPr>
      <w:r>
        <w:rPr>
          <w:rFonts w:ascii="Courier New" w:cs="Courier New" w:eastAsia="Courier New" w:hAnsi="Courier New"/>
          <w:sz w:val="14"/>
          <w:szCs w:val="14"/>
          <w:color w:val="auto"/>
        </w:rPr>
        <w:t>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67"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6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the Company's expected products.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5" w:name="page16"/>
    <w:bookmarkEnd w:id="15"/>
    <w:p>
      <w:pPr>
        <w:ind w:right="3259"/>
        <w:spacing w:after="0" w:line="259" w:lineRule="auto"/>
        <w:rPr>
          <w:sz w:val="20"/>
          <w:szCs w:val="20"/>
          <w:color w:val="auto"/>
        </w:rPr>
      </w:pPr>
      <w:r>
        <w:rPr>
          <w:rFonts w:ascii="Courier New" w:cs="Courier New" w:eastAsia="Courier New" w:hAnsi="Courier New"/>
          <w:sz w:val="14"/>
          <w:szCs w:val="14"/>
          <w:color w:val="auto"/>
        </w:rPr>
        <w:t>of genetically modified cells to treat disease, disorder or injury. The Company is aware of two patents issued to a competitor claiming certain methods for treating defective, diseased or damaged cells in the mammalian CNS by grafting genetically modified donor cells from the same mammalian species.</w:t>
      </w:r>
    </w:p>
    <w:p>
      <w:pPr>
        <w:spacing w:after="0" w:line="163"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 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agreements. Loss of such licenses could expose the Company to the risks of third party patents and/or technology. There can be no assurance that any of these licenses will provide effective protection against the Company's competitors.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6" w:name="page17"/>
    <w:bookmarkEnd w:id="16"/>
    <w:p>
      <w:pPr>
        <w:ind w:left="10" w:right="3179" w:firstLine="353"/>
        <w:spacing w:after="0" w:line="237"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9"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FDA APPROVAL</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ind w:left="10"/>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08" w:lineRule="exact"/>
        <w:rPr>
          <w:sz w:val="20"/>
          <w:szCs w:val="20"/>
          <w:color w:val="auto"/>
        </w:rPr>
      </w:pPr>
    </w:p>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1440" w:gutter="0" w:footer="0" w:header="0"/>
        </w:sectPr>
      </w:pPr>
    </w:p>
    <w:p>
      <w:pPr>
        <w:spacing w:after="0" w:line="174" w:lineRule="exact"/>
        <w:rPr>
          <w:sz w:val="20"/>
          <w:szCs w:val="20"/>
          <w:color w:val="auto"/>
        </w:rPr>
      </w:pPr>
    </w:p>
    <w:p>
      <w:pPr>
        <w:ind w:left="10" w:hanging="10"/>
        <w:spacing w:after="0" w:line="235" w:lineRule="auto"/>
        <w:tabs>
          <w:tab w:leader="none" w:pos="27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laboratory and animal tests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39"/>
        <w:spacing w:after="0" w:line="238" w:lineRule="auto"/>
        <w:rPr>
          <w:sz w:val="20"/>
          <w:szCs w:val="20"/>
          <w:color w:val="auto"/>
        </w:rPr>
      </w:pPr>
      <w:r>
        <w:rPr>
          <w:rFonts w:ascii="Courier New" w:cs="Courier New" w:eastAsia="Courier New" w:hAnsi="Courier New"/>
          <w:sz w:val="15"/>
          <w:szCs w:val="15"/>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76" w:lineRule="exact"/>
        <w:rPr>
          <w:sz w:val="20"/>
          <w:szCs w:val="20"/>
          <w:color w:val="auto"/>
        </w:rPr>
      </w:pPr>
    </w:p>
    <w:p>
      <w:pPr>
        <w:sectPr>
          <w:pgSz w:w="11900" w:h="16838" w:orient="portrait"/>
          <w:cols w:equalWidth="0" w:num="2">
            <w:col w:w="3170" w:space="620"/>
            <w:col w:w="6439"/>
          </w:cols>
          <w:pgMar w:left="230" w:top="458" w:right="1440" w:bottom="1440" w:gutter="0" w:footer="0" w:header="0"/>
          <w:type w:val="continuous"/>
        </w:sectPr>
      </w:pPr>
    </w:p>
    <w:p>
      <w:pPr>
        <w:ind w:left="10" w:hanging="10"/>
        <w:spacing w:after="0" w:line="237" w:lineRule="auto"/>
        <w:tabs>
          <w:tab w:leader="none" w:pos="2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 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ind w:right="2039"/>
        <w:spacing w:after="0" w:line="258" w:lineRule="auto"/>
        <w:rPr>
          <w:sz w:val="20"/>
          <w:szCs w:val="20"/>
          <w:color w:val="auto"/>
        </w:rPr>
      </w:pPr>
      <w:r>
        <w:rPr>
          <w:rFonts w:ascii="Courier New" w:cs="Courier New" w:eastAsia="Courier New" w:hAnsi="Courier New"/>
          <w:sz w:val="14"/>
          <w:szCs w:val="14"/>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610" w:space="180"/>
            <w:col w:w="6439"/>
          </w:cols>
          <w:pgMar w:left="230" w:top="458" w:right="1440" w:bottom="1440" w:gutter="0" w:footer="0" w:header="0"/>
          <w:type w:val="continuous"/>
        </w:sectPr>
      </w:pPr>
    </w:p>
    <w:p>
      <w:pPr>
        <w:spacing w:after="0" w:line="1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8" w:right="1440" w:bottom="1440" w:gutter="0" w:footer="0" w:header="0"/>
          <w:type w:val="continuous"/>
        </w:sectPr>
      </w:pPr>
    </w:p>
    <w:bookmarkStart w:id="17" w:name="page18"/>
    <w:bookmarkEnd w:id="17"/>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hanging="10"/>
        <w:spacing w:after="0" w:line="237" w:lineRule="auto"/>
        <w:tabs>
          <w:tab w:leader="none" w:pos="27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39"/>
        <w:spacing w:after="0" w:line="256"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346" w:lineRule="exact"/>
        <w:rPr>
          <w:sz w:val="20"/>
          <w:szCs w:val="20"/>
          <w:color w:val="auto"/>
        </w:rPr>
      </w:pPr>
    </w:p>
    <w:p>
      <w:pPr>
        <w:ind w:right="2039"/>
        <w:spacing w:after="0" w:line="235"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800" w:right="2039" w:hanging="271"/>
        <w:spacing w:after="0" w:line="258"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63" w:lineRule="exact"/>
        <w:rPr>
          <w:rFonts w:ascii="Courier New" w:cs="Courier New" w:eastAsia="Courier New" w:hAnsi="Courier New"/>
          <w:sz w:val="14"/>
          <w:szCs w:val="14"/>
          <w:color w:val="auto"/>
        </w:rPr>
      </w:pPr>
    </w:p>
    <w:p>
      <w:pPr>
        <w:ind w:left="800" w:right="2199" w:hanging="271"/>
        <w:spacing w:after="0" w:line="256"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 efficacy of the product for specific targeted indications and populations,</w:t>
      </w:r>
    </w:p>
    <w:p>
      <w:pPr>
        <w:spacing w:after="0" w:line="1" w:lineRule="exact"/>
        <w:rPr>
          <w:rFonts w:ascii="Courier New" w:cs="Courier New" w:eastAsia="Courier New" w:hAnsi="Courier New"/>
          <w:sz w:val="14"/>
          <w:szCs w:val="14"/>
          <w:color w:val="auto"/>
        </w:rPr>
      </w:pPr>
    </w:p>
    <w:p>
      <w:pPr>
        <w:ind w:left="800" w:right="2039" w:hanging="6"/>
        <w:spacing w:after="0" w:line="257" w:lineRule="auto"/>
        <w:tabs>
          <w:tab w:leader="none" w:pos="1241"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67" w:lineRule="exact"/>
        <w:rPr>
          <w:rFonts w:ascii="Courier New" w:cs="Courier New" w:eastAsia="Courier New" w:hAnsi="Courier New"/>
          <w:sz w:val="14"/>
          <w:szCs w:val="14"/>
          <w:color w:val="auto"/>
        </w:rPr>
      </w:pPr>
    </w:p>
    <w:p>
      <w:pPr>
        <w:ind w:left="800" w:right="2199" w:hanging="271"/>
        <w:spacing w:after="0" w:line="258"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 and to test further for safety within an expanded patient population, generally at multiple study sites.</w:t>
      </w:r>
    </w:p>
    <w:p>
      <w:pPr>
        <w:spacing w:after="0" w:line="16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200" w:lineRule="exact"/>
        <w:rPr>
          <w:sz w:val="20"/>
          <w:szCs w:val="20"/>
          <w:color w:val="auto"/>
        </w:rPr>
      </w:pPr>
    </w:p>
    <w:p>
      <w:pPr>
        <w:sectPr>
          <w:pgSz w:w="11900" w:h="16838" w:orient="portrait"/>
          <w:cols w:equalWidth="0" w:num="2">
            <w:col w:w="3430" w:space="360"/>
            <w:col w:w="6439"/>
          </w:cols>
          <w:pgMar w:left="230" w:top="961" w:right="1440" w:bottom="1440" w:gutter="0" w:footer="0" w:header="0"/>
          <w:type w:val="continuous"/>
        </w:sectPr>
      </w:pPr>
    </w:p>
    <w:p>
      <w:pPr>
        <w:spacing w:after="0" w:line="1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961" w:right="1440" w:bottom="1440" w:gutter="0" w:footer="0" w:header="0"/>
          <w:type w:val="continuous"/>
        </w:sectPr>
      </w:pPr>
    </w:p>
    <w:bookmarkStart w:id="18" w:name="page19"/>
    <w:bookmarkEnd w:id="18"/>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961" w:right="1440" w:bottom="1440" w:gutter="0" w:footer="0" w:header="0"/>
        </w:sectPr>
      </w:pPr>
    </w:p>
    <w:p>
      <w:pPr>
        <w:spacing w:after="0" w:line="174" w:lineRule="exact"/>
        <w:rPr>
          <w:sz w:val="20"/>
          <w:szCs w:val="20"/>
          <w:color w:val="auto"/>
        </w:rPr>
      </w:pPr>
    </w:p>
    <w:p>
      <w:pPr>
        <w:ind w:left="10" w:right="260" w:hanging="10"/>
        <w:spacing w:after="0" w:line="235" w:lineRule="auto"/>
        <w:tabs>
          <w:tab w:leader="none" w:pos="27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w:t>
      </w:r>
    </w:p>
    <w:p>
      <w:pPr>
        <w:spacing w:after="0" w:line="5" w:lineRule="exact"/>
        <w:rPr>
          <w:rFonts w:ascii="Courier New" w:cs="Courier New" w:eastAsia="Courier New" w:hAnsi="Courier New"/>
          <w:sz w:val="15"/>
          <w:szCs w:val="15"/>
          <w:color w:val="auto"/>
        </w:rPr>
      </w:pPr>
    </w:p>
    <w:p>
      <w:pPr>
        <w:ind w:left="1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6"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4"/>
          <w:szCs w:val="14"/>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3530" w:space="260"/>
            <w:col w:w="6439"/>
          </w:cols>
          <w:pgMar w:left="230" w:top="961" w:right="1440" w:bottom="1440" w:gutter="0" w:footer="0" w:header="0"/>
          <w:type w:val="continuous"/>
        </w:sectPr>
      </w:pPr>
    </w:p>
    <w:p>
      <w:pPr>
        <w:spacing w:after="0" w:line="13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FDA MANUFACTURING REQUIREMENTS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ORPHAN DRUG ACT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FDA REGULATIONS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961" w:right="1440" w:bottom="1440" w:gutter="0" w:footer="0" w:header="0"/>
          <w:type w:val="continuous"/>
        </w:sectPr>
      </w:pPr>
    </w:p>
    <w:bookmarkStart w:id="19" w:name="page20"/>
    <w:bookmarkEnd w:id="19"/>
    <w:p>
      <w:pPr>
        <w:ind w:right="3259"/>
        <w:spacing w:after="0" w:line="237" w:lineRule="auto"/>
        <w:rPr>
          <w:sz w:val="20"/>
          <w:szCs w:val="20"/>
          <w:color w:val="auto"/>
        </w:rPr>
      </w:pPr>
      <w:r>
        <w:rPr>
          <w:rFonts w:ascii="Courier New" w:cs="Courier New" w:eastAsia="Courier New" w:hAnsi="Courier New"/>
          <w:sz w:val="15"/>
          <w:szCs w:val="15"/>
          <w:color w:val="auto"/>
        </w:rPr>
        <w:t>contain such research. Certain of our collaborators have stock options or other equity interests in us that could subject such collaborators and us to the proposed regulations.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REGULATIONS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65" w:lineRule="exact"/>
        <w:rPr>
          <w:sz w:val="20"/>
          <w:szCs w:val="20"/>
          <w:color w:val="auto"/>
        </w:rPr>
      </w:pPr>
    </w:p>
    <w:p>
      <w:pPr>
        <w:ind w:left="520" w:right="3359" w:hanging="177"/>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6"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4" w:lineRule="exact"/>
        <w:rPr>
          <w:rFonts w:ascii="Courier New" w:cs="Courier New" w:eastAsia="Courier New" w:hAnsi="Courier New"/>
          <w:sz w:val="15"/>
          <w:szCs w:val="15"/>
          <w:color w:val="auto"/>
        </w:rPr>
      </w:pPr>
    </w:p>
    <w:p>
      <w:pPr>
        <w:ind w:left="520" w:right="3619" w:hanging="177"/>
        <w:spacing w:after="0" w:line="237"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 These facilities were sufficient to accommodate our needs through the end of 2000, but our expanding endeavors require more space for both research and development in the future.</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therefore entered a 5-year lease, as of February 1, 2001, for a 40,000 square foot facility, located in the Stanford Research Park in Palo Alto, California, which includes vivarium space as well as laboratories, offices, and a GMP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expect to vacate our current premises and be moved into the new facility by May, 2001.</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In February, 2001, we subleased the 3,000 square foot facility and approximately one-third of the 65,000 square foot facility. We are actively seeking to sublease, assign or sell our remaining interests in these properties.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1" w:name="page22"/>
    <w:bookmarkEnd w:id="21"/>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common stock of StemCells is traded on the National Market System of NASDAQ under the Symbol STEM (Previously traded under the Symbol CTII until May 2000). The quarterly ranges of high and low sales prices for the last two fiscal years are shown below:</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c>
          <w:tcPr>
            <w:tcW w:w="10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c>
          <w:tcPr>
            <w:tcW w:w="106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41/61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11/16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r>
      <w:tr>
        <w:trPr>
          <w:trHeight w:val="848"/>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25/32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5/32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17/32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11/16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spacing w:after="0"/>
              <w:rPr>
                <w:sz w:val="14"/>
                <w:szCs w:val="14"/>
                <w:color w:val="auto"/>
              </w:rPr>
            </w:pPr>
          </w:p>
        </w:tc>
      </w:tr>
    </w:tbl>
    <w:p>
      <w:pPr>
        <w:spacing w:after="0" w:line="344"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No cash dividends have been declared on the Company common stock since the Company's inception.</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As of March 20th, 2001, there were approximately 278 holders of record of the common stock.</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476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2000</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600" w:type="dxa"/>
            <w:vAlign w:val="bottom"/>
          </w:tcPr>
          <w:p>
            <w:pPr>
              <w:spacing w:after="0"/>
              <w:rPr>
                <w:sz w:val="14"/>
                <w:szCs w:val="14"/>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&amp; licensing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agreements(1)............................</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8,803</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$ 10,617</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5,979</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9,984</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18,604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17,130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8,344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ECT wind-down and corporate relocation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expenses.................................</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6,048</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$(11,125)</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$(12,628)</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$(18,114)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$(13,759)</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available to common shareholders before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change...................................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a change in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principle(2).............................</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loss per share applicable to common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 per share.......................</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20,067</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18,706</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18,291</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16,704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15,430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5019" w:hanging="3430"/>
        <w:spacing w:after="0" w:line="471" w:lineRule="auto"/>
        <w:tabs>
          <w:tab w:leader="none" w:pos="34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3 in the consolidated financial statements 22</w:t>
      </w:r>
    </w:p>
    <w:p>
      <w:pPr>
        <w:sectPr>
          <w:pgSz w:w="11900" w:h="16838" w:orient="portrait"/>
          <w:cols w:equalWidth="0" w:num="1">
            <w:col w:w="10229"/>
          </w:cols>
          <w:pgMar w:left="230" w:top="45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(2) See footnote 2 in the consolidated financial statements</w:t>
      </w:r>
    </w:p>
    <w:p>
      <w:pPr>
        <w:sectPr>
          <w:pgSz w:w="11900" w:h="16838" w:orient="portrait"/>
          <w:cols w:equalWidth="0" w:num="1">
            <w:col w:w="10219"/>
          </w:cols>
          <w:pgMar w:left="240" w:top="458"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4680" w:type="dxa"/>
            <w:vAlign w:val="bottom"/>
            <w:gridSpan w:val="5"/>
          </w:tcPr>
          <w:p>
            <w:pPr>
              <w:jc w:val="center"/>
              <w:ind w:lef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securities...................................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$ 6,069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$ 4,760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$17,386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$29,050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$42,607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32,866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44,301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58,397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3,762</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8,223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5,249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5,583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8,159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22,982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17,897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34,747</w:t>
            </w:r>
          </w:p>
        </w:tc>
      </w:tr>
    </w:tbl>
    <w:p>
      <w:pPr>
        <w:spacing w:after="0" w:line="344"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879" w:firstLine="353"/>
        <w:spacing w:after="0" w:line="237"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should be read in conjunction with the accompanying financial statements and the related footnotes thereto.</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our future results of operations, the progress of our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81"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61" w:right="1440" w:bottom="1440" w:gutter="0" w:footer="0" w:header="0"/>
        </w:sectPr>
      </w:pPr>
    </w:p>
    <w:bookmarkStart w:id="24" w:name="page25"/>
    <w:bookmarkEnd w:id="24"/>
    <w:p>
      <w:pPr>
        <w:ind w:right="3179"/>
        <w:spacing w:after="0" w:line="237" w:lineRule="auto"/>
        <w:rPr>
          <w:sz w:val="20"/>
          <w:szCs w:val="20"/>
          <w:color w:val="auto"/>
        </w:rPr>
      </w:pPr>
      <w:r>
        <w:rPr>
          <w:rFonts w:ascii="Courier New" w:cs="Courier New" w:eastAsia="Courier New" w:hAnsi="Courier New"/>
          <w:sz w:val="15"/>
          <w:szCs w:val="15"/>
          <w:color w:val="auto"/>
        </w:rPr>
        <w:t>There are no such collaborative research arrangements at this time and there can be no assurance that such financing or partnering revenues will be available when needed or on terms acceptable to us.</w:t>
      </w:r>
    </w:p>
    <w:p>
      <w:pPr>
        <w:spacing w:after="0" w:line="175"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"Astra Agreement"). The decrease in revenues from 1998 to 1999 to 2000 resulted primarily from the June 1999 termination of the Astra Agreement.</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 Due to the wind-down of our encapsulated cell technology and relocation of our headquarters in October, the 1999 expenses are less than they would have been had these events not occurred.</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Wind-down expenses related to our ECT research, our Rhode Island operations and the transfer of our headquarters to Sunnyvale, California totaled $3,327,000 and $6,048,000 for 2000 and 1999, respectively. No such expenses were incurred in 1998. 1999 expenses included accruals of approximately $1.6 million for employee severance costs, $1.9 million in losses and reserves for the write-down of related patents and fixed assets, $1.2 million for our costs of settlement of a 1989 funding agreement with RIPSAT, $700,000 of estimated additional carrying costs through June 30, 2000, and other related expenses totaling $760,000.</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have created a reserve of $1,780,000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6"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5" w:name="page26"/>
    <w:bookmarkEnd w:id="25"/>
    <w:p>
      <w:pPr>
        <w:ind w:right="3359"/>
        <w:spacing w:after="0" w:line="265" w:lineRule="auto"/>
        <w:rPr>
          <w:sz w:val="20"/>
          <w:szCs w:val="20"/>
          <w:color w:val="auto"/>
        </w:rPr>
      </w:pPr>
      <w:r>
        <w:rPr>
          <w:rFonts w:ascii="Courier New" w:cs="Courier New" w:eastAsia="Courier New" w:hAnsi="Courier New"/>
          <w:sz w:val="14"/>
          <w:szCs w:val="14"/>
          <w:color w:val="auto"/>
        </w:rPr>
        <w:t>and $21,795,000 in 2000, 1999 and 1998, respectively. The decrease in interest income from 1998 to 1999 to 2000 was attributable to lower average balances.</w:t>
      </w:r>
    </w:p>
    <w:p>
      <w:pPr>
        <w:spacing w:after="0" w:line="158"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 investment in Modex. Modex Therapeutics Ltd ("Modex"), a Swiss biotechnology company that completed an initial public offering on June 23, 2000, and is publicly traded on the Swiss Neue Market exchange.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rPr>
          <w:sz w:val="20"/>
          <w:szCs w:val="20"/>
          <w:color w:val="auto"/>
        </w:rPr>
      </w:pPr>
      <w:r>
        <w:rPr>
          <w:rFonts w:ascii="Courier New" w:cs="Courier New" w:eastAsia="Courier New" w:hAnsi="Courier New"/>
          <w:sz w:val="15"/>
          <w:szCs w:val="15"/>
          <w:color w:val="auto"/>
        </w:rPr>
        <w:t>attributable to the wind-down of our encapsulated cell technology research and</w:t>
      </w: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June 1999, as well as expenses related to the wind-down of our encapsulated cell technology research and our other Rhode Island operations, the transfer of our corporate headquarters to Sunnyvale, California and an accrual for the our estimate of the costs of settlement of a funding agreement with RIPSAT.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We had cash and cash equivalents totaling $6,069,000 at December 31, 2000. Cash equivalents are invested in money market funds. We also hold shares of Modex Therapeutics Ltd ("Modex"), a Swiss biotechnology company that completed an initial public offering on June 23, 2000, and is publicly traded on the Swiss Neue Market exchange. During the second quarter 2000 we realized a $1,427,000 gain in connection with the sale of a portion of our investment in Modex. Our Modex stock has a fair market value of $16,356,000 on December 31, 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had been prohibited under a lock-up agreement entered into at the time of Modex's secondary offering from selling any of our Modex holdings until December 23, 2000. On January 9, 2001, we sold 22,616 Modex shares for a net price of 182.00 Swiss francs per share, which converts to $112.76 per share, for total proceeds of $2,550,000. In connection with this sale, we agreed not to resell any more of our remaining 103,577 Modex shares until April 12, 2001. There is a limited trading market for Modex stock, and if we were to attempt to sell any significant portion of our remaining Modex holdings, we would likely be able to do so only at a significant discount to the then market price, if at all. If we sell some but not all of our Modex shares, it is likely that we would have to agree, in connection with the sale, to refrain from selling additional shares for several months. Our Modex stock has a fair value of $8,732,797 on March 27, 2001.</w:t>
      </w:r>
    </w:p>
    <w:p>
      <w:pPr>
        <w:spacing w:after="0" w:line="34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 proprietary stem cell technologies. We terminated approximately 68 full time employees and, in October 1999, relocated our corporate headquarters to Sunnyvale, California.</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6" w:name="page27"/>
    <w:bookmarkEnd w:id="26"/>
    <w:p>
      <w:pPr>
        <w:ind w:right="3259" w:firstLine="353"/>
        <w:spacing w:after="0" w:line="237"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were used to fund our continuing operations</w:t>
      </w:r>
    </w:p>
    <w:p>
      <w:pPr>
        <w:spacing w:after="0" w:line="178" w:lineRule="exact"/>
        <w:rPr>
          <w:sz w:val="20"/>
          <w:szCs w:val="20"/>
          <w:color w:val="auto"/>
        </w:rPr>
      </w:pPr>
    </w:p>
    <w:p>
      <w:pPr>
        <w:jc w:val="both"/>
        <w:ind w:right="3259" w:firstLine="353"/>
        <w:spacing w:after="0" w:line="256"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 We received the remaining balance of $200,000 on December 04, 2000.</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 we were not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38" w:lineRule="auto"/>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38" w:lineRule="auto"/>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7" w:name="page28"/>
    <w:bookmarkEnd w:id="27"/>
    <w:p>
      <w:pPr>
        <w:ind w:right="3179"/>
        <w:spacing w:after="0" w:line="257" w:lineRule="auto"/>
        <w:rPr>
          <w:sz w:val="20"/>
          <w:szCs w:val="20"/>
          <w:color w:val="auto"/>
        </w:rPr>
      </w:pPr>
      <w:r>
        <w:rPr>
          <w:rFonts w:ascii="Courier New" w:cs="Courier New" w:eastAsia="Courier New" w:hAnsi="Courier New"/>
          <w:sz w:val="14"/>
          <w:szCs w:val="14"/>
          <w:color w:val="auto"/>
        </w:rPr>
        <w:t>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7" w:lineRule="exact"/>
        <w:rPr>
          <w:sz w:val="20"/>
          <w:szCs w:val="20"/>
          <w:color w:val="auto"/>
        </w:rPr>
      </w:pPr>
    </w:p>
    <w:p>
      <w:pPr>
        <w:ind w:right="3539" w:firstLine="353"/>
        <w:spacing w:after="0" w:line="256"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28" w:name="page29"/>
    <w:bookmarkEnd w:id="28"/>
    <w:p>
      <w:pPr>
        <w:ind w:left="10" w:right="3179"/>
        <w:spacing w:after="0" w:line="257" w:lineRule="auto"/>
        <w:rPr>
          <w:sz w:val="20"/>
          <w:szCs w:val="20"/>
          <w:color w:val="auto"/>
        </w:rPr>
      </w:pPr>
      <w:r>
        <w:rPr>
          <w:rFonts w:ascii="Courier New" w:cs="Courier New" w:eastAsia="Courier New" w:hAnsi="Courier New"/>
          <w:sz w:val="14"/>
          <w:szCs w:val="14"/>
          <w:color w:val="auto"/>
        </w:rPr>
        <w:t>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We are required to adopt SFAS 133 effective January 1, 2001. Because we do not hold any derivative instruments and do not engage in hedging activities, management does not believe the adoption of SFAS 133 will have an impact on our financial position or results of operations.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7A. QUANTITIVE AND QUALITATIVE DISCLOSURES ABOUT MARKET RISK</w:t>
      </w:r>
    </w:p>
    <w:p>
      <w:pPr>
        <w:spacing w:after="0" w:line="175"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On December 31, 2000, we have an investment in common stock of Modex Therapeutics Ltd. (Modex), a Swiss Biotherapeutics company. Our value in this investment is subject to both equity price risk and foreign currency exchange risk. Modex shares were offered in an initial public offering ("IPO") on the Swiss Neue Market on June 23, 2000 at a price of 168.00 Swiss francs. From the date of the IPO to March 9, 2001, the Modex closing share price has fluctuated from a high of 390.00 Swiss francs on October 6, 2000 to a low of 121.00 Swiss francs on March 01, 2001. On January 9, 2001, we sold 22,616 Modex shares for a net price of 182.00 Swiss francs per share, which converts to $112.76 per share, for total proceeds of $2,550,230. In connection with this sale, we agreed not to resell any more of our Modex shares until April 12, 2001. On March 27, 2001 the market price of Modex stock was 145.00 Swiss francs which converts to $84.31 using exchange rates on that date, which represents an estimated fair market value of $8,732,797. If we were to seek to liquidate all or part of our remaining 103,577 Modex shares, our proceeds would depend on the share price and foreign currency exchange rates at the time of conversion. Additionally, if we sell a sizable portion of our holdings, we may have to sell these shares at a discount to market price.</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ectPr>
          <w:pgSz w:w="11900" w:h="16838" w:orient="portrait"/>
          <w:cols w:equalWidth="0" w:num="1">
            <w:col w:w="10229"/>
          </w:cols>
          <w:pgMar w:left="23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NO. OF SHARES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88"/>
        <w:spacing w:after="0" w:line="235" w:lineRule="auto"/>
        <w:rPr>
          <w:sz w:val="20"/>
          <w:szCs w:val="20"/>
          <w:color w:val="auto"/>
        </w:rPr>
      </w:pPr>
      <w:r>
        <w:rPr>
          <w:rFonts w:ascii="Courier New" w:cs="Courier New" w:eastAsia="Courier New" w:hAnsi="Courier New"/>
          <w:sz w:val="15"/>
          <w:szCs w:val="15"/>
          <w:color w:val="auto"/>
        </w:rPr>
        <w:t>DESCRIPTION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ASSOCIATED RISKS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 VALUE AT</w:t>
      </w:r>
    </w:p>
    <w:p>
      <w:pPr>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FUTURE</w:t>
      </w:r>
    </w:p>
    <w:p>
      <w:pPr>
        <w:ind w:left="180"/>
        <w:spacing w:after="0"/>
        <w:rPr>
          <w:sz w:val="20"/>
          <w:szCs w:val="20"/>
          <w:color w:val="auto"/>
        </w:rPr>
      </w:pPr>
      <w:r>
        <w:rPr>
          <w:rFonts w:ascii="Courier New" w:cs="Courier New" w:eastAsia="Courier New" w:hAnsi="Courier New"/>
          <w:sz w:val="15"/>
          <w:szCs w:val="15"/>
          <w:color w:val="auto"/>
        </w:rPr>
        <w:t>CASH FLOWS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5">
            <w:col w:w="2030" w:space="260"/>
            <w:col w:w="1580" w:space="280"/>
            <w:col w:w="1760" w:space="80"/>
            <w:col w:w="1760" w:space="100"/>
            <w:col w:w="2379"/>
          </w:cols>
          <w:pgMar w:left="230" w:top="458" w:right="1440" w:bottom="1440" w:gutter="0" w:footer="0" w:header="0"/>
          <w:type w:val="continuous"/>
        </w:sectPr>
      </w:pPr>
    </w:p>
    <w:p>
      <w:pPr>
        <w:ind w:left="610"/>
        <w:spacing w:after="0"/>
        <w:rPr>
          <w:sz w:val="20"/>
          <w:szCs w:val="20"/>
          <w:color w:val="auto"/>
        </w:rPr>
      </w:pPr>
      <w:r>
        <w:rPr>
          <w:rFonts w:ascii="Courier New" w:cs="Courier New" w:eastAsia="Courier New" w:hAnsi="Courier New"/>
          <w:sz w:val="14"/>
          <w:szCs w:val="14"/>
          <w:color w:val="auto"/>
        </w:rPr>
        <w:t>126,193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Modex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$16,356,334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w:t>
      </w:r>
    </w:p>
    <w:p>
      <w:pPr>
        <w:spacing w:after="0" w:line="11" w:lineRule="exact"/>
        <w:rPr>
          <w:sz w:val="20"/>
          <w:szCs w:val="20"/>
          <w:color w:val="auto"/>
        </w:rPr>
      </w:pPr>
    </w:p>
    <w:p>
      <w:pPr>
        <w:sectPr>
          <w:pgSz w:w="11900" w:h="16838" w:orient="portrait"/>
          <w:cols w:equalWidth="0" w:num="5">
            <w:col w:w="1390" w:space="720"/>
            <w:col w:w="1600" w:space="260"/>
            <w:col w:w="1560" w:space="720"/>
            <w:col w:w="1840" w:space="720"/>
            <w:col w:w="1419"/>
          </w:cols>
          <w:pgMar w:left="230" w:top="458" w:right="1440" w:bottom="1440" w:gutter="0" w:footer="0" w:header="0"/>
          <w:type w:val="continuous"/>
        </w:sectPr>
      </w:pPr>
    </w:p>
    <w:p>
      <w:pPr>
        <w:ind w:left="3970"/>
        <w:spacing w:after="0"/>
        <w:rPr>
          <w:sz w:val="20"/>
          <w:szCs w:val="20"/>
          <w:color w:val="auto"/>
        </w:rPr>
      </w:pPr>
      <w:r>
        <w:rPr>
          <w:rFonts w:ascii="Courier New" w:cs="Courier New" w:eastAsia="Courier New" w:hAnsi="Courier New"/>
          <w:sz w:val="14"/>
          <w:szCs w:val="14"/>
          <w:color w:val="auto"/>
        </w:rPr>
        <w:t>Currency Translation</w:t>
      </w:r>
    </w:p>
    <w:p>
      <w:pPr>
        <w:sectPr>
          <w:pgSz w:w="11900" w:h="16838" w:orient="portrait"/>
          <w:cols w:equalWidth="0" w:num="1">
            <w:col w:w="10229"/>
          </w:cols>
          <w:pgMar w:left="230" w:top="458" w:right="1440" w:bottom="1440" w:gutter="0" w:footer="0" w:header="0"/>
          <w:type w:val="continuous"/>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57"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we have not formally adopted a liquidation plan for this investment, liquidation may be necessary to meet operating cash flow requirements. Under the agreement with Modex, we had been restricted from selling our holding through December 23, 2000 and, as noted above, we sold 22,616 shares on January 9, 2001 and agreed not to sell any more shares until April 12, 2001. If we sell some but not all of our remaining 103,577 shares, we likely would have to agree, in connection with the sale, to refrain from selling additional shares for several months.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8"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STEMCELLS, INC.</w:t>
      </w:r>
    </w:p>
    <w:tbl>
      <w:tblPr>
        <w:tblLayout w:type="fixed"/>
        <w:tblInd w:w="0" w:type="dxa"/>
        <w:tblCellMar>
          <w:top w:w="0" w:type="dxa"/>
          <w:left w:w="0" w:type="dxa"/>
          <w:bottom w:w="0" w:type="dxa"/>
          <w:right w:w="0" w:type="dxa"/>
        </w:tblCellMar>
      </w:tblPr>
      <w:tr>
        <w:trPr>
          <w:trHeight w:val="170"/>
        </w:trPr>
        <w:tc>
          <w:tcPr>
            <w:tcW w:w="5420" w:type="dxa"/>
            <w:vAlign w:val="bottom"/>
            <w:gridSpan w:val="2"/>
          </w:tcPr>
          <w:p>
            <w:pPr>
              <w:ind w:left="166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740" w:type="dxa"/>
            <w:vAlign w:val="bottom"/>
          </w:tcPr>
          <w:p>
            <w:pPr>
              <w:spacing w:after="0"/>
              <w:rPr>
                <w:sz w:val="14"/>
                <w:szCs w:val="14"/>
                <w:color w:val="auto"/>
              </w:rPr>
            </w:pPr>
          </w:p>
        </w:tc>
      </w:tr>
      <w:tr>
        <w:trPr>
          <w:trHeight w:val="678"/>
        </w:trPr>
        <w:tc>
          <w:tcPr>
            <w:tcW w:w="2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2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Report of Ernst &amp; Young</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LLP, Independent Auditors...........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r>
      <w:tr>
        <w:trPr>
          <w:trHeight w:val="170"/>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Operations.......................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Stockholders' Equity.............</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Cash Flows.......................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0"/>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509"/>
        </w:trPr>
        <w:tc>
          <w:tcPr>
            <w:tcW w:w="2060" w:type="dxa"/>
            <w:vAlign w:val="bottom"/>
          </w:tcPr>
          <w:p>
            <w:pPr>
              <w:spacing w:after="0"/>
              <w:rPr>
                <w:sz w:val="24"/>
                <w:szCs w:val="24"/>
                <w:color w:val="auto"/>
              </w:rPr>
            </w:pPr>
          </w:p>
        </w:tc>
        <w:tc>
          <w:tcPr>
            <w:tcW w:w="3360" w:type="dxa"/>
            <w:vAlign w:val="bottom"/>
          </w:tcPr>
          <w:p>
            <w:pPr>
              <w:ind w:left="1360"/>
              <w:spacing w:after="0"/>
              <w:rPr>
                <w:sz w:val="20"/>
                <w:szCs w:val="20"/>
                <w:color w:val="auto"/>
              </w:rPr>
            </w:pPr>
            <w:r>
              <w:rPr>
                <w:rFonts w:ascii="Courier New" w:cs="Courier New" w:eastAsia="Courier New" w:hAnsi="Courier New"/>
                <w:sz w:val="15"/>
                <w:szCs w:val="15"/>
                <w:color w:val="auto"/>
              </w:rPr>
              <w:t>29</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30" w:name="page31"/>
    <w:bookmarkEnd w:id="30"/>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rPr>
          <w:sz w:val="20"/>
          <w:szCs w:val="20"/>
          <w:color w:val="auto"/>
        </w:rPr>
      </w:pPr>
      <w:r>
        <w:rPr>
          <w:rFonts w:ascii="Courier New" w:cs="Courier New" w:eastAsia="Courier New" w:hAnsi="Courier New"/>
          <w:sz w:val="15"/>
          <w:szCs w:val="15"/>
          <w:color w:val="auto"/>
        </w:rPr>
        <w:t>February 23,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2" w:right="1440" w:bottom="1440" w:gutter="0" w:footer="0" w:header="0"/>
        </w:sectPr>
      </w:pPr>
    </w:p>
    <w:bookmarkStart w:id="31" w:name="page32"/>
    <w:bookmarkEnd w:id="31"/>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360" w:type="dxa"/>
            <w:vAlign w:val="bottom"/>
          </w:tcPr>
          <w:p>
            <w:pPr>
              <w:spacing w:after="0"/>
              <w:rPr>
                <w:sz w:val="14"/>
                <w:szCs w:val="14"/>
                <w:color w:val="auto"/>
              </w:rPr>
            </w:pPr>
          </w:p>
        </w:tc>
        <w:tc>
          <w:tcPr>
            <w:tcW w:w="27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4,760,064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restricted investments.........................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16,725</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42,212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3,000,000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Debt service fund.........................................</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609,905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524,509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558,674</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22,966,515</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8,970,855</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3,203,491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1,451,061</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1,747,885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2,173,912</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1,858,768</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15,780,999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631,315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837,358</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970,546</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wind-down costs...................................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1,780,579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1,634,522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 lease obligations...........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332,083</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324,167</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3,476,211</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3,560,550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Capital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2,605,000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2,937,083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705,746</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502,353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1999, none at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5,248,610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none at 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authorized; 20,956,887 and 18,635,565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and 1999,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209,569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186,355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138,150,067</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123,917,758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1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(130,498,187)</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(119,372,710)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(2,735,761)</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22,982,022</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3,506,403</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15,780,999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2" w:right="1440" w:bottom="1440" w:gutter="0" w:footer="0" w:header="0"/>
        </w:sectPr>
      </w:pPr>
    </w:p>
    <w:bookmarkStart w:id="32" w:name="page33"/>
    <w:bookmarkEnd w:id="32"/>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gridSpan w:val="5"/>
          </w:tcPr>
          <w:p>
            <w:pPr>
              <w:jc w:val="right"/>
              <w:ind w:right="8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660" w:type="dxa"/>
            <w:vAlign w:val="bottom"/>
          </w:tcPr>
          <w:p>
            <w:pPr>
              <w:spacing w:after="0"/>
              <w:rPr>
                <w:sz w:val="14"/>
                <w:szCs w:val="14"/>
                <w:color w:val="auto"/>
              </w:rPr>
            </w:pPr>
          </w:p>
        </w:tc>
        <w:tc>
          <w:tcPr>
            <w:tcW w:w="38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and licensing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8,803,163</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5,979,007</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17,658,530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3,361,231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4,602,758</w:t>
            </w: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Encapsulated Cell Therapy wind-down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3,327,360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12,667,598</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22,261,288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(12,593,298)</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303,746</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1,253,781</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sale of Investment........................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8,902</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48,914</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1,467,821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830,295</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$(11,125,477)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Deemed dividend to preferred shareholders...........</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$(11,390,477)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 due to deemed dividend..................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 applicable to common shareholders..........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$(11,606,477)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$ 12,627,830)</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shareholders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20,067,760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18,290,548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2" w:right="1440" w:bottom="1440" w:gutter="0" w:footer="0" w:header="0"/>
        </w:sectPr>
      </w:pPr>
    </w:p>
    <w:bookmarkStart w:id="33" w:name="page34"/>
    <w:bookmarkEnd w:id="33"/>
    <w:p>
      <w:pPr>
        <w:jc w:val="center"/>
        <w:ind w:right="440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REDEEMABLE</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ACCUMULATED</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4"/>
                <w:szCs w:val="14"/>
                <w:color w:val="auto"/>
              </w:rPr>
            </w:pPr>
          </w:p>
        </w:tc>
        <w:tc>
          <w:tcPr>
            <w:tcW w:w="21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440" w:type="dxa"/>
            <w:vAlign w:val="bottom"/>
          </w:tcPr>
          <w:p>
            <w:pPr>
              <w:spacing w:after="0"/>
              <w:rPr>
                <w:sz w:val="14"/>
                <w:szCs w:val="14"/>
                <w:color w:val="auto"/>
              </w:rPr>
            </w:pP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OTHER</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540" w:type="dxa"/>
            <w:vAlign w:val="bottom"/>
          </w:tcPr>
          <w:p>
            <w:pPr>
              <w:spacing w:after="0"/>
              <w:rPr>
                <w:sz w:val="14"/>
                <w:szCs w:val="14"/>
                <w:color w:val="auto"/>
              </w:rPr>
            </w:pP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COMPREHENSIVE</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INCOME (LOSS)</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557,754</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$5,583,110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17,526,220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$175,262</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$121,472,844</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(91,036,254)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$(8,877)</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83,622</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143,025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505,587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(334,500)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334,166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1,254</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321,108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3,679</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5,248,610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17,800,323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122,861,606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(103,664,084)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(5,198)</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w:t>
            </w: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STOCKHOLDERS'</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$(1,702,820)</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$ 28,900,155</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2"/>
              </w:rPr>
              <w:t>84,058</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143,873</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506,600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334,500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1,364</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229,901</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551,009</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(12,627,830)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(12,624,151)</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17,897,408</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60"/>
          </w:cols>
          <w:pgMar w:left="240" w:top="452" w:right="299" w:bottom="1440" w:gutter="0" w:footer="0" w:header="0"/>
        </w:sectPr>
      </w:pPr>
    </w:p>
    <w:bookmarkStart w:id="34" w:name="page35"/>
    <w:bookmarkEnd w:id="34"/>
    <w:p>
      <w:pPr>
        <w:jc w:val="center"/>
        <w:ind w:right="440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6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EQUITY (CONTINUED)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REDEEMABLE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ACCUMULATED</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22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ADDITIONAL</w:t>
            </w:r>
          </w:p>
        </w:tc>
        <w:tc>
          <w:tcPr>
            <w:tcW w:w="1440" w:type="dxa"/>
            <w:vAlign w:val="bottom"/>
          </w:tcPr>
          <w:p>
            <w:pPr>
              <w:spacing w:after="0"/>
              <w:rPr>
                <w:sz w:val="14"/>
                <w:szCs w:val="14"/>
                <w:color w:val="auto"/>
              </w:rPr>
            </w:pP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OTHER</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440" w:type="dxa"/>
            <w:vAlign w:val="bottom"/>
          </w:tcPr>
          <w:p>
            <w:pPr>
              <w:spacing w:after="0"/>
              <w:rPr>
                <w:sz w:val="14"/>
                <w:szCs w:val="14"/>
                <w:color w:val="auto"/>
              </w:rPr>
            </w:pPr>
          </w:p>
        </w:tc>
        <w:tc>
          <w:tcPr>
            <w:tcW w:w="22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COMPREHENSIVE</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SHARES</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INCOME (LOSS)</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178,003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122,861,606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$(103,664,084)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$(5,198)</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318,221</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57,398</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41,619</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90,798</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908</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102,502</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490,833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4,908</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513,534</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80,276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5,198</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18,635,565</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186,355</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123,917,758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(119,372,710)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w:t>
            </w: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$ 17,897,408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320,183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42,193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103,410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518,442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247,919</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328,195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(15,708,626)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(15,703,428)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(1,225,000)</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3,506,403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60"/>
          </w:cols>
          <w:pgMar w:left="240" w:top="452" w:right="299" w:bottom="1440" w:gutter="0" w:footer="0" w:header="0"/>
        </w:sectPr>
      </w:pPr>
    </w:p>
    <w:bookmarkStart w:id="35" w:name="page36"/>
    <w:bookmarkEnd w:id="35"/>
    <w:p>
      <w:pPr>
        <w:jc w:val="center"/>
        <w:ind w:right="378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EQUITY (CONTINUED)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REDEEMABLE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COMMON</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4"/>
                <w:szCs w:val="14"/>
                <w:color w:val="auto"/>
              </w:rPr>
            </w:pPr>
          </w:p>
        </w:tc>
        <w:tc>
          <w:tcPr>
            <w:tcW w:w="19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ADDITIONAL</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9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PAID-IN</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11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   ----------</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5,248,610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18,635,565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$186,355</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$123,917,758</w:t>
            </w: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Millennium Partners LP, net of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issuance costs of $598,563.....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1,104,435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$ 11,044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4,390,393</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common stock related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 agreements...............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364,222</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27,112</w:t>
            </w: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608,078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651,828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Redeemable common stock</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conversion.......................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(5,248,610)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524,337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5,243,367</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preferred stock........</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amortization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 cancellations................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3,555,387</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2000........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20,956,887</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$209,569</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$138,150,067</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6"/>
              </w:rPr>
              <w:t>ACCUMULATED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OTHER</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ACCUMULATED</w:t>
            </w: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COMPREHENSIVE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STOCKHOLDERS'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INCOME (LOSS)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COMPENSATION</w:t>
            </w: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1999........</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$(119,372,710)</w:t>
            </w:r>
          </w:p>
        </w:tc>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3,506,403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Millennium Partners LP, net of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issuance costs of $598,563.....</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4,401,437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common stock related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 agreements...............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27,180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657,909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Redeemable common stock</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conversion.......................</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5,248,610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preferred stock........</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amortization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 cancellations................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$(1,510,760)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2,044,627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$16,356,334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$ 16,356,334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 (11,125,477)</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$(11,125,477)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5,230,858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2000........</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$(130,498,187)</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$16,356,334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$(2,735,761)</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$ 22,982,022</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740"/>
          </w:cols>
          <w:pgMar w:left="240" w:top="452" w:right="919" w:bottom="1440" w:gutter="0" w:footer="0" w:header="0"/>
        </w:sectPr>
      </w:pPr>
    </w:p>
    <w:bookmarkStart w:id="36" w:name="page37"/>
    <w:bookmarkEnd w:id="36"/>
    <w:p>
      <w:pPr>
        <w:jc w:val="center"/>
        <w:ind w:right="327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6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40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$(11,125,477)</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36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738,593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2,244,146</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Acquired research and development.......................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551,009</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deferred compensation...................</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2,044,627</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non-cash charges..................................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410,173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investment......................................</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(1,427,686)</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property, plant and equipment...........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intangibles.............................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 receivable...........................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25,488</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346,577</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Technology receivable.................................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315,213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(265,665)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(92,255)</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(2,378,613)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203,393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2,483,856</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(6,318,104)</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sale of Investments...........................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1,427,686</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(18,982,387)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22,573,625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property, plant and equipment..................</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(151,212)</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(2,153,525)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Acquisition of other assets.................................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(886,751)</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(400,219)</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Disposal of other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investing activities...................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389,723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1,037,494</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4,401,437</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227,931</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the exercise of stock options.................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685,089</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Common stock issued for agreements..........................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preferred stock...................</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debt financings...............................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1,259,300</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Change in debt service fund.................................</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609,905</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(324,167)</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(1,366,655)</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7,237,264</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121,940</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1,308,883</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4,760,064</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15,941,701</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the year................</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6,068,947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7,864,788</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paid...............................................</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272,513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444,047</w:t>
            </w:r>
          </w:p>
        </w:tc>
      </w:tr>
    </w:tbl>
    <w:p>
      <w:pPr>
        <w:sectPr>
          <w:pgSz w:w="11900" w:h="16838" w:orient="portrait"/>
          <w:cols w:equalWidth="0" w:num="1">
            <w:col w:w="10219"/>
          </w:cols>
          <w:pgMar w:left="240" w:top="452"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0219"/>
          </w:cols>
          <w:pgMar w:left="240" w:top="480"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80" w:right="1440" w:bottom="1440" w:gutter="0" w:footer="0" w:header="0"/>
          <w:type w:val="continuous"/>
        </w:sectPr>
      </w:pPr>
    </w:p>
    <w:bookmarkStart w:id="38" w:name="page39"/>
    <w:bookmarkEnd w:id="38"/>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ind w:left="10"/>
        <w:spacing w:after="0"/>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ind w:left="10"/>
        <w:spacing w:after="0"/>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ind w:left="10"/>
        <w:spacing w:after="0" w:line="238" w:lineRule="auto"/>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ind w:left="10"/>
        <w:spacing w:after="0"/>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ind w:left="10"/>
        <w:spacing w:after="0"/>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ind w:left="10"/>
        <w:spacing w:after="0" w:line="238" w:lineRule="auto"/>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ind w:left="10"/>
        <w:spacing w:after="0"/>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ind w:left="10"/>
        <w:spacing w:after="0"/>
        <w:rPr>
          <w:sz w:val="20"/>
          <w:szCs w:val="20"/>
          <w:color w:val="auto"/>
        </w:rPr>
      </w:pPr>
      <w:r>
        <w:rPr>
          <w:rFonts w:ascii="Courier New" w:cs="Courier New" w:eastAsia="Courier New" w:hAnsi="Courier New"/>
          <w:sz w:val="15"/>
          <w:szCs w:val="15"/>
          <w:color w:val="auto"/>
        </w:rPr>
        <w:t>operations. There are no such collaborative research arrangements at this time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84" w:lineRule="exact"/>
        <w:rPr>
          <w:sz w:val="20"/>
          <w:szCs w:val="20"/>
          <w:color w:val="auto"/>
        </w:rPr>
      </w:pPr>
    </w:p>
    <w:p>
      <w:pPr>
        <w:jc w:val="both"/>
        <w:ind w:left="10" w:right="3359" w:firstLine="353"/>
        <w:spacing w:after="0" w:line="258"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5" w:lineRule="exact"/>
        <w:rPr>
          <w:sz w:val="20"/>
          <w:szCs w:val="20"/>
          <w:color w:val="auto"/>
        </w:rPr>
      </w:pPr>
    </w:p>
    <w:p>
      <w:pPr>
        <w:ind w:left="10" w:right="6179" w:hanging="10"/>
        <w:spacing w:after="0" w:line="471" w:lineRule="auto"/>
        <w:tabs>
          <w:tab w:leader="none" w:pos="3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1"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452" w:right="1440" w:bottom="1440" w:gutter="0" w:footer="0" w:header="0"/>
        </w:sectPr>
      </w:pPr>
    </w:p>
    <w:bookmarkStart w:id="39" w:name="page40"/>
    <w:bookmarkEnd w:id="39"/>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5119" w:hanging="10"/>
        <w:spacing w:after="0" w:line="235"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CASH EQUIVALENTS AND INVESTMENTS</w:t>
      </w:r>
    </w:p>
    <w:p>
      <w:pPr>
        <w:spacing w:after="0" w:line="176"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63"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COMPREHENSIVE INCOME (LOSS)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gridSpan w:val="3"/>
          </w:tcPr>
          <w:p>
            <w:pPr>
              <w:spacing w:after="0"/>
              <w:rPr>
                <w:sz w:val="20"/>
                <w:szCs w:val="20"/>
                <w:color w:val="auto"/>
              </w:rPr>
            </w:pPr>
            <w:r>
              <w:rPr>
                <w:rFonts w:ascii="Courier New" w:cs="Courier New" w:eastAsia="Courier New" w:hAnsi="Courier New"/>
                <w:sz w:val="15"/>
                <w:szCs w:val="15"/>
                <w:color w:val="auto"/>
                <w:w w:val="98"/>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Machinery</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Furniture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PATENT AND LICENSE COSTS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9"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452" w:right="1440" w:bottom="1440" w:gutter="0" w:footer="0" w:header="0"/>
        </w:sectPr>
      </w:pPr>
    </w:p>
    <w:bookmarkStart w:id="40" w:name="page41"/>
    <w:bookmarkEnd w:id="40"/>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BASED COMPENSATION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 LIVED ASSETS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452" w:right="1440" w:bottom="1440" w:gutter="0" w:footer="0" w:header="0"/>
        </w:sectPr>
      </w:pPr>
    </w:p>
    <w:bookmarkStart w:id="41" w:name="page42"/>
    <w:bookmarkEnd w:id="41"/>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5119" w:hanging="10"/>
        <w:spacing w:after="0" w:line="235"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81"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AND DEVELOPMENT COSTS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LOSS PER SHARE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0" w:lineRule="exact"/>
        <w:rPr>
          <w:sz w:val="20"/>
          <w:szCs w:val="20"/>
          <w:color w:val="auto"/>
        </w:rPr>
      </w:pPr>
    </w:p>
    <w:p>
      <w:pPr>
        <w:ind w:left="350" w:hanging="350"/>
        <w:spacing w:after="0"/>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452" w:right="1440" w:bottom="1440" w:gutter="0" w:footer="0" w:header="0"/>
        </w:sectPr>
      </w:pPr>
    </w:p>
    <w:bookmarkStart w:id="42" w:name="page43"/>
    <w:bookmarkEnd w:id="42"/>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6" w:lineRule="exact"/>
        <w:rPr>
          <w:rFonts w:ascii="Courier New" w:cs="Courier New" w:eastAsia="Courier New" w:hAnsi="Courier New"/>
          <w:sz w:val="15"/>
          <w:szCs w:val="15"/>
          <w:color w:val="auto"/>
        </w:rPr>
      </w:pPr>
    </w:p>
    <w:p>
      <w:pPr>
        <w:ind w:left="10"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6"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65" w:lineRule="exact"/>
        <w:rPr>
          <w:sz w:val="20"/>
          <w:szCs w:val="20"/>
          <w:color w:val="auto"/>
        </w:rPr>
      </w:pPr>
    </w:p>
    <w:p>
      <w:pPr>
        <w:ind w:left="10" w:right="3539" w:firstLine="353"/>
        <w:spacing w:after="0" w:line="256"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w:t>
      </w:r>
    </w:p>
    <w:p>
      <w:pPr>
        <w:spacing w:after="0" w:line="1"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7"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At December 31, 1999, the Company's $1.6 million wind-down reserve included approximately $1.2 million for the RIPSAT settlement and approximately</w:t>
      </w:r>
    </w:p>
    <w:p>
      <w:pPr>
        <w:spacing w:after="0" w:line="1"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452" w:right="1440" w:bottom="1440" w:gutter="0" w:footer="0" w:header="0"/>
        </w:sectPr>
      </w:pPr>
    </w:p>
    <w:bookmarkStart w:id="43" w:name="page44"/>
    <w:bookmarkEnd w:id="43"/>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6" w:lineRule="exact"/>
        <w:rPr>
          <w:rFonts w:ascii="Courier New" w:cs="Courier New" w:eastAsia="Courier New" w:hAnsi="Courier New"/>
          <w:sz w:val="15"/>
          <w:szCs w:val="15"/>
          <w:color w:val="auto"/>
        </w:rPr>
      </w:pPr>
    </w:p>
    <w:p>
      <w:pPr>
        <w:ind w:left="10" w:right="3439" w:firstLine="35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 1999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$1,554,000</w:t>
            </w:r>
          </w:p>
        </w:tc>
        <w:tc>
          <w:tcPr>
            <w:tcW w:w="162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800,000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ECT patents...............................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Corporate headquarters....................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702,000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PILOT MANUFACTURING PLANT.................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562,000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1,264,000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EMPLOYEE OUTPLACEMENT.......................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RIPSAT settlement(3)........................</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1,172,000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ECT patents...............................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498,000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Write-down of pilot plant(5)................</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$6,048,000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7"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6" w:lineRule="exact"/>
        <w:rPr>
          <w:rFonts w:ascii="Courier New" w:cs="Courier New" w:eastAsia="Courier New" w:hAnsi="Courier New"/>
          <w:sz w:val="15"/>
          <w:szCs w:val="15"/>
          <w:color w:val="auto"/>
        </w:rPr>
      </w:pPr>
    </w:p>
    <w:p>
      <w:pPr>
        <w:ind w:left="350" w:right="3619" w:hanging="350"/>
        <w:spacing w:after="0" w:line="259" w:lineRule="auto"/>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2" w:lineRule="exact"/>
        <w:rPr>
          <w:rFonts w:ascii="Courier New" w:cs="Courier New" w:eastAsia="Courier New" w:hAnsi="Courier New"/>
          <w:sz w:val="14"/>
          <w:szCs w:val="14"/>
          <w:color w:val="auto"/>
        </w:rPr>
      </w:pPr>
    </w:p>
    <w:p>
      <w:pPr>
        <w:ind w:left="350" w:right="3259" w:hanging="350"/>
        <w:spacing w:after="0" w:line="238"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8"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4" w:lineRule="exact"/>
        <w:rPr>
          <w:rFonts w:ascii="Courier New" w:cs="Courier New" w:eastAsia="Courier New" w:hAnsi="Courier New"/>
          <w:sz w:val="15"/>
          <w:szCs w:val="15"/>
          <w:color w:val="auto"/>
        </w:rPr>
      </w:pPr>
    </w:p>
    <w:p>
      <w:pPr>
        <w:ind w:left="350" w:right="3699" w:hanging="350"/>
        <w:spacing w:after="0" w:line="235"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452" w:right="1440" w:bottom="1440" w:gutter="0" w:footer="0" w:header="0"/>
        </w:sectPr>
      </w:pPr>
    </w:p>
    <w:bookmarkStart w:id="44" w:name="page45"/>
    <w:bookmarkEnd w:id="44"/>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held for sale at December 31, 2000 and 1999, consisted of</w:t>
      </w:r>
    </w:p>
    <w:p>
      <w:pPr>
        <w:spacing w:after="0" w:line="4" w:lineRule="exact"/>
        <w:rPr>
          <w:rFonts w:ascii="Courier New" w:cs="Courier New" w:eastAsia="Courier New" w:hAnsi="Courier New"/>
          <w:sz w:val="15"/>
          <w:szCs w:val="15"/>
          <w:color w:val="auto"/>
        </w:rPr>
      </w:pPr>
    </w:p>
    <w:p>
      <w:pPr>
        <w:ind w:left="1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7" w:lineRule="exact"/>
        <w:rPr>
          <w:sz w:val="20"/>
          <w:szCs w:val="20"/>
          <w:color w:val="auto"/>
        </w:rPr>
      </w:pPr>
    </w:p>
    <w:p>
      <w:pPr>
        <w:ind w:left="10" w:right="3179"/>
        <w:spacing w:after="0" w:line="260" w:lineRule="auto"/>
        <w:rPr>
          <w:sz w:val="20"/>
          <w:szCs w:val="20"/>
          <w:color w:val="auto"/>
        </w:rPr>
      </w:pPr>
      <w:r>
        <w:rPr>
          <w:rFonts w:ascii="Courier New" w:cs="Courier New" w:eastAsia="Courier New" w:hAnsi="Courier New"/>
          <w:sz w:val="14"/>
          <w:szCs w:val="14"/>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6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18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9"/>
          </w:cols>
          <w:pgMar w:left="230" w:top="452" w:right="1440" w:bottom="1440" w:gutter="0" w:footer="0" w:header="0"/>
        </w:sectPr>
      </w:pPr>
    </w:p>
    <w:bookmarkStart w:id="45" w:name="page46"/>
    <w:bookmarkEnd w:id="45"/>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left="10" w:right="3619" w:firstLine="353"/>
        <w:spacing w:after="0" w:line="237"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6" w:lineRule="exact"/>
        <w:rPr>
          <w:sz w:val="20"/>
          <w:szCs w:val="20"/>
          <w:color w:val="auto"/>
        </w:rPr>
      </w:pPr>
    </w:p>
    <w:p>
      <w:pPr>
        <w:ind w:left="10" w:right="3799" w:firstLine="353"/>
        <w:spacing w:after="0" w:line="256" w:lineRule="auto"/>
        <w:rPr>
          <w:sz w:val="20"/>
          <w:szCs w:val="20"/>
          <w:color w:val="auto"/>
        </w:rPr>
      </w:pPr>
      <w:r>
        <w:rPr>
          <w:rFonts w:ascii="Courier New" w:cs="Courier New" w:eastAsia="Courier New" w:hAnsi="Courier New"/>
          <w:sz w:val="14"/>
          <w:szCs w:val="14"/>
          <w:color w:val="auto"/>
        </w:rPr>
        <w:t>At December 31, 2000 the Company owned 126,193 shares of Modex. Modex completed an initial public offering of shares on the Swiss Exchange on</w:t>
      </w:r>
    </w:p>
    <w:p>
      <w:pPr>
        <w:spacing w:after="0" w:line="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0"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60" w:type="dxa"/>
            <w:vAlign w:val="bottom"/>
          </w:tcPr>
          <w:p>
            <w:pPr>
              <w:spacing w:after="0"/>
              <w:rPr>
                <w:sz w:val="14"/>
                <w:szCs w:val="14"/>
                <w:color w:val="auto"/>
              </w:rPr>
            </w:pP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703,095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665,890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1,766,448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1,691,136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188,736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219,260</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2,658,279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2,576,286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(1,207,218)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(828,401)</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$1,451,061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$1,747,885</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259" w:firstLine="353"/>
        <w:spacing w:after="0" w:line="235"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7"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452" w:right="1440" w:bottom="1440" w:gutter="0" w:footer="0" w:header="0"/>
        </w:sectPr>
      </w:pPr>
    </w:p>
    <w:bookmarkStart w:id="46" w:name="page47"/>
    <w:bookmarkEnd w:id="46"/>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decision to exit ECT and relocate to Sunnyvale, California, this property has been classified as held for sale.</w:t>
      </w:r>
    </w:p>
    <w:p>
      <w:pPr>
        <w:spacing w:after="0" w:line="170" w:lineRule="exact"/>
        <w:rPr>
          <w:sz w:val="20"/>
          <w:szCs w:val="20"/>
          <w:color w:val="auto"/>
        </w:rPr>
      </w:pPr>
    </w:p>
    <w:p>
      <w:pPr>
        <w:ind w:left="350" w:hanging="350"/>
        <w:spacing w:after="0"/>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629,203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708,823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282,750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Deposit--other.......................................</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109,388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117,195</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2,173,912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$1,858,768</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359" w:firstLine="353"/>
        <w:spacing w:after="0" w:line="235"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70" w:lineRule="exact"/>
        <w:rPr>
          <w:sz w:val="20"/>
          <w:szCs w:val="20"/>
          <w:color w:val="auto"/>
        </w:rPr>
      </w:pPr>
    </w:p>
    <w:p>
      <w:pPr>
        <w:ind w:left="350" w:hanging="350"/>
        <w:spacing w:after="0"/>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0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306,342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222,140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509,300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344,625</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$970,546</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452" w:right="1440" w:bottom="1440" w:gutter="0" w:footer="0" w:header="0"/>
        </w:sectPr>
      </w:pPr>
    </w:p>
    <w:bookmarkStart w:id="47" w:name="page48"/>
    <w:bookmarkEnd w:id="47"/>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7"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6"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SUBLEASE</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589,217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$ 3,584,061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295,854</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519,719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2,392,988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400,658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436,909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4,568,274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395,676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425,713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4,677,197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416,507</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412,587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4,789,388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437,338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2,311,577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8,797,417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130,761</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4,695,722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$28,809,325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$2,076,794</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1,758,639</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payments..............................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2,937,083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332,083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$2,605,000</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4" w:lineRule="exact"/>
        <w:rPr>
          <w:sz w:val="20"/>
          <w:szCs w:val="20"/>
          <w:color w:val="auto"/>
        </w:rPr>
      </w:pPr>
    </w:p>
    <w:p>
      <w:pPr>
        <w:ind w:left="10" w:right="3699" w:firstLine="353"/>
        <w:spacing w:after="0" w:line="235"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6" w:lineRule="exact"/>
        <w:rPr>
          <w:sz w:val="20"/>
          <w:szCs w:val="20"/>
          <w:color w:val="auto"/>
        </w:rPr>
      </w:pPr>
    </w:p>
    <w:p>
      <w:pPr>
        <w:ind w:left="10" w:right="8019" w:hanging="10"/>
        <w:spacing w:after="0" w:line="513" w:lineRule="auto"/>
        <w:tabs>
          <w:tab w:leader="none" w:pos="4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452" w:right="1440" w:bottom="1440" w:gutter="0" w:footer="0" w:header="0"/>
        </w:sectPr>
      </w:pPr>
    </w:p>
    <w:bookmarkStart w:id="48" w:name="page49"/>
    <w:bookmarkEnd w:id="48"/>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w:t>
      </w:r>
    </w:p>
    <w:p>
      <w:pPr>
        <w:spacing w:after="0" w:line="17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78"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$10.05 per underlying share. The calculated value of this callable warrant using the Black-Scholes method is $139,897, which the Company accounted for as a credit to paid in capital.</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452" w:right="1440" w:bottom="1440" w:gutter="0" w:footer="0" w:header="0"/>
        </w:sectPr>
      </w:pPr>
    </w:p>
    <w:bookmarkStart w:id="49" w:name="page50"/>
    <w:bookmarkEnd w:id="49"/>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REDEEMABLE COMMON STOCK</w:t>
      </w:r>
    </w:p>
    <w:p>
      <w:pPr>
        <w:spacing w:after="0" w:line="175"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ind w:left="10"/>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ind w:left="10"/>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ind w:left="10"/>
        <w:spacing w:after="0" w:line="238" w:lineRule="auto"/>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ind w:left="10"/>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$50,000, and will make additional cash payments when milestones are achieved in</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non-transplant field, or in any products employing NeuroSpheres patents for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ISSUED</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452" w:right="1440" w:bottom="1440" w:gutter="0" w:footer="0" w:header="0"/>
        </w:sectPr>
      </w:pPr>
    </w:p>
    <w:bookmarkStart w:id="50" w:name="page51"/>
    <w:bookmarkEnd w:id="50"/>
    <w:p>
      <w:pPr>
        <w:jc w:val="center"/>
        <w:ind w:right="343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5"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5"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80" w:lineRule="exact"/>
        <w:rPr>
          <w:sz w:val="20"/>
          <w:szCs w:val="20"/>
          <w:color w:val="auto"/>
        </w:rPr>
      </w:pPr>
    </w:p>
    <w:p>
      <w:pPr>
        <w:ind w:left="10" w:right="3620" w:firstLine="353"/>
        <w:spacing w:after="0" w:line="237"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spacing w:after="0"/>
              <w:rPr>
                <w:sz w:val="14"/>
                <w:szCs w:val="14"/>
                <w:color w:val="auto"/>
              </w:rPr>
            </w:pPr>
          </w:p>
        </w:tc>
        <w:tc>
          <w:tcPr>
            <w:tcW w:w="15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2820" w:type="dxa"/>
            <w:vAlign w:val="bottom"/>
          </w:tcPr>
          <w:p>
            <w:pPr>
              <w:spacing w:after="0"/>
              <w:rPr>
                <w:sz w:val="14"/>
                <w:szCs w:val="14"/>
                <w:color w:val="auto"/>
              </w:rPr>
            </w:pPr>
          </w:p>
        </w:tc>
        <w:tc>
          <w:tcPr>
            <w:tcW w:w="2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939,335</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$2.65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1,654,126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2,446,573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2,485,090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4.08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536,078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1,174,118</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(540,927)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(604,362)</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(166,532)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(646,507)</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7.08</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2,716,966</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4.32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939,335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1,654,126</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731,523</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$4.01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594,216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1,108,936</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$4.33</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410"/>
          </w:cols>
          <w:pgMar w:left="230" w:top="452" w:right="1259" w:bottom="1440" w:gutter="0" w:footer="0" w:header="0"/>
        </w:sectPr>
      </w:pPr>
    </w:p>
    <w:bookmarkStart w:id="51" w:name="page52"/>
    <w:bookmarkEnd w:id="51"/>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FAS 123 DISCLOSURES</w:t>
      </w:r>
    </w:p>
    <w:p>
      <w:pPr>
        <w:spacing w:after="0" w:line="175"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3" w:lineRule="exact"/>
        <w:rPr>
          <w:sz w:val="20"/>
          <w:szCs w:val="20"/>
          <w:color w:val="auto"/>
        </w:rPr>
      </w:pPr>
    </w:p>
    <w:p>
      <w:pPr>
        <w:ind w:left="10" w:right="3539" w:firstLine="353"/>
        <w:spacing w:after="0" w:line="265"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60" w:type="dxa"/>
            <w:vAlign w:val="bottom"/>
          </w:tcPr>
          <w:p>
            <w:pPr>
              <w:spacing w:after="0"/>
              <w:rPr>
                <w:sz w:val="14"/>
                <w:szCs w:val="14"/>
                <w:color w:val="auto"/>
              </w:rPr>
            </w:pPr>
          </w:p>
        </w:tc>
        <w:tc>
          <w:tcPr>
            <w:tcW w:w="2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3780" w:type="dxa"/>
            <w:vAlign w:val="bottom"/>
          </w:tcPr>
          <w:p>
            <w:pPr>
              <w:spacing w:after="0"/>
              <w:rPr>
                <w:sz w:val="14"/>
                <w:szCs w:val="14"/>
                <w:color w:val="auto"/>
              </w:rPr>
            </w:pPr>
          </w:p>
        </w:tc>
        <w:tc>
          <w:tcPr>
            <w:tcW w:w="2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960" w:type="dxa"/>
            <w:vAlign w:val="bottom"/>
          </w:tcPr>
          <w:p>
            <w:pPr>
              <w:spacing w:after="0"/>
              <w:rPr>
                <w:sz w:val="14"/>
                <w:szCs w:val="14"/>
                <w:color w:val="auto"/>
              </w:rPr>
            </w:pP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AVERAGE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WEIGHTED</w:t>
            </w: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REMAINING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CONTRACTUAL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EXERCISE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LIFE (YRS.)</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Less than $5.00...........................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944,216</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8.68</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$ 2.063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370,023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$5.01 - $10.00............................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1,691,750</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6.87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280,500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Greater than $10.00.......................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11.03</w:t>
            </w: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2,716,966</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731,523</w:t>
            </w: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80"/>
              </w:rPr>
              <w:t>---------------------------</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PRO FORMA</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PRO FORMA</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PRO FORMA</w:t>
            </w: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(11,125,477)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(12,160,752)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(15,708,626)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(15,764,569)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(12,627,830)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(14,919,389)</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452" w:right="1440" w:bottom="1440" w:gutter="0" w:footer="0" w:header="0"/>
        </w:sectPr>
      </w:pPr>
    </w:p>
    <w:bookmarkStart w:id="52" w:name="page53"/>
    <w:bookmarkEnd w:id="52"/>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purchase plan at the date of grant were estimated using the Black-Scholes model with the following weighted average assumptions: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spacing w:after="0"/>
              <w:rPr>
                <w:sz w:val="14"/>
                <w:szCs w:val="14"/>
                <w:color w:val="auto"/>
              </w:rPr>
            </w:pPr>
          </w:p>
        </w:tc>
        <w:tc>
          <w:tcPr>
            <w:tcW w:w="31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STOCK PURCHASE PLAN</w:t>
            </w:r>
          </w:p>
        </w:tc>
      </w:tr>
      <w:tr>
        <w:trPr>
          <w:trHeight w:val="170"/>
        </w:trPr>
        <w:tc>
          <w:tcPr>
            <w:tcW w:w="334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122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3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Volatility...........................</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167.8</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63.5%</w:t>
            </w: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RESERVED</w:t>
      </w:r>
    </w:p>
    <w:p>
      <w:pPr>
        <w:spacing w:after="0" w:line="169"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The Company has the following shares of common stock reserved for the</w:t>
      </w:r>
    </w:p>
    <w:p>
      <w:pPr>
        <w:spacing w:after="0" w:line="5"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4"/>
          <w:szCs w:val="14"/>
          <w:color w:val="auto"/>
        </w:rPr>
        <w:t>exercise of options, warrants and other contingent issuances of common stock.</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reserved for exercise of stock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reserved for warrants................................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2,292,625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StemCell option conversions.................................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250,344</w:t>
            </w:r>
          </w:p>
        </w:tc>
      </w:t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452" w:right="1440" w:bottom="1440" w:gutter="0" w:footer="0" w:header="0"/>
        </w:sectPr>
      </w:pPr>
    </w:p>
    <w:bookmarkStart w:id="53" w:name="page54"/>
    <w:bookmarkEnd w:id="53"/>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8"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79"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2"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452" w:right="1440" w:bottom="1440" w:gutter="0" w:footer="0" w:header="0"/>
        </w:sectPr>
      </w:pPr>
    </w:p>
    <w:bookmarkStart w:id="54" w:name="page55"/>
    <w:bookmarkEnd w:id="54"/>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9"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400" w:type="dxa"/>
            <w:vAlign w:val="bottom"/>
          </w:tcPr>
          <w:p>
            <w:pPr>
              <w:spacing w:after="0"/>
              <w:rPr>
                <w:sz w:val="14"/>
                <w:szCs w:val="14"/>
                <w:color w:val="auto"/>
              </w:rPr>
            </w:pPr>
          </w:p>
        </w:tc>
        <w:tc>
          <w:tcPr>
            <w:tcW w:w="26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4,331,000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44,000,000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38,478,000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4,035,000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928,000</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55,280,000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47,772,000</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Unrealized gain on investment..................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(6,543,000)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(48,610,000)</w:t>
            </w:r>
          </w:p>
        </w:tc>
        <w:tc>
          <w:tcPr>
            <w:tcW w:w="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(47,526,000)</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56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Realization of deferred tax assets is dependent upon future</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earnings, if</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any, the timing and amount of which are uncertain. Accordingly,</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net deferred</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tax assets have been fully offset by a valuation allowance. The</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r>
    </w:tbl>
    <w:p>
      <w:pPr>
        <w:ind w:left="10"/>
        <w:spacing w:after="0"/>
        <w:rPr>
          <w:sz w:val="20"/>
          <w:szCs w:val="20"/>
          <w:color w:val="auto"/>
        </w:rPr>
      </w:pPr>
      <w:r>
        <w:rPr>
          <w:rFonts w:ascii="Courier New" w:cs="Courier New" w:eastAsia="Courier New" w:hAnsi="Courier New"/>
          <w:sz w:val="15"/>
          <w:szCs w:val="15"/>
          <w:color w:val="auto"/>
        </w:rPr>
        <w:t>allowance increased by $6,272,000 during 1999, and $5,459,000 during 1998.</w:t>
      </w:r>
    </w:p>
    <w:p>
      <w:pPr>
        <w:spacing w:after="0" w:line="169" w:lineRule="exact"/>
        <w:rPr>
          <w:sz w:val="20"/>
          <w:szCs w:val="20"/>
          <w:color w:val="auto"/>
        </w:rPr>
      </w:pPr>
    </w:p>
    <w:p>
      <w:pPr>
        <w:ind w:left="450" w:hanging="450"/>
        <w:spacing w:after="0"/>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71" w:lineRule="exact"/>
        <w:rPr>
          <w:sz w:val="20"/>
          <w:szCs w:val="20"/>
          <w:color w:val="auto"/>
        </w:rPr>
      </w:pPr>
    </w:p>
    <w:p>
      <w:pPr>
        <w:ind w:left="450" w:hanging="450"/>
        <w:spacing w:after="0"/>
        <w:tabs>
          <w:tab w:leader="none" w:pos="4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452" w:right="1440" w:bottom="1440" w:gutter="0" w:footer="0" w:header="0"/>
        </w:sectPr>
      </w:pPr>
    </w:p>
    <w:bookmarkStart w:id="55" w:name="page56"/>
    <w:bookmarkEnd w:id="55"/>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7"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452" w:right="1440" w:bottom="1440" w:gutter="0" w:footer="0" w:header="0"/>
        </w:sectPr>
      </w:pPr>
    </w:p>
    <w:bookmarkStart w:id="56" w:name="page57"/>
    <w:bookmarkEnd w:id="56"/>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15.</w:t>
        <w:tab/>
        <w:t>QUARTERLY FINANCIAL INFORMATION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70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THIRD</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FOURTH</w:t>
            </w:r>
          </w:p>
        </w:tc>
      </w:tr>
      <w:tr>
        <w:trPr>
          <w:trHeight w:val="170"/>
        </w:trPr>
        <w:tc>
          <w:tcPr>
            <w:tcW w:w="37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revenue............................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1,799</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2,553</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6,378</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(1,794)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(2,539)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(6,260)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 net loss per share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applicable to common shareholders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before cumulative effect.............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principle(1)..............</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 per share applicable to 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revenue............................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4,454</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6,690</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(1,932)</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(1,840)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(6,711)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(5,226)</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 and diluted net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509"/>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6"/>
              </w:rPr>
              <w:t>(1) See note 2 to the Consolidated Financial</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Statements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5" w:lineRule="exact"/>
        <w:rPr>
          <w:sz w:val="20"/>
          <w:szCs w:val="20"/>
          <w:color w:val="auto"/>
        </w:rPr>
      </w:pPr>
    </w:p>
    <w:p>
      <w:pPr>
        <w:ind w:left="780" w:right="38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2" w:right="1440" w:bottom="1440" w:gutter="0" w:footer="0" w:header="0"/>
        </w:sectPr>
      </w:pPr>
    </w:p>
    <w:bookmarkStart w:id="57" w:name="page58"/>
    <w:bookmarkEnd w:id="57"/>
    <w:p>
      <w:pPr>
        <w:ind w:left="317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10. DIRECTORS AND EXECUTIVE OFFICERS OF THE REGISTRANT, PROMOTERS AND</w:t>
      </w:r>
    </w:p>
    <w:p>
      <w:pPr>
        <w:ind w:left="790"/>
        <w:spacing w:after="0"/>
        <w:rPr>
          <w:sz w:val="20"/>
          <w:szCs w:val="20"/>
          <w:color w:val="auto"/>
        </w:rPr>
      </w:pPr>
      <w:r>
        <w:rPr>
          <w:rFonts w:ascii="Courier New" w:cs="Courier New" w:eastAsia="Courier New" w:hAnsi="Courier New"/>
          <w:sz w:val="15"/>
          <w:szCs w:val="15"/>
          <w:color w:val="auto"/>
        </w:rPr>
        <w:t>CONTROL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AGE</w:t>
            </w:r>
          </w:p>
        </w:tc>
        <w:tc>
          <w:tcPr>
            <w:tcW w:w="3920" w:type="dxa"/>
            <w:vAlign w:val="bottom"/>
          </w:tcPr>
          <w:p>
            <w:pPr>
              <w:ind w:left="15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92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54</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 President and Chief Executive</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Roger M. Perlmutter M.D.,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39" w:lineRule="exact"/>
        <w:rPr>
          <w:sz w:val="20"/>
          <w:szCs w:val="20"/>
          <w:color w:val="auto"/>
        </w:rPr>
      </w:pPr>
    </w:p>
    <w:p>
      <w:pPr>
        <w:ind w:left="170" w:hanging="170"/>
        <w:spacing w:after="0"/>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70" w:right="3179" w:hanging="170"/>
        <w:spacing w:after="0" w:line="238" w:lineRule="auto"/>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79" w:lineRule="exact"/>
        <w:rPr>
          <w:rFonts w:ascii="Courier New" w:cs="Courier New" w:eastAsia="Courier New" w:hAnsi="Courier New"/>
          <w:sz w:val="15"/>
          <w:szCs w:val="15"/>
          <w:color w:val="auto"/>
        </w:rPr>
      </w:pPr>
    </w:p>
    <w:p>
      <w:pPr>
        <w:ind w:left="170" w:right="2999" w:hanging="170"/>
        <w:spacing w:after="0" w:line="256" w:lineRule="auto"/>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w:t>
      </w:r>
    </w:p>
    <w:p>
      <w:pPr>
        <w:spacing w:after="0" w:line="2" w:lineRule="exact"/>
        <w:rPr>
          <w:rFonts w:ascii="Courier New" w:cs="Courier New" w:eastAsia="Courier New" w:hAnsi="Courier New"/>
          <w:sz w:val="14"/>
          <w:szCs w:val="14"/>
          <w:color w:val="auto"/>
        </w:rPr>
      </w:pPr>
    </w:p>
    <w:p>
      <w:pPr>
        <w:ind w:left="170" w:right="343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2" w:lineRule="exact"/>
        <w:rPr>
          <w:rFonts w:ascii="Courier New" w:cs="Courier New" w:eastAsia="Courier New" w:hAnsi="Courier New"/>
          <w:sz w:val="14"/>
          <w:szCs w:val="14"/>
          <w:color w:val="auto"/>
        </w:rPr>
      </w:pPr>
    </w:p>
    <w:p>
      <w:pPr>
        <w:ind w:left="170" w:right="3179" w:hanging="170"/>
        <w:spacing w:after="0" w:line="238" w:lineRule="auto"/>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179" w:lineRule="exact"/>
        <w:rPr>
          <w:rFonts w:ascii="Courier New" w:cs="Courier New" w:eastAsia="Courier New" w:hAnsi="Courier New"/>
          <w:sz w:val="15"/>
          <w:szCs w:val="15"/>
          <w:color w:val="auto"/>
        </w:rPr>
      </w:pPr>
    </w:p>
    <w:p>
      <w:pPr>
        <w:ind w:left="170" w:right="3179" w:hanging="170"/>
        <w:spacing w:after="0" w:line="238" w:lineRule="auto"/>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9"/>
          </w:cols>
          <w:pgMar w:left="230" w:top="452" w:right="1440" w:bottom="1440" w:gutter="0" w:footer="0" w:header="0"/>
        </w:sectPr>
      </w:pPr>
    </w:p>
    <w:bookmarkStart w:id="58" w:name="page59"/>
    <w:bookmarkEnd w:id="58"/>
    <w:p>
      <w:pPr>
        <w:ind w:left="170" w:right="4480"/>
        <w:spacing w:after="0" w:line="238" w:lineRule="auto"/>
        <w:rPr>
          <w:sz w:val="20"/>
          <w:szCs w:val="20"/>
          <w:color w:val="auto"/>
        </w:rPr>
      </w:pPr>
      <w:r>
        <w:rPr>
          <w:rFonts w:ascii="Courier New" w:cs="Courier New" w:eastAsia="Courier New" w:hAnsi="Courier New"/>
          <w:sz w:val="15"/>
          <w:szCs w:val="15"/>
          <w:color w:val="auto"/>
        </w:rPr>
        <w:t>January 1997. He also was an Investigator at the Howard Hughes Medical Institute from July 1984 to February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w:t>
      </w:r>
    </w:p>
    <w:p>
      <w:pPr>
        <w:spacing w:after="0" w:line="176" w:lineRule="exact"/>
        <w:rPr>
          <w:sz w:val="20"/>
          <w:szCs w:val="20"/>
          <w:color w:val="auto"/>
        </w:rPr>
      </w:pPr>
    </w:p>
    <w:p>
      <w:pPr>
        <w:ind w:left="170" w:right="4380" w:hanging="170"/>
        <w:spacing w:after="0" w:line="256" w:lineRule="auto"/>
        <w:tabs>
          <w:tab w:leader="none" w:pos="17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Irving L. Weissman, M.D., Director, is the Karel and Avice Beekhuis Professor of Cancer Biology, Professor of Pathology and Professor of Developmental Biology at Stanford University. Stanford has employed Dr. Weissman since</w:t>
      </w:r>
    </w:p>
    <w:p>
      <w:pPr>
        <w:ind w:left="170" w:right="4480"/>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w:t>
      </w:r>
    </w:p>
    <w:p>
      <w:pPr>
        <w:spacing w:after="0" w:line="2" w:lineRule="exact"/>
        <w:rPr>
          <w:rFonts w:ascii="Courier New" w:cs="Courier New" w:eastAsia="Courier New" w:hAnsi="Courier New"/>
          <w:sz w:val="14"/>
          <w:szCs w:val="14"/>
          <w:color w:val="auto"/>
        </w:rPr>
      </w:pPr>
    </w:p>
    <w:p>
      <w:pPr>
        <w:ind w:left="170" w:right="45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Sciences, Inc. Dr. Weissman is a member of the National Academy of Sciences and also serves as Chairman of our Scientific Advisory Board. He also serves as Chief Executive Officer and a member of the Board of Managers of Celtrans, LLC.</w:t>
      </w:r>
    </w:p>
    <w:p>
      <w:pPr>
        <w:spacing w:after="0" w:line="176" w:lineRule="exact"/>
        <w:rPr>
          <w:sz w:val="20"/>
          <w:szCs w:val="20"/>
          <w:color w:val="auto"/>
        </w:rPr>
      </w:pPr>
    </w:p>
    <w:p>
      <w:pPr>
        <w:ind w:left="10" w:right="4560" w:firstLine="353"/>
        <w:spacing w:after="0" w:line="238"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left="10" w:right="4560" w:firstLine="353"/>
        <w:spacing w:after="0" w:line="258"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58"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08"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5"/>
          <w:szCs w:val="15"/>
          <w:color w:val="auto"/>
        </w:rPr>
        <w:t>AWARDS</w:t>
      </w:r>
    </w:p>
    <w:p>
      <w:pPr>
        <w:jc w:val="right"/>
        <w:ind w:right="960"/>
        <w:spacing w:after="0"/>
        <w:tabs>
          <w:tab w:leader="none" w:pos="288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4"/>
          <w:szCs w:val="14"/>
          <w:color w:val="auto"/>
        </w:rPr>
        <w:t>LONG TERM COMPENSATION</w:t>
      </w:r>
    </w:p>
    <w:p>
      <w:pPr>
        <w:ind w:left="3870"/>
        <w:spacing w:after="0"/>
        <w:tabs>
          <w:tab w:leader="none" w:pos="7829" w:val="left"/>
        </w:tabs>
        <w:rPr>
          <w:sz w:val="20"/>
          <w:szCs w:val="20"/>
          <w:color w:val="auto"/>
        </w:rPr>
      </w:pPr>
      <w:r>
        <w:rPr>
          <w:rFonts w:ascii="Courier New" w:cs="Courier New" w:eastAsia="Courier New" w:hAnsi="Courier New"/>
          <w:sz w:val="15"/>
          <w:szCs w:val="15"/>
          <w:color w:val="auto"/>
        </w:rPr>
        <w:t>------------------------------------------</w:t>
        <w:tab/>
        <w:t>----------------------------------------</w:t>
      </w:r>
    </w:p>
    <w:p>
      <w:pPr>
        <w:jc w:val="both"/>
        <w:ind w:left="7850"/>
        <w:spacing w:after="0" w:line="238" w:lineRule="auto"/>
        <w:tabs>
          <w:tab w:leader="none" w:pos="8969" w:val="left"/>
        </w:tabs>
        <w:rPr>
          <w:sz w:val="20"/>
          <w:szCs w:val="20"/>
          <w:color w:val="auto"/>
        </w:rPr>
      </w:pPr>
      <w:r>
        <w:rPr>
          <w:rFonts w:ascii="Courier New" w:cs="Courier New" w:eastAsia="Courier New" w:hAnsi="Courier New"/>
          <w:sz w:val="15"/>
          <w:szCs w:val="15"/>
          <w:color w:val="auto"/>
        </w:rPr>
        <w:t>RESTRICTED</w:t>
        <w:tab/>
        <w:t>SECURITIES</w:t>
      </w:r>
    </w:p>
    <w:p>
      <w:pPr>
        <w:jc w:val="right"/>
        <w:ind w:right="340"/>
        <w:spacing w:after="0"/>
        <w:tabs>
          <w:tab w:leader="none" w:pos="3480" w:val="left"/>
          <w:tab w:leader="none" w:pos="2520" w:val="left"/>
          <w:tab w:leader="none" w:pos="110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4"/>
          <w:szCs w:val="14"/>
          <w:color w:val="auto"/>
        </w:rPr>
        <w:t>ALL OTHER</w:t>
      </w:r>
    </w:p>
    <w:p>
      <w:pPr>
        <w:ind w:left="10"/>
        <w:spacing w:after="0"/>
        <w:tabs>
          <w:tab w:leader="none" w:pos="3069" w:val="left"/>
          <w:tab w:leader="none" w:pos="3849" w:val="left"/>
          <w:tab w:leader="none" w:pos="5089" w:val="left"/>
          <w:tab w:leader="none" w:pos="6149" w:val="left"/>
          <w:tab w:leader="none" w:pos="7829" w:val="left"/>
          <w:tab w:leader="none" w:pos="8969" w:val="left"/>
          <w:tab w:leader="none" w:pos="10209" w:val="left"/>
        </w:tabs>
        <w:rPr>
          <w:sz w:val="20"/>
          <w:szCs w:val="20"/>
          <w:color w:val="auto"/>
        </w:rPr>
      </w:pPr>
      <w:r>
        <w:rPr>
          <w:rFonts w:ascii="Courier New" w:cs="Courier New" w:eastAsia="Courier New" w:hAnsi="Courier New"/>
          <w:sz w:val="15"/>
          <w:szCs w:val="15"/>
          <w:color w:val="auto"/>
        </w:rPr>
        <w:t>NAME AND 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 ($)</w:t>
      </w:r>
      <w:r>
        <w:rPr>
          <w:sz w:val="20"/>
          <w:szCs w:val="20"/>
          <w:color w:val="auto"/>
        </w:rPr>
        <w:tab/>
      </w:r>
      <w:r>
        <w:rPr>
          <w:rFonts w:ascii="Courier New" w:cs="Courier New" w:eastAsia="Courier New" w:hAnsi="Courier New"/>
          <w:sz w:val="15"/>
          <w:szCs w:val="15"/>
          <w:color w:val="auto"/>
        </w:rPr>
        <w:t>BONUS ($)</w:t>
        <w:tab/>
        <w:t>COMPENSATION ($)</w:t>
        <w:tab/>
        <w:t>AWARDS ($)</w:t>
        <w:tab/>
        <w:t>OPTIONS (#)</w:t>
      </w:r>
      <w:r>
        <w:rPr>
          <w:sz w:val="20"/>
          <w:szCs w:val="20"/>
          <w:color w:val="auto"/>
        </w:rPr>
        <w:tab/>
      </w:r>
      <w:r>
        <w:rPr>
          <w:rFonts w:ascii="Courier New" w:cs="Courier New" w:eastAsia="Courier New" w:hAnsi="Courier New"/>
          <w:sz w:val="14"/>
          <w:szCs w:val="14"/>
          <w:color w:val="auto"/>
        </w:rPr>
        <w:t>COMPENSATION</w:t>
      </w:r>
    </w:p>
    <w:p>
      <w:pPr>
        <w:ind w:left="10"/>
        <w:spacing w:after="0"/>
        <w:tabs>
          <w:tab w:leader="none" w:pos="3069" w:val="left"/>
          <w:tab w:leader="none" w:pos="4029" w:val="left"/>
          <w:tab w:leader="none" w:pos="5269" w:val="left"/>
          <w:tab w:leader="none" w:pos="6329" w:val="left"/>
          <w:tab w:leader="none" w:pos="8009" w:val="left"/>
          <w:tab w:leader="none" w:pos="9149" w:val="left"/>
          <w:tab w:leader="none" w:pos="103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tab/>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10"/>
        <w:spacing w:after="0"/>
        <w:tabs>
          <w:tab w:leader="none" w:pos="3069" w:val="left"/>
          <w:tab w:leader="none" w:pos="4209" w:val="left"/>
          <w:tab w:leader="none" w:pos="5189" w:val="left"/>
          <w:tab w:leader="none" w:pos="7029" w:val="left"/>
          <w:tab w:leader="none" w:pos="8449" w:val="left"/>
          <w:tab w:leader="none" w:pos="9229" w:val="left"/>
          <w:tab w:leader="none" w:pos="10829" w:val="left"/>
        </w:tabs>
        <w:rPr>
          <w:sz w:val="20"/>
          <w:szCs w:val="20"/>
          <w:color w:val="auto"/>
        </w:rPr>
      </w:pPr>
      <w:r>
        <w:rPr>
          <w:rFonts w:ascii="Courier New" w:cs="Courier New" w:eastAsia="Courier New" w:hAnsi="Courier New"/>
          <w:sz w:val="15"/>
          <w:szCs w:val="15"/>
          <w:color w:val="auto"/>
        </w:rPr>
        <w:t>George W. Dunbar, Jr. .........</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186,538</w:t>
      </w:r>
      <w:r>
        <w:rPr>
          <w:sz w:val="20"/>
          <w:szCs w:val="20"/>
          <w:color w:val="auto"/>
        </w:rPr>
        <w:tab/>
      </w:r>
      <w:r>
        <w:rPr>
          <w:rFonts w:ascii="Courier New" w:cs="Courier New" w:eastAsia="Courier New" w:hAnsi="Courier New"/>
          <w:sz w:val="15"/>
          <w:szCs w:val="15"/>
          <w:color w:val="auto"/>
        </w:rPr>
        <w:t>50,000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82,031</w:t>
      </w:r>
      <w:r>
        <w:rPr>
          <w:sz w:val="20"/>
          <w:szCs w:val="20"/>
          <w:color w:val="auto"/>
        </w:rPr>
        <w:tab/>
      </w:r>
      <w:r>
        <w:rPr>
          <w:rFonts w:ascii="Courier New" w:cs="Courier New" w:eastAsia="Courier New" w:hAnsi="Courier New"/>
          <w:sz w:val="13"/>
          <w:szCs w:val="13"/>
          <w:color w:val="auto"/>
        </w:rPr>
        <w:t>--</w:t>
      </w:r>
    </w:p>
    <w:p>
      <w:pPr>
        <w:ind w:left="170"/>
        <w:spacing w:after="0"/>
        <w:rPr>
          <w:sz w:val="20"/>
          <w:szCs w:val="20"/>
          <w:color w:val="auto"/>
        </w:rPr>
      </w:pPr>
      <w:r>
        <w:rPr>
          <w:rFonts w:ascii="Courier New" w:cs="Courier New" w:eastAsia="Courier New" w:hAnsi="Courier New"/>
          <w:sz w:val="15"/>
          <w:szCs w:val="15"/>
          <w:color w:val="auto"/>
        </w:rPr>
        <w:t>Acting President and Chief</w:t>
      </w:r>
    </w:p>
    <w:p>
      <w:pPr>
        <w:ind w:left="170"/>
        <w:spacing w:after="0"/>
        <w:rPr>
          <w:sz w:val="20"/>
          <w:szCs w:val="20"/>
          <w:color w:val="auto"/>
        </w:rPr>
      </w:pPr>
      <w:r>
        <w:rPr>
          <w:rFonts w:ascii="Courier New" w:cs="Courier New" w:eastAsia="Courier New" w:hAnsi="Courier New"/>
          <w:sz w:val="15"/>
          <w:szCs w:val="15"/>
          <w:color w:val="auto"/>
        </w:rPr>
        <w:t>Executive Office(1)</w:t>
      </w:r>
    </w:p>
    <w:p>
      <w:pPr>
        <w:sectPr>
          <w:pgSz w:w="11900" w:h="16838" w:orient="portrait"/>
          <w:cols w:equalWidth="0" w:num="1">
            <w:col w:w="11530"/>
          </w:cols>
          <w:pgMar w:left="230" w:top="458" w:right="139" w:bottom="1440" w:gutter="0" w:footer="0" w:header="0"/>
        </w:sectPr>
      </w:pP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309,632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Officer(2)</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279,974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286,553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Ann Tsukomoto, Ph.D. ..........</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159,054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VP, Scientific Operations</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129,668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VP, Scientific Development</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4" w:lineRule="exact"/>
        <w:rPr>
          <w:rFonts w:ascii="Courier New" w:cs="Courier New" w:eastAsia="Courier New" w:hAnsi="Courier New"/>
          <w:sz w:val="15"/>
          <w:szCs w:val="15"/>
          <w:color w:val="auto"/>
        </w:rPr>
      </w:pPr>
    </w:p>
    <w:p>
      <w:pPr>
        <w:ind w:left="350" w:right="36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4,667(3)</w:t>
            </w:r>
          </w:p>
        </w:tc>
      </w:tr>
      <w:tr>
        <w:trPr>
          <w:trHeight w:val="170"/>
        </w:trPr>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11,330(5)</w:t>
            </w:r>
          </w:p>
        </w:tc>
      </w:tr>
      <w:tr>
        <w:trPr>
          <w:trHeight w:val="339"/>
        </w:trPr>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4,783(6)</w:t>
            </w:r>
          </w:p>
        </w:tc>
      </w:tr>
      <w:tr>
        <w:trPr>
          <w:trHeight w:val="509"/>
        </w:trPr>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3,245(7)</w:t>
            </w:r>
          </w:p>
        </w:tc>
      </w:tr>
    </w:tbl>
    <w:p>
      <w:pPr>
        <w:spacing w:after="0" w:line="2203" w:lineRule="exact"/>
        <w:rPr>
          <w:sz w:val="20"/>
          <w:szCs w:val="20"/>
          <w:color w:val="auto"/>
        </w:rPr>
      </w:pPr>
    </w:p>
    <w:p>
      <w:pPr>
        <w:sectPr>
          <w:pgSz w:w="11900" w:h="16838" w:orient="portrait"/>
          <w:cols w:equalWidth="0" w:num="2">
            <w:col w:w="6970" w:space="80"/>
            <w:col w:w="4480"/>
          </w:cols>
          <w:pgMar w:left="230" w:top="458" w:right="139"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1530"/>
          </w:cols>
          <w:pgMar w:left="230" w:top="458" w:right="139" w:bottom="1440" w:gutter="0" w:footer="0" w:header="0"/>
          <w:type w:val="continuous"/>
        </w:sectPr>
      </w:pPr>
    </w:p>
    <w:bookmarkStart w:id="59" w:name="page60"/>
    <w:bookmarkEnd w:id="59"/>
    <w:p>
      <w:pPr>
        <w:ind w:left="350" w:right="3179" w:hanging="350"/>
        <w:spacing w:after="0" w:line="237"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50" w:right="3699" w:hanging="350"/>
        <w:spacing w:after="0" w:line="265" w:lineRule="auto"/>
        <w:tabs>
          <w:tab w:leader="none" w:pos="3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8" w:lineRule="exact"/>
        <w:rPr>
          <w:rFonts w:ascii="Courier New" w:cs="Courier New" w:eastAsia="Courier New" w:hAnsi="Courier New"/>
          <w:sz w:val="14"/>
          <w:szCs w:val="14"/>
          <w:color w:val="auto"/>
        </w:rPr>
      </w:pPr>
    </w:p>
    <w:p>
      <w:pPr>
        <w:ind w:left="350" w:right="3179" w:hanging="350"/>
        <w:spacing w:after="0" w:line="235"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Tsukomoto</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w:t>
      </w:r>
    </w:p>
    <w:p>
      <w:pPr>
        <w:ind w:left="530" w:hanging="530"/>
        <w:spacing w:after="0" w:line="234" w:lineRule="auto"/>
        <w:tabs>
          <w:tab w:leader="none" w:pos="5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5" w:lineRule="exact"/>
        <w:rPr>
          <w:rFonts w:ascii="Courier New" w:cs="Courier New" w:eastAsia="Courier New" w:hAnsi="Courier New"/>
          <w:sz w:val="15"/>
          <w:szCs w:val="15"/>
          <w:color w:val="auto"/>
        </w:rPr>
      </w:pPr>
    </w:p>
    <w:p>
      <w:pPr>
        <w:ind w:left="10" w:right="3359" w:hanging="10"/>
        <w:spacing w:after="0" w:line="238"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1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NAME OF BENEFICIAL OWNER</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BENEFICIALLY OWNED*</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BENEFICIALLY OWNED*</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9"/>
              </w:rPr>
              <w:t>Donald Kennedy, 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10,309(1)</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 J. Levin..............................................</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347,775(2)</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Martin M. McGlynn..........................................</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4"/>
                <w:szCs w:val="1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Roger Perlmutter,</w:t>
            </w:r>
          </w:p>
        </w:tc>
        <w:tc>
          <w:tcPr>
            <w:tcW w:w="3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M.D., Ph.D...............................</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John J. Schwartz,</w:t>
            </w:r>
          </w:p>
        </w:tc>
        <w:tc>
          <w:tcPr>
            <w:tcW w:w="3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115,588(3)</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9"/>
              </w:rPr>
              <w:t>Irving Weissman, M.D.......................................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291,308(4)</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George W. Dunbar,</w:t>
            </w:r>
          </w:p>
        </w:tc>
        <w:tc>
          <w:tcPr>
            <w:tcW w:w="3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Jr.......................................</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50,049(5)</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All directors and</w:t>
            </w:r>
          </w:p>
        </w:tc>
        <w:tc>
          <w:tcPr>
            <w:tcW w:w="370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7"/>
              </w:rPr>
              <w:t>executive officers as a group (7</w:t>
            </w:r>
          </w:p>
        </w:tc>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0"/>
        </w:trPr>
        <w:tc>
          <w:tcPr>
            <w:tcW w:w="5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persons).................................................</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815,029</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3.6%</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9"/>
              </w:rPr>
              <w:t>Millennium Partners, LP....................................</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2,152,393(6)</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5" w:lineRule="auto"/>
        <w:tabs>
          <w:tab w:leader="none" w:pos="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0" w:lineRule="exact"/>
        <w:rPr>
          <w:sz w:val="20"/>
          <w:szCs w:val="20"/>
          <w:color w:val="auto"/>
        </w:rPr>
      </w:pPr>
    </w:p>
    <w:p>
      <w:pPr>
        <w:ind w:left="350" w:hanging="350"/>
        <w:spacing w:after="0"/>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5" w:lineRule="exact"/>
        <w:rPr>
          <w:sz w:val="20"/>
          <w:szCs w:val="20"/>
          <w:color w:val="auto"/>
        </w:rPr>
      </w:pPr>
    </w:p>
    <w:p>
      <w:pPr>
        <w:ind w:left="350" w:right="3439" w:hanging="350"/>
        <w:spacing w:after="0" w:line="235"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a total of 50,791 shares owned by trusts for the benefit of Dr. Weissman's children as to which he disclaims beneficial ownership.</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458" w:right="1440" w:bottom="1440" w:gutter="0" w:footer="0" w:header="0"/>
        </w:sectPr>
      </w:pPr>
    </w:p>
    <w:bookmarkStart w:id="60" w:name="page61"/>
    <w:bookmarkEnd w:id="60"/>
    <w:p>
      <w:pPr>
        <w:ind w:left="350" w:right="3359" w:hanging="350"/>
        <w:spacing w:after="0" w:line="238" w:lineRule="auto"/>
        <w:tabs>
          <w:tab w:leader="none" w:pos="3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75"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 the exercise. Includes 50,808 shares issuable upon the exercise of warrants issuable upon exercise of the afore mentioned option. Includes 463,369 shares issuable upon exercise of an adjustable warrant.</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7"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6" w:lineRule="exact"/>
        <w:rPr>
          <w:sz w:val="20"/>
          <w:szCs w:val="20"/>
          <w:color w:val="auto"/>
        </w:rPr>
      </w:pPr>
    </w:p>
    <w:p>
      <w:pPr>
        <w:jc w:val="both"/>
        <w:ind w:left="10" w:right="3179"/>
        <w:spacing w:after="0" w:line="256"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2"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9"/>
          </w:cols>
          <w:pgMar w:left="230" w:top="458" w:right="1440" w:bottom="1440" w:gutter="0" w:footer="0" w:header="0"/>
        </w:sectPr>
      </w:pPr>
    </w:p>
    <w:bookmarkStart w:id="61" w:name="page62"/>
    <w:bookmarkEnd w:id="61"/>
    <w:p>
      <w:pPr>
        <w:ind w:right="3179"/>
        <w:spacing w:after="0" w:line="237" w:lineRule="auto"/>
        <w:rPr>
          <w:sz w:val="20"/>
          <w:szCs w:val="20"/>
          <w:color w:val="auto"/>
        </w:rPr>
      </w:pPr>
      <w:r>
        <w:rPr>
          <w:rFonts w:ascii="Courier New" w:cs="Courier New" w:eastAsia="Courier New" w:hAnsi="Courier New"/>
          <w:sz w:val="15"/>
          <w:szCs w:val="15"/>
          <w:color w:val="auto"/>
        </w:rPr>
        <w:t>the event Dr. Schwartz is removed from his positions as Director and Chairman of the Board of Directors for cause, as defined in the Letter Agreement, the Company shall have no further obligation to pay cash compensation to Dr. Schwartz under the Letter Agreement, any unvested portion of the</w:t>
      </w:r>
    </w:p>
    <w:p>
      <w:pPr>
        <w:spacing w:after="0" w:line="7"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Dr. Schwartz vest immediately. The Consulting Services Agreement expired under its terms on July 27, 2000 and the board of directors renewed it on a month-to-month basis on September 19, 2000.</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grants was recorded as $669,116.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34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8" w:right="1440" w:bottom="1440" w:gutter="0" w:footer="0" w:header="0"/>
        </w:sectPr>
      </w:pPr>
    </w:p>
    <w:bookmarkStart w:id="62" w:name="page63"/>
    <w:bookmarkEnd w:id="62"/>
    <w:p>
      <w:pPr>
        <w:ind w:right="3179"/>
        <w:spacing w:after="0" w:line="239" w:lineRule="auto"/>
        <w:rPr>
          <w:sz w:val="20"/>
          <w:szCs w:val="20"/>
          <w:color w:val="auto"/>
        </w:rPr>
      </w:pPr>
      <w:r>
        <w:rPr>
          <w:rFonts w:ascii="Courier New" w:cs="Courier New" w:eastAsia="Courier New" w:hAnsi="Courier New"/>
          <w:sz w:val="15"/>
          <w:szCs w:val="15"/>
          <w:color w:val="auto"/>
        </w:rPr>
        <w:t>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George W. Dunbar, Jr., Acting President and Chief Executive Officer from February 1, 2000 to January 15, 2001, was a founding member of iCEO, LLC ("iCEO") in September 1999. Mr. Dunbar joined the company as Acting President of StemCells California, Inc., our wholly owned subsidiary, and he held this position until January 15, 2001.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was entitled to an annual salary of $175,000 and was granted a stock option to purchase 48,000 shares of our common stock that vested at the rate of 4,000 shares per month commencing on December 6, 1999 and continuing until fully vested so long as he served as Acting President. The vesting under the option was subject to acceleration in the event of certain changes of control. Additionally, the agreement provided that the Board would consider once per quarter the grant of an option for an additional 3,000 shares if it is determined that the services rendered by Mr. Dunbar during the preceding quarter exceeded expectations. The agreement with Mr. Dunbar had no provisions for any severance payments or other benefits upon Mr. Dunbar's resignation or termination. Pursuant to the terms of the agreement between iCEO and us, iCEO was entitled to receive annual compensation of $75,000 for so long as Mr. Dunbar continued to serve in his role as Acting President of StemCells California, Inc. or in any other interim role with the Company. In addition, iCEO was granted a stock option to purchase</w:t>
      </w:r>
    </w:p>
    <w:p>
      <w:pPr>
        <w:spacing w:after="0" w:line="8"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48,000 shares of our common stock that vested at the rate of 4,000 shares per month commencing on December 6, 1999 and continuing until fully vested so long as Mr. Dunbar served as Acting President of StemCells California, Inc. or in any other interim role with the company. Additionally, the iCEO agreement provided that the Board would consider once per quarter the grant of an option to iCEO for an additional 3,000 shares if it is determined that the services rendered by Mr. Dunbar during the preceding quarter exceeded expectations.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w:t>
      </w:r>
    </w:p>
    <w:p>
      <w:pPr>
        <w:spacing w:after="0" w:line="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were to become a permanent employee in any capacity, we would be obligated under the iCEO agreement to pay iCEO a fee equal to one-third of the then targeted first year's compensation for Mr. Dunbar. Our agreements with Mr. Dunbar and iCEO expired in November 2000 and at that time we paid Mr. Dunbar a bonus of $50,000 and granted him an immediately exercisable option to purchase 12,031 shares of common stock. We continued to employ</w:t>
      </w:r>
    </w:p>
    <w:p>
      <w:pPr>
        <w:spacing w:after="0" w:line="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Mr. Dunbar in the same capacity until January 15, 2001 at an annual salary of $250,000,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8" w:right="1440" w:bottom="1440" w:gutter="0" w:footer="0" w:header="0"/>
        </w:sectPr>
      </w:pPr>
    </w:p>
    <w:bookmarkStart w:id="63" w:name="page64"/>
    <w:bookmarkEnd w:id="63"/>
    <w:p>
      <w:pPr>
        <w:ind w:right="3539"/>
        <w:spacing w:after="0" w:line="235" w:lineRule="auto"/>
        <w:rPr>
          <w:sz w:val="20"/>
          <w:szCs w:val="20"/>
          <w:color w:val="auto"/>
        </w:rPr>
      </w:pPr>
      <w:r>
        <w:rPr>
          <w:rFonts w:ascii="Courier New" w:cs="Courier New" w:eastAsia="Courier New" w:hAnsi="Courier New"/>
          <w:sz w:val="15"/>
          <w:szCs w:val="15"/>
          <w:color w:val="auto"/>
        </w:rPr>
        <w:t>also granted him an option to purchase 8,000 shares of common stock for each additional month, or pro rata portion of a month, of his employment.</w:t>
      </w:r>
    </w:p>
    <w:p>
      <w:pPr>
        <w:spacing w:after="0" w:line="17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8" w:right="1440" w:bottom="1440" w:gutter="0" w:footer="0" w:header="0"/>
        </w:sectPr>
      </w:pPr>
    </w:p>
    <w:bookmarkStart w:id="64" w:name="page65"/>
    <w:bookmarkEnd w:id="64"/>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700" w:hanging="357"/>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FORM 10-K.</w:t>
      </w:r>
    </w:p>
    <w:p>
      <w:pPr>
        <w:spacing w:after="0" w:line="169"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 Schedules:</w:t>
      </w:r>
    </w:p>
    <w:p>
      <w:pPr>
        <w:spacing w:after="0" w:line="175" w:lineRule="exact"/>
        <w:rPr>
          <w:sz w:val="20"/>
          <w:szCs w:val="20"/>
          <w:color w:val="auto"/>
        </w:rPr>
      </w:pPr>
    </w:p>
    <w:p>
      <w:pPr>
        <w:ind w:right="3179" w:firstLine="353"/>
        <w:spacing w:after="0" w:line="265"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7140" w:type="dxa"/>
            <w:vAlign w:val="bottom"/>
          </w:tcPr>
          <w:p>
            <w:pPr>
              <w:ind w:left="362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140" w:type="dxa"/>
            <w:vAlign w:val="bottom"/>
          </w:tcPr>
          <w:p>
            <w:pPr>
              <w:ind w:left="3800"/>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w w:val="97"/>
              </w:rPr>
              <w:t>Form of Warrant Certificate issued to a certain purchaser of</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4.3X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4.4X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4.5X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4.6X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4.7X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4.8X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4.9X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Callable Warrant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w w:val="97"/>
              </w:rPr>
              <w:t>1992 among the Registrant and certain of its stockholders.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w w:val="99"/>
              </w:rPr>
              <w:t>Form of at-will Employment Agreement between the Registrant</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and most of its employees.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its Contractors.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1988 Stock Option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Equity Incentive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1992.</w:t>
            </w:r>
          </w:p>
        </w:tc>
      </w:tr>
      <w:tr>
        <w:trPr>
          <w:trHeight w:val="509"/>
        </w:trPr>
        <w:tc>
          <w:tcPr>
            <w:tcW w:w="2280" w:type="dxa"/>
            <w:vAlign w:val="bottom"/>
          </w:tcPr>
          <w:p>
            <w:pPr>
              <w:spacing w:after="0"/>
              <w:rPr>
                <w:sz w:val="24"/>
                <w:szCs w:val="24"/>
                <w:color w:val="auto"/>
              </w:rPr>
            </w:pPr>
          </w:p>
        </w:tc>
        <w:tc>
          <w:tcPr>
            <w:tcW w:w="7140" w:type="dxa"/>
            <w:vAlign w:val="bottom"/>
          </w:tcPr>
          <w:p>
            <w:pPr>
              <w:ind w:left="1140"/>
              <w:spacing w:after="0"/>
              <w:rPr>
                <w:sz w:val="20"/>
                <w:szCs w:val="20"/>
                <w:color w:val="auto"/>
              </w:rPr>
            </w:pPr>
            <w:r>
              <w:rPr>
                <w:rFonts w:ascii="Courier New" w:cs="Courier New" w:eastAsia="Courier New" w:hAnsi="Courier New"/>
                <w:sz w:val="15"/>
                <w:szCs w:val="15"/>
                <w:color w:val="auto"/>
              </w:rPr>
              <w:t>63</w:t>
            </w:r>
          </w:p>
        </w:tc>
      </w:tr>
    </w:tbl>
    <w:p>
      <w:pPr>
        <w:sectPr>
          <w:pgSz w:w="11900" w:h="16838" w:orient="portrait"/>
          <w:cols w:equalWidth="0" w:num="1">
            <w:col w:w="10219"/>
          </w:cols>
          <w:pgMar w:left="240" w:top="452"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78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80" w:type="dxa"/>
            <w:vAlign w:val="bottom"/>
          </w:tcPr>
          <w:p>
            <w:pPr>
              <w:ind w:left="344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Rhode Island Industrial Facilities Corporation dated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as of September 15, 1994.</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purchasers of the Common Stock and Warrants offered in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April 1995.</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Form of Common Stock Purchase Agreement to be executed among</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9"/>
              </w:rPr>
              <w:t>the Registrant and certain purchasers of the Registrant's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Common Stock.</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Lease Agreement dated as of November 21, 1997 by and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Hub RI Properties Trust, as Landlord,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CytoTherapeutics, Inc., as Tenant.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7"/>
              </w:rPr>
              <w:t>July 10, 1996 among the Company and the individuals listed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therein.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CTI Valoria option agreement dated of July 10, 1996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Term Loan Agreement dated as of October 22, 1996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9"/>
              </w:rPr>
              <w:t>among StemCells, Inc., the Registrant and CTI Acquisition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Corp.</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Consulting Agreement dated as of September 25, 1997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1997 StemCells Research Stock Option Plan (the "1997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Form of Performance-Based Incentive Option Agreement issued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under the 1997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Employment Agreement dated as of September 25, 1997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10.40Section**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Consulting Services Agreement dated as of July 27, 1998, as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7"/>
              </w:rPr>
              <w:t>amended December 19, 1998 between Dr. John J. Schwartz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10.41Section**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Letter Agreement dated as of December 19, 1998 between John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10.42Section**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10.43Section**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10.44Section**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November 20,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December 29, 1999 between Neurotech S.A. and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Registrant.</w:t>
            </w:r>
          </w:p>
        </w:tc>
      </w:tr>
      <w:tr>
        <w:trPr>
          <w:trHeight w:val="509"/>
        </w:trPr>
        <w:tc>
          <w:tcPr>
            <w:tcW w:w="2640" w:type="dxa"/>
            <w:vAlign w:val="bottom"/>
          </w:tcPr>
          <w:p>
            <w:pPr>
              <w:spacing w:after="0"/>
              <w:rPr>
                <w:sz w:val="24"/>
                <w:szCs w:val="24"/>
                <w:color w:val="auto"/>
              </w:rPr>
            </w:pPr>
          </w:p>
        </w:tc>
        <w:tc>
          <w:tcPr>
            <w:tcW w:w="6780" w:type="dxa"/>
            <w:vAlign w:val="bottom"/>
          </w:tcPr>
          <w:p>
            <w:pPr>
              <w:ind w:left="780"/>
              <w:spacing w:after="0"/>
              <w:rPr>
                <w:sz w:val="20"/>
                <w:szCs w:val="20"/>
                <w:color w:val="auto"/>
              </w:rPr>
            </w:pPr>
            <w:r>
              <w:rPr>
                <w:rFonts w:ascii="Courier New" w:cs="Courier New" w:eastAsia="Courier New" w:hAnsi="Courier New"/>
                <w:sz w:val="15"/>
                <w:szCs w:val="15"/>
                <w:color w:val="auto"/>
              </w:rPr>
              <w:t>64</w:t>
            </w:r>
          </w:p>
        </w:tc>
      </w:tr>
    </w:tbl>
    <w:p>
      <w:pPr>
        <w:sectPr>
          <w:pgSz w:w="11900" w:h="16838" w:orient="portrait"/>
          <w:cols w:equalWidth="0" w:num="1">
            <w:col w:w="10219"/>
          </w:cols>
          <w:pgMar w:left="240" w:top="961" w:right="1440"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78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80" w:type="dxa"/>
            <w:vAlign w:val="bottom"/>
          </w:tcPr>
          <w:p>
            <w:pPr>
              <w:ind w:left="344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10.48X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10.49X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30, 2000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StemCells, Inc. and NeuroSpheres Ltd.</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Letter Agreement dated January 2, 2001 between StemCells,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Inc. and Martin McGlynn.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of Stanford University and StemCells, Inc.</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21X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Cautionary Factors Relevant to Forward-Looking Information.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Side Letter dated March 17, 2001 between StemCells, Inc.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339"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50" w:right="3699" w:hanging="273"/>
        <w:spacing w:after="0" w:line="237" w:lineRule="auto"/>
        <w:tabs>
          <w:tab w:leader="none" w:pos="45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450" w:right="3699" w:hanging="361"/>
        <w:spacing w:after="0" w:line="237" w:lineRule="auto"/>
        <w:tabs>
          <w:tab w:leader="none" w:pos="4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450" w:right="3699" w:hanging="450"/>
        <w:spacing w:after="0" w:line="237" w:lineRule="auto"/>
        <w:tabs>
          <w:tab w:leader="none" w:pos="4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450" w:right="3699" w:hanging="185"/>
        <w:spacing w:after="0" w:line="256" w:lineRule="auto"/>
        <w:tabs>
          <w:tab w:leader="none" w:pos="45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rFonts w:ascii="Courier New" w:cs="Courier New" w:eastAsia="Courier New" w:hAnsi="Courier New"/>
          <w:sz w:val="14"/>
          <w:szCs w:val="14"/>
          <w:color w:val="auto"/>
        </w:rPr>
      </w:pPr>
    </w:p>
    <w:p>
      <w:pPr>
        <w:jc w:val="both"/>
        <w:ind w:left="350" w:right="3179" w:hanging="173"/>
        <w:spacing w:after="0" w:line="237"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450" w:right="3179" w:hanging="273"/>
        <w:spacing w:after="0" w:line="237" w:lineRule="auto"/>
        <w:tabs>
          <w:tab w:leader="none" w:pos="45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rFonts w:ascii="Courier New" w:cs="Courier New" w:eastAsia="Courier New" w:hAnsi="Courier New"/>
          <w:sz w:val="15"/>
          <w:szCs w:val="15"/>
          <w:color w:val="auto"/>
        </w:rPr>
      </w:pPr>
    </w:p>
    <w:p>
      <w:pPr>
        <w:ind w:left="350" w:right="3179" w:hanging="261"/>
        <w:spacing w:after="0" w:line="237" w:lineRule="auto"/>
        <w:tabs>
          <w:tab w:leader="none" w:pos="3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450" w:right="3179" w:hanging="185"/>
        <w:spacing w:after="0" w:line="237"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the fiscal year ended December 31, 1993 and filed on March 30, 1994.</w:t>
      </w:r>
    </w:p>
    <w:p>
      <w:pPr>
        <w:spacing w:after="0" w:line="175" w:lineRule="exact"/>
        <w:rPr>
          <w:sz w:val="20"/>
          <w:szCs w:val="20"/>
          <w:color w:val="auto"/>
        </w:rPr>
      </w:pPr>
    </w:p>
    <w:p>
      <w:pPr>
        <w:ind w:left="450" w:right="3359" w:hanging="185"/>
        <w:spacing w:after="0" w:line="237" w:lineRule="auto"/>
        <w:tabs>
          <w:tab w:leader="none" w:pos="4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9"/>
          </w:cols>
          <w:pgMar w:left="230" w:top="961" w:right="1440" w:bottom="1440" w:gutter="0" w:footer="0" w:header="0"/>
        </w:sectPr>
      </w:pPr>
    </w:p>
    <w:bookmarkStart w:id="67" w:name="page68"/>
    <w:bookmarkEnd w:id="67"/>
    <w:p>
      <w:pPr>
        <w:ind w:left="450" w:right="3359" w:hanging="273"/>
        <w:spacing w:after="0" w:line="237" w:lineRule="auto"/>
        <w:tabs>
          <w:tab w:leader="none" w:pos="4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jc w:val="both"/>
        <w:ind w:left="530" w:right="3439" w:hanging="353"/>
        <w:spacing w:after="0" w:line="260" w:lineRule="auto"/>
        <w:tabs>
          <w:tab w:leader="none" w:pos="53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63" w:lineRule="exact"/>
        <w:rPr>
          <w:sz w:val="20"/>
          <w:szCs w:val="20"/>
          <w:color w:val="auto"/>
        </w:rPr>
      </w:pPr>
    </w:p>
    <w:p>
      <w:pPr>
        <w:jc w:val="both"/>
        <w:ind w:left="530" w:right="3439" w:hanging="441"/>
        <w:spacing w:after="0" w:line="237" w:lineRule="auto"/>
        <w:tabs>
          <w:tab w:leader="none" w:pos="53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450" w:right="3259" w:hanging="361"/>
        <w:spacing w:after="0" w:line="237" w:lineRule="auto"/>
        <w:tabs>
          <w:tab w:leader="none" w:pos="45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4" w:lineRule="exact"/>
        <w:rPr>
          <w:rFonts w:ascii="Courier New" w:cs="Courier New" w:eastAsia="Courier New" w:hAnsi="Courier New"/>
          <w:sz w:val="15"/>
          <w:szCs w:val="15"/>
          <w:color w:val="auto"/>
        </w:rPr>
      </w:pPr>
    </w:p>
    <w:p>
      <w:pPr>
        <w:ind w:left="450" w:right="3699" w:hanging="450"/>
        <w:spacing w:after="0" w:line="237" w:lineRule="auto"/>
        <w:tabs>
          <w:tab w:leader="none" w:pos="45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1997 and filed on March 30, 1998.</w:t>
      </w:r>
    </w:p>
    <w:p>
      <w:pPr>
        <w:spacing w:after="0" w:line="175" w:lineRule="exact"/>
        <w:rPr>
          <w:sz w:val="20"/>
          <w:szCs w:val="20"/>
          <w:color w:val="auto"/>
        </w:rPr>
      </w:pPr>
    </w:p>
    <w:p>
      <w:pPr>
        <w:ind w:left="450" w:right="3359" w:hanging="361"/>
        <w:spacing w:after="0" w:line="237"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970" w:right="3179" w:hanging="699"/>
        <w:spacing w:after="0" w:line="237" w:lineRule="auto"/>
        <w:tabs>
          <w:tab w:leader="none" w:pos="949" w:val="left"/>
        </w:tabs>
        <w:rPr>
          <w:sz w:val="20"/>
          <w:szCs w:val="20"/>
          <w:color w:val="auto"/>
        </w:rPr>
      </w:pPr>
      <w:r>
        <w:rPr>
          <w:rFonts w:ascii="Courier New" w:cs="Courier New" w:eastAsia="Courier New" w:hAnsi="Courier New"/>
          <w:sz w:val="15"/>
          <w:szCs w:val="15"/>
          <w:color w:val="auto"/>
        </w:rPr>
        <w:t>Section</w:t>
        <w:tab/>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ind w:left="1490" w:right="3359" w:hanging="1319"/>
        <w:spacing w:after="0" w:line="237" w:lineRule="auto"/>
        <w:tabs>
          <w:tab w:leader="none" w:pos="1469" w:val="left"/>
        </w:tabs>
        <w:rPr>
          <w:sz w:val="20"/>
          <w:szCs w:val="20"/>
          <w:color w:val="auto"/>
        </w:rPr>
      </w:pPr>
      <w:r>
        <w:rPr>
          <w:rFonts w:ascii="Courier New" w:cs="Courier New" w:eastAsia="Courier New" w:hAnsi="Courier New"/>
          <w:sz w:val="15"/>
          <w:szCs w:val="15"/>
          <w:color w:val="auto"/>
        </w:rPr>
        <w:t>SectionSection</w:t>
        <w:tab/>
        <w:t>Previously filed with the Commission as an Exhibit to, and incorporated herein by reference to, the Registrant's current report on Form 8-K on January 14, 2000</w:t>
      </w:r>
    </w:p>
    <w:p>
      <w:pPr>
        <w:spacing w:after="0" w:line="175" w:lineRule="exact"/>
        <w:rPr>
          <w:sz w:val="20"/>
          <w:szCs w:val="20"/>
          <w:color w:val="auto"/>
        </w:rPr>
      </w:pPr>
    </w:p>
    <w:p>
      <w:pPr>
        <w:ind w:left="350" w:right="3619" w:hanging="179"/>
        <w:spacing w:after="0" w:line="237" w:lineRule="auto"/>
        <w:tabs>
          <w:tab w:leader="none" w:pos="329" w:val="left"/>
        </w:tabs>
        <w:rPr>
          <w:sz w:val="20"/>
          <w:szCs w:val="20"/>
          <w:color w:val="auto"/>
        </w:rPr>
      </w:pPr>
      <w:r>
        <w:rPr>
          <w:rFonts w:ascii="Courier New" w:cs="Courier New" w:eastAsia="Courier New" w:hAnsi="Courier New"/>
          <w:sz w:val="15"/>
          <w:szCs w:val="15"/>
          <w:color w:val="auto"/>
        </w:rPr>
        <w:t>X</w:t>
        <w:tab/>
        <w:t>Previously filed with the Commission as an Exhibit to, and incorporated herein by reference to, the Registrant's Registration Statement on Form S-1, File No. 333-45496.</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 CURRENT REPORTS ON FORM 8-K.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9"/>
          </w:cols>
          <w:pgMar w:left="230" w:top="458" w:right="1440" w:bottom="1440" w:gutter="0" w:footer="0" w:header="0"/>
        </w:sectPr>
      </w:pPr>
    </w:p>
    <w:bookmarkStart w:id="68" w:name="page69"/>
    <w:bookmarkEnd w:id="6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1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STEMCELLS, INC.</w:t>
      </w:r>
    </w:p>
    <w:p>
      <w:pPr>
        <w:sectPr>
          <w:pgSz w:w="11900" w:h="16838" w:orient="portrait"/>
          <w:cols w:equalWidth="0" w:num="1">
            <w:col w:w="10219"/>
          </w:cols>
          <w:pgMar w:left="240" w:top="452" w:right="1440" w:bottom="1440" w:gutter="0" w:footer="0" w:header="0"/>
        </w:sectPr>
      </w:pPr>
    </w:p>
    <w:p>
      <w:pPr>
        <w:spacing w:after="0" w:line="180"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5"/>
          <w:szCs w:val="15"/>
          <w:color w:val="auto"/>
        </w:rPr>
        <w:t>/s/ MARTIN MCGLYNN</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5"/>
          <w:szCs w:val="15"/>
          <w:color w:val="auto"/>
        </w:rPr>
        <w:t>Martin McGlynn</w:t>
      </w:r>
    </w:p>
    <w:p>
      <w:pPr>
        <w:jc w:val="center"/>
        <w:ind w:right="1319"/>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5100" w:space="180"/>
            <w:col w:w="4939"/>
          </w:cols>
          <w:pgMar w:left="240" w:top="45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31, 2001</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SIGNATURES</w:t>
            </w:r>
          </w:p>
        </w:tc>
        <w:tc>
          <w:tcPr>
            <w:tcW w:w="3000" w:type="dxa"/>
            <w:vAlign w:val="bottom"/>
          </w:tcPr>
          <w:p>
            <w:pPr>
              <w:ind w:left="1280"/>
              <w:spacing w:after="0"/>
              <w:rPr>
                <w:sz w:val="20"/>
                <w:szCs w:val="20"/>
                <w:color w:val="auto"/>
              </w:rPr>
            </w:pPr>
            <w:r>
              <w:rPr>
                <w:rFonts w:ascii="Courier New" w:cs="Courier New" w:eastAsia="Courier New" w:hAnsi="Courier New"/>
                <w:sz w:val="15"/>
                <w:szCs w:val="15"/>
                <w:color w:val="auto"/>
              </w:rPr>
              <w:t>CAPACITY</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08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President and Chief Executive</w:t>
            </w: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MARTIN MCGLYNN</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 and Director</w:t>
            </w:r>
          </w:p>
        </w:tc>
        <w:tc>
          <w:tcPr>
            <w:tcW w:w="1380" w:type="dxa"/>
            <w:vAlign w:val="bottom"/>
          </w:tcPr>
          <w:p>
            <w:pPr>
              <w:spacing w:after="0"/>
              <w:rPr>
                <w:sz w:val="14"/>
                <w:szCs w:val="1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Martin McGlynn</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spacing w:after="0"/>
              <w:rPr>
                <w:sz w:val="14"/>
                <w:szCs w:val="14"/>
                <w:color w:val="auto"/>
              </w:rPr>
            </w:pPr>
          </w:p>
        </w:tc>
      </w:tr>
      <w:tr>
        <w:trPr>
          <w:trHeight w:val="339"/>
        </w:trPr>
        <w:tc>
          <w:tcPr>
            <w:tcW w:w="408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Controller and Acting Chief</w:t>
            </w: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GEORGE KOSHY</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(prinipal</w:t>
            </w:r>
          </w:p>
        </w:tc>
        <w:tc>
          <w:tcPr>
            <w:tcW w:w="1380" w:type="dxa"/>
            <w:vAlign w:val="bottom"/>
          </w:tcPr>
          <w:p>
            <w:pPr>
              <w:spacing w:after="0"/>
              <w:rPr>
                <w:sz w:val="14"/>
                <w:szCs w:val="1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and</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George Koshy</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principal accounting</w:t>
            </w:r>
          </w:p>
        </w:tc>
        <w:tc>
          <w:tcPr>
            <w:tcW w:w="138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/s/ MARK J. LEVIN</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Mark J. Levin</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ROGER PERLMUTTER, M.D.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Roger Perlmutter, M.D.</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JOHN J. SCHWARTZ, PH.D.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 Chairman of the</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John J. Schwartz, Ph.D.</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Board</w:t>
            </w: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IRVING L. WEISSMAN, M.D.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Irving L. Weissman, M.D.</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09"/>
        </w:trPr>
        <w:tc>
          <w:tcPr>
            <w:tcW w:w="4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67</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type w:val="continuous"/>
        </w:sectPr>
      </w:pPr>
    </w:p>
    <w:bookmarkStart w:id="69" w:name="page70"/>
    <w:bookmarkEnd w:id="69"/>
    <w:p>
      <w:pPr>
        <w:jc w:val="right"/>
        <w:ind w:right="3179"/>
        <w:spacing w:after="0"/>
        <w:rPr>
          <w:sz w:val="20"/>
          <w:szCs w:val="20"/>
          <w:color w:val="auto"/>
        </w:rPr>
      </w:pPr>
      <w:r>
        <w:rPr>
          <w:rFonts w:ascii="Courier New" w:cs="Courier New" w:eastAsia="Courier New" w:hAnsi="Courier New"/>
          <w:sz w:val="15"/>
          <w:szCs w:val="15"/>
          <w:color w:val="auto"/>
        </w:rPr>
        <w:t>Exhibit 10.50</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LICENSE AGREEMENT</w:t>
      </w:r>
    </w:p>
    <w:p>
      <w:pPr>
        <w:spacing w:after="0" w:line="175" w:lineRule="exact"/>
        <w:rPr>
          <w:sz w:val="20"/>
          <w:szCs w:val="20"/>
          <w:color w:val="auto"/>
        </w:rPr>
      </w:pPr>
    </w:p>
    <w:p>
      <w:pPr>
        <w:ind w:left="10" w:right="3879"/>
        <w:spacing w:after="0" w:line="237" w:lineRule="auto"/>
        <w:rPr>
          <w:sz w:val="20"/>
          <w:szCs w:val="20"/>
          <w:color w:val="auto"/>
        </w:rPr>
      </w:pPr>
      <w:r>
        <w:rPr>
          <w:rFonts w:ascii="Courier New" w:cs="Courier New" w:eastAsia="Courier New" w:hAnsi="Courier New"/>
          <w:sz w:val="15"/>
          <w:szCs w:val="15"/>
          <w:color w:val="auto"/>
        </w:rPr>
        <w:t>This license agreement is between STEMCELLS, INC. ("SCI"), a Delaware corporation and NEUROSPHERES LTD., ("NS"), an Alberta corporation, and NEUROSPHERES HOLDINGS LTD., ("NHL"), an Alberta corporation and is dated effective as of October 30 2000.</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left="610" w:right="3179" w:hanging="610"/>
        <w:spacing w:after="0" w:line="238" w:lineRule="auto"/>
        <w:tabs>
          <w:tab w:leader="none" w:pos="6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(formerly known at that time and subsequently until May 23, 2000 as CytoTherapeutics, Inc. ("CTI")) and Dr. Samuel Weiss ("Dr. Weiss") and Dr. Brent A. Reynolds ("Dr. Reynolds") entered into an evaluation &amp; option agreement dated July 6, 1992 relating to the evaluation of certain cells and a consulting agreement. Drs. Weiss and Reynolds subsequently transferred all of their rights under these agreements to NS. These agreements were terminated on execution of the Contract Research and License Agreement.</w:t>
      </w:r>
    </w:p>
    <w:p>
      <w:pPr>
        <w:spacing w:after="0" w:line="177"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14, 1994 NS and NHL entered into an assignment agreement under which NS transferred intellectual property rights to NHL (the "Assignment Agreement") and a simultaneous license agreement from NHL to NS providing the exclusive rights to use such assigned intellectual property rights (the "NS/NHL License").</w:t>
      </w:r>
    </w:p>
    <w:p>
      <w:pPr>
        <w:spacing w:after="0" w:line="178"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and NS entered into a certain Contract Research and License Agreement (the "1994 License Agreement") and SCI and NHL entered into a backup license agreement on substantially the same terms as the License Agreement (the "BackUp License") both dated March 15, 1994.</w:t>
      </w:r>
    </w:p>
    <w:p>
      <w:pPr>
        <w:spacing w:after="0" w:line="176" w:lineRule="exact"/>
        <w:rPr>
          <w:rFonts w:ascii="Courier New" w:cs="Courier New" w:eastAsia="Courier New" w:hAnsi="Courier New"/>
          <w:sz w:val="15"/>
          <w:szCs w:val="15"/>
          <w:color w:val="auto"/>
        </w:rPr>
      </w:pPr>
    </w:p>
    <w:p>
      <w:pPr>
        <w:ind w:left="610" w:right="3259" w:hanging="610"/>
        <w:spacing w:after="0" w:line="238" w:lineRule="auto"/>
        <w:tabs>
          <w:tab w:leader="none" w:pos="6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and NS and NHL disagreed on the scope of the 1994 License Agreement and the manner in which they would collaborate and on other matters and, in order to clarify the rights and obligations of the parties, they entered into a 1997 License Agreement dated as of April 1, 1997 (the "1997 License Agreement") pursuant to which, among other things, NS licensed the Existing Patent Rights and rights to the Existing Cell Technology to SCI (as those terms are defined herein)..</w:t>
      </w:r>
    </w:p>
    <w:p>
      <w:pPr>
        <w:spacing w:after="0" w:line="176" w:lineRule="exact"/>
        <w:rPr>
          <w:rFonts w:ascii="Courier New" w:cs="Courier New" w:eastAsia="Courier New" w:hAnsi="Courier New"/>
          <w:sz w:val="15"/>
          <w:szCs w:val="15"/>
          <w:color w:val="auto"/>
        </w:rPr>
      </w:pPr>
    </w:p>
    <w:p>
      <w:pPr>
        <w:ind w:left="610" w:right="3179" w:hanging="610"/>
        <w:spacing w:after="0" w:line="238" w:lineRule="auto"/>
        <w:tabs>
          <w:tab w:leader="none" w:pos="6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now desire to enter into a new agreement, to expand the scope of the rights licensed by NS to SCI, on the terms set forth herein, in addition to the rights granted to SCI and the obligations of SCI in the 1997 License Agreement, but except as expressly provided herein, NOT to supercede or replace the 1997 License Agreement, which shall remain in full force and effect.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69" w:lineRule="exact"/>
        <w:rPr>
          <w:sz w:val="20"/>
          <w:szCs w:val="20"/>
          <w:color w:val="auto"/>
        </w:rPr>
      </w:pPr>
    </w:p>
    <w:p>
      <w:pPr>
        <w:ind w:left="610" w:hanging="610"/>
        <w:spacing w:after="0"/>
        <w:tabs>
          <w:tab w:leader="none" w:pos="6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following capitalized terms used in this Agreement shall have the meanings given below unless the context clearly requires otherwise.</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70" w:name="page71"/>
    <w:bookmarkEnd w:id="70"/>
    <w:p>
      <w:pPr>
        <w:ind w:left="600" w:right="3179" w:hanging="616"/>
        <w:spacing w:after="0" w:line="257" w:lineRule="auto"/>
        <w:tabs>
          <w:tab w:leader="none" w:pos="5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"Affiliate" shall mean any corporation, company, partnership, joint venture and/or firm which controls, is controlled by, or is under common control with a party. For purposes of this definition, "control" shall mean (a) in the case of corporate entities, direct or indirect ownership of more than 50% of the stock or shares entitled to vote for the election of directors; and (b) in the case of non-corporate entities, direct or indirect ownership of more than 50% of the equity interest with the power to direct the management and policies of such non-corporate entities.</w:t>
      </w:r>
    </w:p>
    <w:p>
      <w:pPr>
        <w:spacing w:after="0" w:line="16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"Agent" shall mean ***** .</w:t>
      </w:r>
    </w:p>
    <w:p>
      <w:pPr>
        <w:spacing w:after="0" w:line="169" w:lineRule="exact"/>
        <w:rPr>
          <w:sz w:val="20"/>
          <w:szCs w:val="20"/>
          <w:color w:val="auto"/>
        </w:rPr>
      </w:pP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"Cells" shall mean ***** ; and</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An EGF-responsive neuronal stem cell includes: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"Cell Replacement Therapy" shall mean ***** .</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"Cell Technology" shall mean ***** .</w:t>
      </w:r>
    </w:p>
    <w:p>
      <w:pPr>
        <w:spacing w:after="0" w:line="175" w:lineRule="exact"/>
        <w:rPr>
          <w:sz w:val="20"/>
          <w:szCs w:val="20"/>
          <w:color w:val="auto"/>
        </w:rPr>
      </w:pPr>
    </w:p>
    <w:p>
      <w:pPr>
        <w:ind w:left="600" w:right="3179" w:hanging="616"/>
        <w:spacing w:after="0" w:line="238" w:lineRule="auto"/>
        <w:tabs>
          <w:tab w:leader="none" w:pos="580" w:val="left"/>
        </w:tabs>
        <w:rPr>
          <w:sz w:val="20"/>
          <w:szCs w:val="20"/>
          <w:color w:val="auto"/>
        </w:rPr>
      </w:pPr>
      <w:r>
        <w:rPr>
          <w:rFonts w:ascii="Courier New" w:cs="Courier New" w:eastAsia="Courier New" w:hAnsi="Courier New"/>
          <w:sz w:val="15"/>
          <w:szCs w:val="15"/>
          <w:color w:val="auto"/>
        </w:rPr>
        <w:t>1.06</w:t>
        <w:tab/>
        <w:t>"Confidential Information" shall mean any and all information of or about a Person including all information relating to any technology, product, process, business information or other intellectual property of such Person (including, but not limited to, owned or license intellectual property rights, data, know-how, samples, technical and non-technical materials and specifications, as well as any business plan or other confidential commercial information of or about such Person). Notwithstanding the foregoing, information shall not be considered "Confidential Information" with respect to such Person to the extent that any other Person possessing such information can demonstrate by written record or other suitable physical evidence that:</w:t>
      </w:r>
    </w:p>
    <w:p>
      <w:pPr>
        <w:spacing w:after="0" w:line="181" w:lineRule="exact"/>
        <w:rPr>
          <w:sz w:val="20"/>
          <w:szCs w:val="20"/>
          <w:color w:val="auto"/>
        </w:rPr>
      </w:pPr>
    </w:p>
    <w:p>
      <w:pPr>
        <w:ind w:left="1040" w:right="3179" w:hanging="433"/>
        <w:spacing w:after="0" w:line="237" w:lineRule="auto"/>
        <w:tabs>
          <w:tab w:leader="none" w:pos="10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lawfully in such other Person's possession or control prior to the time such information was disclosed to such other Person by the Person to whom the information relates;</w:t>
      </w:r>
    </w:p>
    <w:p>
      <w:pPr>
        <w:spacing w:after="0" w:line="176" w:lineRule="exact"/>
        <w:rPr>
          <w:rFonts w:ascii="Courier New" w:cs="Courier New" w:eastAsia="Courier New" w:hAnsi="Courier New"/>
          <w:sz w:val="15"/>
          <w:szCs w:val="15"/>
          <w:color w:val="auto"/>
        </w:rPr>
      </w:pPr>
    </w:p>
    <w:p>
      <w:pPr>
        <w:ind w:left="1040" w:right="3259" w:hanging="433"/>
        <w:spacing w:after="0" w:line="237" w:lineRule="auto"/>
        <w:tabs>
          <w:tab w:leader="none" w:pos="10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developed by one or more employees of such other Person without such employee having access to the Confidential Information;</w:t>
      </w:r>
    </w:p>
    <w:p>
      <w:pPr>
        <w:spacing w:after="0" w:line="174" w:lineRule="exact"/>
        <w:rPr>
          <w:rFonts w:ascii="Courier New" w:cs="Courier New" w:eastAsia="Courier New" w:hAnsi="Courier New"/>
          <w:sz w:val="15"/>
          <w:szCs w:val="15"/>
          <w:color w:val="auto"/>
        </w:rPr>
      </w:pPr>
    </w:p>
    <w:p>
      <w:pPr>
        <w:ind w:left="1040" w:right="3179" w:hanging="433"/>
        <w:spacing w:after="0" w:line="237" w:lineRule="auto"/>
        <w:tabs>
          <w:tab w:leader="none" w:pos="10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lawfully obtained by such other Person from a third party under no obligation of confidentiality to the Person to whom such information relates; or</w:t>
      </w:r>
    </w:p>
    <w:p>
      <w:pPr>
        <w:spacing w:after="0" w:line="174" w:lineRule="exact"/>
        <w:rPr>
          <w:rFonts w:ascii="Courier New" w:cs="Courier New" w:eastAsia="Courier New" w:hAnsi="Courier New"/>
          <w:sz w:val="15"/>
          <w:szCs w:val="15"/>
          <w:color w:val="auto"/>
        </w:rPr>
      </w:pPr>
    </w:p>
    <w:p>
      <w:pPr>
        <w:ind w:left="1040" w:right="3179" w:hanging="433"/>
        <w:spacing w:after="0" w:line="259" w:lineRule="auto"/>
        <w:tabs>
          <w:tab w:leader="none" w:pos="10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specific information was at the time it was disclosed or obtained by such other Person, or thereafter became, publicly known otherwise than through a breach by such other Person of such other Person's obligations to the Person to whom such information relates.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7" w:right="1440" w:bottom="1440" w:gutter="0" w:footer="0" w:header="0"/>
        </w:sectPr>
      </w:pPr>
    </w:p>
    <w:bookmarkStart w:id="71" w:name="page72"/>
    <w:bookmarkEnd w:id="71"/>
    <w:p>
      <w:pPr>
        <w:ind w:left="600" w:right="343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1.07</w:t>
        <w:tab/>
        <w:t>"SCI Sublicensee" or "Sublicensee" shall mean any Person, including an Affiliate of SCI, to whom SCI shall have licensed any or all of its rights under this Agreement.</w:t>
      </w:r>
    </w:p>
    <w:p>
      <w:pPr>
        <w:spacing w:after="0" w:line="175" w:lineRule="exact"/>
        <w:rPr>
          <w:sz w:val="20"/>
          <w:szCs w:val="20"/>
          <w:color w:val="auto"/>
        </w:rPr>
      </w:pPr>
    </w:p>
    <w:p>
      <w:pPr>
        <w:ind w:left="600" w:right="4059" w:hanging="616"/>
        <w:spacing w:after="0" w:line="235" w:lineRule="auto"/>
        <w:tabs>
          <w:tab w:leader="none" w:pos="580" w:val="left"/>
        </w:tabs>
        <w:rPr>
          <w:sz w:val="20"/>
          <w:szCs w:val="20"/>
          <w:color w:val="auto"/>
        </w:rPr>
      </w:pPr>
      <w:r>
        <w:rPr>
          <w:rFonts w:ascii="Courier New" w:cs="Courier New" w:eastAsia="Courier New" w:hAnsi="Courier New"/>
          <w:sz w:val="15"/>
          <w:szCs w:val="15"/>
          <w:color w:val="auto"/>
        </w:rPr>
        <w:t>1.08</w:t>
        <w:tab/>
        <w:t>"Dollar(s)" (including the symbol "$") shall mean United States dollar(s).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"Effective Date" shall mean October 30, 2000.</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"E.g." shall mean, for example, but not in limitation.</w:t>
      </w:r>
    </w:p>
    <w:p>
      <w:pPr>
        <w:spacing w:after="0" w:line="175" w:lineRule="exact"/>
        <w:rPr>
          <w:sz w:val="20"/>
          <w:szCs w:val="20"/>
          <w:color w:val="auto"/>
        </w:rPr>
      </w:pPr>
    </w:p>
    <w:p>
      <w:pPr>
        <w:ind w:left="600" w:right="3619" w:hanging="616"/>
        <w:spacing w:after="0" w:line="265" w:lineRule="auto"/>
        <w:tabs>
          <w:tab w:leader="none" w:pos="5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"Existing Cell Technology" shall mean the entire portion of Cell Technology that existed and was provided to CTI as of April 1, 1997.</w:t>
      </w:r>
    </w:p>
    <w:p>
      <w:pPr>
        <w:spacing w:after="0" w:line="158" w:lineRule="exact"/>
        <w:rPr>
          <w:sz w:val="20"/>
          <w:szCs w:val="20"/>
          <w:color w:val="auto"/>
        </w:rPr>
      </w:pPr>
    </w:p>
    <w:p>
      <w:pPr>
        <w:ind w:left="600" w:right="3179" w:hanging="616"/>
        <w:spacing w:after="0" w:line="238" w:lineRule="auto"/>
        <w:tabs>
          <w:tab w:leader="none" w:pos="580" w:val="left"/>
        </w:tabs>
        <w:rPr>
          <w:sz w:val="20"/>
          <w:szCs w:val="20"/>
          <w:color w:val="auto"/>
        </w:rPr>
      </w:pPr>
      <w:r>
        <w:rPr>
          <w:rFonts w:ascii="Courier New" w:cs="Courier New" w:eastAsia="Courier New" w:hAnsi="Courier New"/>
          <w:sz w:val="15"/>
          <w:szCs w:val="15"/>
          <w:color w:val="auto"/>
        </w:rPr>
        <w:t>1.12</w:t>
        <w:tab/>
        <w:t>"Existing Patent Rights" shall mean those Patent Rights described in the 1997 License Agreement, including the patents and patent applications listed on Exhibit A in the 1997 License Agreement and any inventions made by NS or NHL as of April 1, 1997, to the extent they applied to the making, use or sale of Products or performance of Services in the Existing Field.</w:t>
      </w:r>
    </w:p>
    <w:p>
      <w:pPr>
        <w:spacing w:after="0" w:line="170" w:lineRule="exact"/>
        <w:rPr>
          <w:sz w:val="20"/>
          <w:szCs w:val="20"/>
          <w:color w:val="auto"/>
        </w:rPr>
      </w:pP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"Existing Field" shall mean ***** .</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The Existing Field does not include:</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The foregoing exclusions from the Existing Field define exclusions from the Existing Field, and shall have no other meaning (e.g., they are not a contractual prohibition against SCI from engaging in any activity it would be otherwise entitled to engage in).</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"New Field" shall mean ***** .</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4"/>
          <w:szCs w:val="14"/>
          <w:color w:val="auto"/>
        </w:rPr>
        <w:t>"Gross Revenues" shall mean ***** .</w:t>
      </w:r>
    </w:p>
    <w:p>
      <w:pPr>
        <w:spacing w:after="0" w:line="175" w:lineRule="exact"/>
        <w:rPr>
          <w:sz w:val="20"/>
          <w:szCs w:val="20"/>
          <w:color w:val="auto"/>
        </w:rPr>
      </w:pPr>
    </w:p>
    <w:p>
      <w:pPr>
        <w:ind w:left="600" w:right="39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1.16</w:t>
        <w:tab/>
        <w:t>"Improvement" shall mean any enhancement of, improvement to, or technology related to, the intellectual property licensed to SCI hereunder that is made after the Effective Date.</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"Net Sales" means ***** .</w:t>
      </w:r>
    </w:p>
    <w:p>
      <w:pPr>
        <w:spacing w:after="0" w:line="175" w:lineRule="exact"/>
        <w:rPr>
          <w:sz w:val="20"/>
          <w:szCs w:val="20"/>
          <w:color w:val="auto"/>
        </w:rPr>
      </w:pPr>
    </w:p>
    <w:p>
      <w:pPr>
        <w:ind w:left="600" w:right="3439" w:hanging="616"/>
        <w:spacing w:after="0" w:line="235" w:lineRule="auto"/>
        <w:tabs>
          <w:tab w:leader="none" w:pos="580" w:val="left"/>
        </w:tabs>
        <w:rPr>
          <w:sz w:val="20"/>
          <w:szCs w:val="20"/>
          <w:color w:val="auto"/>
        </w:rPr>
      </w:pPr>
      <w:r>
        <w:rPr>
          <w:rFonts w:ascii="Courier New" w:cs="Courier New" w:eastAsia="Courier New" w:hAnsi="Courier New"/>
          <w:sz w:val="15"/>
          <w:szCs w:val="15"/>
          <w:color w:val="auto"/>
        </w:rPr>
        <w:t>1.18</w:t>
        <w:tab/>
        <w:t>"New Cell Technology" shall mean all Cell Technology, exclusive of and not including Existing Cell Technology.</w:t>
      </w:r>
    </w:p>
    <w:p>
      <w:pPr>
        <w:spacing w:after="0" w:line="176" w:lineRule="exact"/>
        <w:rPr>
          <w:sz w:val="20"/>
          <w:szCs w:val="20"/>
          <w:color w:val="auto"/>
        </w:rPr>
      </w:pPr>
    </w:p>
    <w:p>
      <w:pPr>
        <w:ind w:left="600" w:right="31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1.19</w:t>
        <w:tab/>
        <w:t>"New Patent Rights" shall mean any and all Patent Rights, including those listed on Ex. B, that are exclusive of and not included in Existing Patent Rights.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72" w:name="page73"/>
    <w:bookmarkEnd w:id="72"/>
    <w:p>
      <w:pPr>
        <w:ind w:left="600" w:right="3259" w:hanging="616"/>
        <w:spacing w:after="0" w:line="238" w:lineRule="auto"/>
        <w:tabs>
          <w:tab w:leader="none" w:pos="580" w:val="left"/>
        </w:tabs>
        <w:rPr>
          <w:sz w:val="20"/>
          <w:szCs w:val="20"/>
          <w:color w:val="auto"/>
        </w:rPr>
      </w:pPr>
      <w:r>
        <w:rPr>
          <w:rFonts w:ascii="Courier New" w:cs="Courier New" w:eastAsia="Courier New" w:hAnsi="Courier New"/>
          <w:sz w:val="15"/>
          <w:szCs w:val="15"/>
          <w:color w:val="auto"/>
        </w:rPr>
        <w:t>1.20</w:t>
        <w:tab/>
        <w:t>"Patent Rights" shall mean (i) any patents and patent applications throughout the world that NS or NHL owns or has rights to as of the Effective Date of this Agreement (which shall include, without limitation, patent and patent applications as set forth on Exhibit A), which without the license to SCI hereunder would be infringed by the making, using or selling of Products or performing of Services, (ii) all foreign counterparts of such patents and patent applications, (iii) all substitutions, extensions (including patent term extensions), reissues, renewals, divisions, continuations, and continuations-in-part in respect of the foregoing; (iv) any inventions conceived or reduced to practice that NS or NHL owns or has rights to. Patent Rights shall include, without limitation, Existing Patent Rights and New Patent Rights as listed in Exhibits A and B.</w:t>
      </w:r>
    </w:p>
    <w:p>
      <w:pPr>
        <w:spacing w:after="0" w:line="183" w:lineRule="exact"/>
        <w:rPr>
          <w:sz w:val="20"/>
          <w:szCs w:val="20"/>
          <w:color w:val="auto"/>
        </w:rPr>
      </w:pPr>
    </w:p>
    <w:p>
      <w:pPr>
        <w:ind w:left="600" w:right="3539" w:hanging="616"/>
        <w:spacing w:after="0" w:line="235" w:lineRule="auto"/>
        <w:tabs>
          <w:tab w:leader="none" w:pos="580" w:val="left"/>
        </w:tabs>
        <w:rPr>
          <w:sz w:val="20"/>
          <w:szCs w:val="20"/>
          <w:color w:val="auto"/>
        </w:rPr>
      </w:pPr>
      <w:r>
        <w:rPr>
          <w:rFonts w:ascii="Courier New" w:cs="Courier New" w:eastAsia="Courier New" w:hAnsi="Courier New"/>
          <w:sz w:val="15"/>
          <w:szCs w:val="15"/>
          <w:color w:val="auto"/>
        </w:rPr>
        <w:t>1.21</w:t>
        <w:tab/>
        <w:t>"Person" shall mean any individual, corporation, governmental body or other legal entity.</w:t>
      </w:r>
    </w:p>
    <w:p>
      <w:pPr>
        <w:spacing w:after="0" w:line="176" w:lineRule="exact"/>
        <w:rPr>
          <w:sz w:val="20"/>
          <w:szCs w:val="20"/>
          <w:color w:val="auto"/>
        </w:rPr>
      </w:pPr>
    </w:p>
    <w:p>
      <w:pPr>
        <w:ind w:left="600" w:right="31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1.22</w:t>
        <w:tab/>
        <w:t>"Phase I Clinical Trial" shall mean a human clinical trial in any country that is intended to evaluate the safety and/or pharmacological effect of a product in subjects, or that would otherwise satisfy the requirements of 21 CFR 312.21(a), or its foreign equivalent.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1.23   "Phase II</w:t>
            </w: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Clinical Trial" shall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mean</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8"/>
              </w:rPr>
              <w:t>a human clinical trial</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in any</w:t>
            </w:r>
          </w:p>
        </w:tc>
      </w:tr>
      <w:tr>
        <w:trPr>
          <w:trHeight w:val="170"/>
        </w:trPr>
        <w:tc>
          <w:tcPr>
            <w:tcW w:w="2720" w:type="dxa"/>
            <w:vAlign w:val="bottom"/>
            <w:gridSpan w:val="2"/>
          </w:tcPr>
          <w:p>
            <w:pPr>
              <w:ind w:left="600"/>
              <w:spacing w:after="0"/>
              <w:rPr>
                <w:sz w:val="20"/>
                <w:szCs w:val="20"/>
                <w:color w:val="auto"/>
              </w:rPr>
            </w:pPr>
            <w:r>
              <w:rPr>
                <w:rFonts w:ascii="Courier New" w:cs="Courier New" w:eastAsia="Courier New" w:hAnsi="Courier New"/>
                <w:sz w:val="15"/>
                <w:szCs w:val="15"/>
                <w:color w:val="auto"/>
                <w:w w:val="97"/>
              </w:rPr>
              <w:t>country that is intended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evaluate</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effectiveness of a</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product for a</w:t>
            </w:r>
          </w:p>
        </w:tc>
      </w:tr>
      <w:tr>
        <w:trPr>
          <w:trHeight w:val="170"/>
        </w:trPr>
        <w:tc>
          <w:tcPr>
            <w:tcW w:w="2720" w:type="dxa"/>
            <w:vAlign w:val="bottom"/>
            <w:gridSpan w:val="2"/>
          </w:tcPr>
          <w:p>
            <w:pPr>
              <w:ind w:left="600"/>
              <w:spacing w:after="0"/>
              <w:rPr>
                <w:sz w:val="20"/>
                <w:szCs w:val="20"/>
                <w:color w:val="auto"/>
              </w:rPr>
            </w:pPr>
            <w:r>
              <w:rPr>
                <w:rFonts w:ascii="Courier New" w:cs="Courier New" w:eastAsia="Courier New" w:hAnsi="Courier New"/>
                <w:sz w:val="15"/>
                <w:szCs w:val="15"/>
                <w:color w:val="auto"/>
                <w:w w:val="97"/>
              </w:rPr>
              <w:t>particular indication or</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indications</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patients with the disease or</w:t>
            </w:r>
          </w:p>
        </w:tc>
      </w:tr>
      <w:tr>
        <w:trPr>
          <w:trHeight w:val="170"/>
        </w:trPr>
        <w:tc>
          <w:tcPr>
            <w:tcW w:w="27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indication under study,</w:t>
            </w:r>
          </w:p>
        </w:tc>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or that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would otherwise satisfy the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requirements</w:t>
            </w:r>
          </w:p>
        </w:tc>
      </w:tr>
      <w:tr>
        <w:trPr>
          <w:trHeight w:val="170"/>
        </w:trPr>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of 21 CFR</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312.21(b), or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its</w:t>
            </w:r>
          </w:p>
        </w:tc>
        <w:tc>
          <w:tcPr>
            <w:tcW w:w="282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w w:val="99"/>
              </w:rPr>
              <w:t>foreign equivalent.</w:t>
            </w:r>
          </w:p>
        </w:tc>
        <w:tc>
          <w:tcPr>
            <w:tcW w:w="1180" w:type="dxa"/>
            <w:vAlign w:val="bottom"/>
          </w:tcPr>
          <w:p>
            <w:pPr>
              <w:spacing w:after="0"/>
              <w:rPr>
                <w:sz w:val="14"/>
                <w:szCs w:val="14"/>
                <w:color w:val="auto"/>
              </w:rPr>
            </w:pPr>
          </w:p>
        </w:tc>
      </w:tr>
    </w:tbl>
    <w:p>
      <w:pPr>
        <w:spacing w:after="0" w:line="175" w:lineRule="exact"/>
        <w:rPr>
          <w:sz w:val="20"/>
          <w:szCs w:val="20"/>
          <w:color w:val="auto"/>
        </w:rPr>
      </w:pPr>
    </w:p>
    <w:p>
      <w:pPr>
        <w:ind w:left="600" w:right="325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1.24</w:t>
        <w:tab/>
        <w:t>"Phase III Clinical Trial" shall mean a pivotal human clinical trial in any country the results of which could be used to establish safety and efficacy of a product as a basis for a marketing approval application submitted to FDA, or that would otherwise satisfy the requirements of 21 CFR 312.21(c), or its foreign equivalent.</w:t>
      </w:r>
    </w:p>
    <w:p>
      <w:pPr>
        <w:spacing w:after="0" w:line="178" w:lineRule="exact"/>
        <w:rPr>
          <w:sz w:val="20"/>
          <w:szCs w:val="20"/>
          <w:color w:val="auto"/>
        </w:rPr>
      </w:pPr>
    </w:p>
    <w:p>
      <w:pPr>
        <w:ind w:left="600" w:right="335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1.25</w:t>
        <w:tab/>
        <w:t>"Product" shall mean any product or method utilizing Cells or Cell Technology and the manufacture, use, or sale of which, but for the license granted to SCI hereunder, would infringe any valid claim of the Patent Rights or of any Cell Technology.</w:t>
      </w:r>
    </w:p>
    <w:p>
      <w:pPr>
        <w:spacing w:after="0" w:line="176" w:lineRule="exact"/>
        <w:rPr>
          <w:sz w:val="20"/>
          <w:szCs w:val="20"/>
          <w:color w:val="auto"/>
        </w:rPr>
      </w:pPr>
    </w:p>
    <w:p>
      <w:pPr>
        <w:ind w:left="600" w:right="3259" w:hanging="616"/>
        <w:spacing w:after="0" w:line="265" w:lineRule="auto"/>
        <w:tabs>
          <w:tab w:leader="none" w:pos="58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"Progenitor Cell" shall mean an undifferentiated Cell capable of limited proliferation and the production of differentiated functional progeny.</w:t>
      </w:r>
    </w:p>
    <w:p>
      <w:pPr>
        <w:spacing w:after="0" w:line="158" w:lineRule="exact"/>
        <w:rPr>
          <w:sz w:val="20"/>
          <w:szCs w:val="20"/>
          <w:color w:val="auto"/>
        </w:rPr>
      </w:pPr>
    </w:p>
    <w:p>
      <w:pPr>
        <w:ind w:left="600" w:right="39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1.27</w:t>
        <w:tab/>
        <w:t>"Sale" or "Sell" shall mean any sale, lease or other commercial disposition of the Product in an arms-length transaction with an unaffiliated third party.</w:t>
      </w:r>
    </w:p>
    <w:p>
      <w:pPr>
        <w:spacing w:after="0" w:line="175" w:lineRule="exact"/>
        <w:rPr>
          <w:sz w:val="20"/>
          <w:szCs w:val="20"/>
          <w:color w:val="auto"/>
        </w:rPr>
      </w:pPr>
    </w:p>
    <w:p>
      <w:pPr>
        <w:ind w:left="600" w:right="31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1.28</w:t>
        <w:tab/>
        <w:t>"Services" shall mean any use of Cells or Cell Technology to perform a service for a third party for compensation, where such use would, but for the license granted to SCI hereunder, infringe any valid claim of the Patent Rights.</w:t>
      </w:r>
    </w:p>
    <w:p>
      <w:pPr>
        <w:spacing w:after="0" w:line="176" w:lineRule="exact"/>
        <w:rPr>
          <w:sz w:val="20"/>
          <w:szCs w:val="20"/>
          <w:color w:val="auto"/>
        </w:rPr>
      </w:pPr>
    </w:p>
    <w:p>
      <w:pPr>
        <w:ind w:left="600" w:right="3179" w:hanging="616"/>
        <w:spacing w:after="0" w:line="237" w:lineRule="auto"/>
        <w:tabs>
          <w:tab w:leader="none" w:pos="580" w:val="left"/>
        </w:tabs>
        <w:rPr>
          <w:sz w:val="20"/>
          <w:szCs w:val="20"/>
          <w:color w:val="auto"/>
        </w:rPr>
      </w:pPr>
      <w:r>
        <w:rPr>
          <w:rFonts w:ascii="Courier New" w:cs="Courier New" w:eastAsia="Courier New" w:hAnsi="Courier New"/>
          <w:sz w:val="15"/>
          <w:szCs w:val="15"/>
          <w:color w:val="auto"/>
        </w:rPr>
        <w:t>1.29</w:t>
        <w:tab/>
        <w:t>"Stem Cell" shall mean an undifferentiated Cell capable of proliferation, self maintenance and the production of a large number of differentiated functional progeny.</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"Transplantation" shall mean ***** .</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7" w:right="1440" w:bottom="1440" w:gutter="0" w:footer="0" w:header="0"/>
        </w:sectPr>
      </w:pPr>
    </w:p>
    <w:bookmarkStart w:id="73" w:name="page74"/>
    <w:bookmarkEnd w:id="73"/>
    <w:p>
      <w:pPr>
        <w:ind w:left="10"/>
        <w:spacing w:after="0"/>
        <w:tabs>
          <w:tab w:leader="none" w:pos="589"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"NL Licensed Technology" shall mean ***** .</w:t>
      </w:r>
    </w:p>
    <w:p>
      <w:pPr>
        <w:spacing w:after="0" w:line="344" w:lineRule="exact"/>
        <w:rPr>
          <w:sz w:val="20"/>
          <w:szCs w:val="20"/>
          <w:color w:val="auto"/>
        </w:rPr>
      </w:pPr>
    </w:p>
    <w:p>
      <w:pPr>
        <w:jc w:val="both"/>
        <w:ind w:left="10" w:right="8119" w:hanging="10"/>
        <w:spacing w:after="0" w:line="513" w:lineRule="auto"/>
        <w:tabs>
          <w:tab w:leader="none" w:pos="62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AGREEMENT 2.01 EXCLUSIVE LICENSE</w:t>
      </w: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NS hereby grants to SCI ***** .</w:t>
      </w:r>
    </w:p>
    <w:p>
      <w:pPr>
        <w:spacing w:after="0" w:line="169"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2.02   NOTICE OF SUBLICENSEE</w:t>
      </w:r>
    </w:p>
    <w:p>
      <w:pPr>
        <w:spacing w:after="0" w:line="175" w:lineRule="exact"/>
        <w:rPr>
          <w:sz w:val="20"/>
          <w:szCs w:val="20"/>
          <w:color w:val="auto"/>
        </w:rPr>
      </w:pPr>
    </w:p>
    <w:p>
      <w:pPr>
        <w:ind w:left="610" w:right="3179"/>
        <w:spacing w:after="0" w:line="257" w:lineRule="auto"/>
        <w:rPr>
          <w:sz w:val="20"/>
          <w:szCs w:val="20"/>
          <w:color w:val="auto"/>
        </w:rPr>
      </w:pPr>
      <w:r>
        <w:rPr>
          <w:rFonts w:ascii="Courier New" w:cs="Courier New" w:eastAsia="Courier New" w:hAnsi="Courier New"/>
          <w:sz w:val="14"/>
          <w:szCs w:val="14"/>
          <w:color w:val="auto"/>
        </w:rPr>
        <w:t>SCI shall notify NS in writing within thirty (30) days of the grant by SCI to a SCI Sublicensee of any of its rights hereunder. Such notice shall include a summary of the terms of the sublicense and verbatim copies of all clauses necessary for NS to determine and enforce SCI's financial obligations to NS pursuant to Section 3.12 hereof with respect to such grant of rights. If a serious question should arise as to the accuracy or adequacy of such notice, a full copy of such grant shall be provided by SCI to counsel for NS, PROVIDED, HOWEVER, that (1) only counsel, and not any individuals otherwise associated with NS, shall have access to the copy so provided unless necessary for NS to enforce the obligations of SCI in relation to such sublicense; (2) any text disclosing the confidential information of the grantee shall first have been deleted; and (3) the copy shall not be further reproduced, except as may be required by law, and shall be destroyed after the question has been resolved. All disclosures pursuant to this Section, unless otherwise publicly disclosed by SCI, shall be Confidential Information.</w:t>
      </w:r>
    </w:p>
    <w:p>
      <w:pPr>
        <w:spacing w:after="0" w:line="15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RIGHTS LIMITED TO THOSE EXPRESSED</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The rights granted to SCI and NS hereunder shall be limited to the rights expressly stated to be granted hereunder and no additional rights or licenses are implied. For greater certainty, the Parties agree that any payments contemplated under this Agreement (such as, for example, Royalties, milestone payments, sublicensing fees, etc.) shall be paid by SCI to NS on any uses of the New Patent Rights or New Cell Technology on the basis provided in this Agreement.</w:t>
      </w:r>
    </w:p>
    <w:p>
      <w:pPr>
        <w:spacing w:after="0" w:line="346" w:lineRule="exact"/>
        <w:rPr>
          <w:sz w:val="20"/>
          <w:szCs w:val="20"/>
          <w:color w:val="auto"/>
        </w:rPr>
      </w:pPr>
    </w:p>
    <w:p>
      <w:pPr>
        <w:ind w:left="10" w:right="8819" w:hanging="10"/>
        <w:spacing w:after="0" w:line="471" w:lineRule="auto"/>
        <w:tabs>
          <w:tab w:leader="none" w:pos="62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3.01 ROYALTIES</w:t>
      </w:r>
    </w:p>
    <w:p>
      <w:pPr>
        <w:spacing w:after="0" w:line="11" w:lineRule="exact"/>
        <w:rPr>
          <w:rFonts w:ascii="Courier New" w:cs="Courier New" w:eastAsia="Courier New" w:hAnsi="Courier New"/>
          <w:sz w:val="15"/>
          <w:szCs w:val="15"/>
          <w:color w:val="auto"/>
        </w:rPr>
      </w:pPr>
    </w:p>
    <w:p>
      <w:pPr>
        <w:ind w:left="1050" w:right="3179" w:hanging="433"/>
        <w:spacing w:after="0" w:line="238" w:lineRule="auto"/>
        <w:tabs>
          <w:tab w:leader="none" w:pos="105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shall pay to NS a ***** royalty on any and all Net Sales made, directly or indirectly, by any of SCI and/or any SCI Affiliates, regardless of where the Sales are made, and regardless of the number of valid claims, if any, within Patent Rights that are applicable to the NL Licensed Technology. Any Affiliate shall be obligated to make royalty payments to NS to the extent SCI does not do so; SCI, however, remains primarily liable to NS for the payment of all royalties including royalties which may be paid by any Affiliate or Sublicensee hereunder. SCI</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791" w:right="1440" w:bottom="1440" w:gutter="0" w:footer="0" w:header="0"/>
        </w:sectPr>
      </w:pPr>
    </w:p>
    <w:bookmarkStart w:id="74" w:name="page75"/>
    <w:bookmarkEnd w:id="74"/>
    <w:p>
      <w:pPr>
        <w:ind w:left="1040" w:right="3179"/>
        <w:spacing w:after="0" w:line="238" w:lineRule="auto"/>
        <w:rPr>
          <w:sz w:val="20"/>
          <w:szCs w:val="20"/>
          <w:color w:val="auto"/>
        </w:rPr>
      </w:pPr>
      <w:r>
        <w:rPr>
          <w:rFonts w:ascii="Courier New" w:cs="Courier New" w:eastAsia="Courier New" w:hAnsi="Courier New"/>
          <w:sz w:val="15"/>
          <w:szCs w:val="15"/>
          <w:color w:val="auto"/>
        </w:rPr>
        <w:t>shall pay to NS a royalty on any and all Net Sales made, directly or indirectly, by any of SCI Sublicensees, regardless of where the Sales are made, and regardless of the number of valid claims (provided there is at least one valid issued claim) within Patent Rights that are applicable to the NL Licensed Technology for the term, on a country by country basis, as set out in Section 10.02. The form of royalties payable by any Sublicensee is set out in Section 3.12.</w:t>
      </w:r>
    </w:p>
    <w:p>
      <w:pPr>
        <w:spacing w:after="0" w:line="178" w:lineRule="exact"/>
        <w:rPr>
          <w:sz w:val="20"/>
          <w:szCs w:val="20"/>
          <w:color w:val="auto"/>
        </w:rPr>
      </w:pPr>
    </w:p>
    <w:p>
      <w:pPr>
        <w:ind w:left="1040" w:right="3259" w:hanging="433"/>
        <w:spacing w:after="0" w:line="238" w:lineRule="auto"/>
        <w:tabs>
          <w:tab w:leader="none" w:pos="10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shall also pay to NS a ***** royalty on any and all Net Sales made, directly or indirectly, by SCI or StemCells California, Inc., an SCI subsidiary, on any product (a "Screening Product") owned or controlled by SCI or StemCells California, Inc., and which is discovered or validated by SCI or StemCells California, Inc. directly through the use of in house Drug Screening Services, or of any amounts received by SCI or StemCells California from a third party on account of such a Screening Product. For purposes of this Section 3.01(b) only, Screening Products are hereby deemed to be Products solely for purposes of calculating the royalty due hereunder.</w:t>
      </w:r>
    </w:p>
    <w:p>
      <w:pPr>
        <w:spacing w:after="0" w:line="181" w:lineRule="exact"/>
        <w:rPr>
          <w:sz w:val="20"/>
          <w:szCs w:val="20"/>
          <w:color w:val="auto"/>
        </w:rPr>
      </w:pPr>
    </w:p>
    <w:p>
      <w:pPr>
        <w:ind w:left="600" w:right="3179"/>
        <w:spacing w:after="0" w:line="235" w:lineRule="auto"/>
        <w:rPr>
          <w:sz w:val="20"/>
          <w:szCs w:val="20"/>
          <w:color w:val="auto"/>
        </w:rPr>
      </w:pPr>
      <w:r>
        <w:rPr>
          <w:rFonts w:ascii="Courier New" w:cs="Courier New" w:eastAsia="Courier New" w:hAnsi="Courier New"/>
          <w:sz w:val="15"/>
          <w:szCs w:val="15"/>
          <w:color w:val="auto"/>
        </w:rPr>
        <w:t>All royalties payable under this Section 3.01 are hereinafter referred to collectively as "Royalties".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COMBINATION PRODUCTS</w:t>
      </w:r>
    </w:p>
    <w:p>
      <w:pPr>
        <w:spacing w:after="0" w:line="175" w:lineRule="exact"/>
        <w:rPr>
          <w:sz w:val="20"/>
          <w:szCs w:val="20"/>
          <w:color w:val="auto"/>
        </w:rPr>
      </w:pPr>
    </w:p>
    <w:p>
      <w:pPr>
        <w:ind w:left="600" w:right="3259"/>
        <w:spacing w:after="0" w:line="257" w:lineRule="auto"/>
        <w:rPr>
          <w:sz w:val="20"/>
          <w:szCs w:val="20"/>
          <w:color w:val="auto"/>
        </w:rPr>
      </w:pPr>
      <w:r>
        <w:rPr>
          <w:rFonts w:ascii="Courier New" w:cs="Courier New" w:eastAsia="Courier New" w:hAnsi="Courier New"/>
          <w:sz w:val="14"/>
          <w:szCs w:val="14"/>
          <w:color w:val="auto"/>
        </w:rPr>
        <w:t>In the event a royalty under Section 3.01 is due on Sales of a Product which is in the form of a combination product containing one or more active ingredients that are not themselves Products (a "Combination Product"), the Net Sales of the Combination Product shall be adjusted by multiplying the Net Sales of the Combination Product calculated in accordance with Section 1.16 hereof by a fraction A/(A+B) where A is the fair market value of the Combination Product without the other active ingredients, and B is the fair market value of a product containing only the other active ingredients. The Net Sales as so adjusted shall be the basis for calculating any Royalty payable on a Combination Product, provided that the effect of such an adjustment to Net Sales shall be limited such that it cannot reduce the Royalty rate on a Combination Product to less than ***** of Net Sales of such Combination Product.</w:t>
      </w:r>
    </w:p>
    <w:p>
      <w:pPr>
        <w:spacing w:after="0" w:line="165" w:lineRule="exact"/>
        <w:rPr>
          <w:sz w:val="20"/>
          <w:szCs w:val="20"/>
          <w:color w:val="auto"/>
        </w:rPr>
      </w:pPr>
    </w:p>
    <w:p>
      <w:pPr>
        <w:ind w:left="600" w:right="3259"/>
        <w:spacing w:after="0" w:line="258" w:lineRule="auto"/>
        <w:rPr>
          <w:sz w:val="20"/>
          <w:szCs w:val="20"/>
          <w:color w:val="auto"/>
        </w:rPr>
      </w:pPr>
      <w:r>
        <w:rPr>
          <w:rFonts w:ascii="Courier New" w:cs="Courier New" w:eastAsia="Courier New" w:hAnsi="Courier New"/>
          <w:sz w:val="14"/>
          <w:szCs w:val="14"/>
          <w:color w:val="auto"/>
        </w:rPr>
        <w:t>If a Product or Service is based, in part, on rights licensed under the 1997 License Agreement, and, in part, under rights licensed under this Agreement, then the royalty on such Product or Service shall be ***** on any and all Net Sales of such Product or Service made, directly or indirectly, by any of SCI, any SCI Affiliates and/or by any SCI Sublicensee and the provisions of the above paragraph shall not apply.</w:t>
      </w:r>
    </w:p>
    <w:p>
      <w:pPr>
        <w:spacing w:after="0" w:line="15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4"/>
          <w:szCs w:val="14"/>
          <w:color w:val="auto"/>
        </w:rPr>
        <w:t>REPORTS AND PAYMENTS</w:t>
      </w:r>
    </w:p>
    <w:p>
      <w:pPr>
        <w:spacing w:after="0" w:line="175"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Beginning with the calendar quarter commencing on the Effective Date, SCI shall deliver to NS within sixty (60) days after the end of each such calendar quarter, a written report showing all Royalties due under this Agreement. Each report shall include the rates of</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75" w:name="page76"/>
    <w:bookmarkEnd w:id="75"/>
    <w:p>
      <w:pPr>
        <w:ind w:left="600" w:right="3179"/>
        <w:spacing w:after="0" w:line="257" w:lineRule="auto"/>
        <w:rPr>
          <w:sz w:val="20"/>
          <w:szCs w:val="20"/>
          <w:color w:val="auto"/>
        </w:rPr>
      </w:pPr>
      <w:r>
        <w:rPr>
          <w:rFonts w:ascii="Courier New" w:cs="Courier New" w:eastAsia="Courier New" w:hAnsi="Courier New"/>
          <w:sz w:val="14"/>
          <w:szCs w:val="14"/>
          <w:color w:val="auto"/>
        </w:rPr>
        <w:t>exchange used to convert such Royalties to U.S. Dollars from the currency in which Net Sales were made. Each report shall also identify the amount of Royalties attributable to Sales or the performance of Services. For the purposes hereof, the rates of exchange to be used for converting Royalties hereunder to U.S. Dollars shall be those in effect for the purchase of U.S. dollars at New York, New York at the exchange rate quoted in the Wall Street Journal on the day five (5) business days prior to the date on which payment in U.S. Dollars of all Royalties shown to be due thereon, except as provided in Section 3.04. Royalties on Net Sales earned by SCI, its Affiliates or SCI Sublicensees in Canadian dollars in Canada may be paid to NS in Canadian dollars without requirement of first converting to U.S. Dollars.</w:t>
      </w:r>
    </w:p>
    <w:p>
      <w:pPr>
        <w:spacing w:after="0" w:line="33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In addition, where the royalties for a specific Product or Service is based on in situ modification and manipulation of CNS stem cells as claimed in under any of the following patent applications then SCI shall specifically advise NS in writing of the amount of royalties based on any of these patent applications. The patent applications to which this paragraph applies are ***** .</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3.04</w:t>
      </w:r>
      <w:r>
        <w:rPr>
          <w:sz w:val="20"/>
          <w:szCs w:val="20"/>
          <w:color w:val="auto"/>
        </w:rPr>
        <w:tab/>
      </w:r>
      <w:r>
        <w:rPr>
          <w:rFonts w:ascii="Courier New" w:cs="Courier New" w:eastAsia="Courier New" w:hAnsi="Courier New"/>
          <w:sz w:val="14"/>
          <w:szCs w:val="14"/>
          <w:color w:val="auto"/>
        </w:rPr>
        <w:t>FOREIGN ROYALTIES</w:t>
      </w:r>
    </w:p>
    <w:p>
      <w:pPr>
        <w:spacing w:after="0" w:line="175" w:lineRule="exact"/>
        <w:rPr>
          <w:sz w:val="20"/>
          <w:szCs w:val="20"/>
          <w:color w:val="auto"/>
        </w:rPr>
      </w:pPr>
    </w:p>
    <w:p>
      <w:pPr>
        <w:ind w:left="600" w:right="3259"/>
        <w:spacing w:after="0" w:line="238" w:lineRule="auto"/>
        <w:rPr>
          <w:sz w:val="20"/>
          <w:szCs w:val="20"/>
          <w:color w:val="auto"/>
        </w:rPr>
      </w:pPr>
      <w:r>
        <w:rPr>
          <w:rFonts w:ascii="Courier New" w:cs="Courier New" w:eastAsia="Courier New" w:hAnsi="Courier New"/>
          <w:sz w:val="15"/>
          <w:szCs w:val="15"/>
          <w:color w:val="auto"/>
        </w:rPr>
        <w:t>Where Royalties are due hereunder for Net Sales completed in a country where, by reason of currency regulations or taxes of any kind, it is illegal for the paying party to transfer Royalty payments out of such country for Net Sales in that country, such Royalties shall be deposited in a currency that is permitted for the Person not able to make the transfer for the benefit or credit of the party entitled to receive such payments.</w:t>
      </w:r>
    </w:p>
    <w:p>
      <w:pPr>
        <w:spacing w:after="0" w:line="17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4"/>
          <w:szCs w:val="14"/>
          <w:color w:val="auto"/>
        </w:rPr>
        <w:t>WITHHOLDING TAXES</w:t>
      </w:r>
    </w:p>
    <w:p>
      <w:pPr>
        <w:spacing w:after="0" w:line="17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If a party is required to withhold tax on Royalties payable to the other party hereunder, such taxes shall be deducted, provided that the receiving party shall be furnished at the time of deduction with suitable documentation for obtaining credits to which the receiving party may be entitled as a result of such withholding on the income taxes of the receiving party.</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3.06</w:t>
      </w:r>
      <w:r>
        <w:rPr>
          <w:sz w:val="20"/>
          <w:szCs w:val="20"/>
          <w:color w:val="auto"/>
        </w:rPr>
        <w:tab/>
      </w:r>
      <w:r>
        <w:rPr>
          <w:rFonts w:ascii="Courier New" w:cs="Courier New" w:eastAsia="Courier New" w:hAnsi="Courier New"/>
          <w:sz w:val="14"/>
          <w:szCs w:val="14"/>
          <w:color w:val="auto"/>
        </w:rPr>
        <w:t>RECORDS</w:t>
      </w:r>
    </w:p>
    <w:p>
      <w:pPr>
        <w:spacing w:after="0" w:line="17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Each party shall keep, and shall require all Affiliates and its Sublicensee(s) to keep, full, true and accurate books of accounts and other records containing all information and data which may be necessary to ascertain and verify all Royalties payable hereunder. During the term of this Agreement and for a period of ***** following its termination, the receiving party shall have the right from time to time (not to exceed twice during each calendar year), to have an accountant or other nonaffiliated (with the receiving party) representative inspect, at the receiving party's expense, on a confidential basis, the books, records and supporting data of the paying party. If such inspection shall reveal that the paying party has not accurately reported and paid Royalties due to the receiving party, then the paying party shall pay to the receiving party any shortfall in royalties payable plus interest thereon at the prime rate of the Royal Bank of Canada Calgary Branch 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7" w:right="1440" w:bottom="1440" w:gutter="0" w:footer="0" w:header="0"/>
        </w:sectPr>
      </w:pPr>
    </w:p>
    <w:bookmarkStart w:id="76" w:name="page77"/>
    <w:bookmarkEnd w:id="76"/>
    <w:p>
      <w:pPr>
        <w:ind w:left="600" w:right="3179"/>
        <w:spacing w:after="0" w:line="257" w:lineRule="auto"/>
        <w:rPr>
          <w:sz w:val="20"/>
          <w:szCs w:val="20"/>
          <w:color w:val="auto"/>
        </w:rPr>
      </w:pPr>
      <w:r>
        <w:rPr>
          <w:rFonts w:ascii="Courier New" w:cs="Courier New" w:eastAsia="Courier New" w:hAnsi="Courier New"/>
          <w:sz w:val="14"/>
          <w:szCs w:val="14"/>
          <w:color w:val="auto"/>
        </w:rPr>
        <w:t>effect in the last day of the calendar year for which such royalties were due, plus *****, or if the paying party has overpaid royalties, the receiving party shall promptly refund the excess. If a shortfall greater than ***** of the royalties payable in any year should be found to be due, SCI shall pay the reasonable costs of the audit or inspection. Unless challenged within ***** after a statement is rendered, Royalties calculated for the calendar quarter covered by such statement shall be conclusively presumed to be correct. Upon request by the receiving party no more than once each calendar year, the paying party shall cause to be performed an audit of the books, records and supporting data of each Affiliate or its Sublicensee(s), unless the paying party shall have had an audit of such Affiliate or its Sublicensee(s) performed within the preceding 3 month period, in which case the paying party shall share the relevant results of such audit with the receiving party without charge to the receiving party. The reasonable costs of such requested audit shall be borne by the receiving party unless such audit reveals that the paying party, its Affiliate or its Sublicensee(s) has under reported Net Sales by more than 10%.</w:t>
      </w:r>
    </w:p>
    <w:p>
      <w:pPr>
        <w:spacing w:after="0" w:line="32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3.07</w:t>
      </w:r>
      <w:r>
        <w:rPr>
          <w:sz w:val="20"/>
          <w:szCs w:val="20"/>
          <w:color w:val="auto"/>
        </w:rPr>
        <w:tab/>
      </w:r>
      <w:r>
        <w:rPr>
          <w:rFonts w:ascii="Courier New" w:cs="Courier New" w:eastAsia="Courier New" w:hAnsi="Courier New"/>
          <w:sz w:val="14"/>
          <w:szCs w:val="14"/>
          <w:color w:val="auto"/>
        </w:rPr>
        <w:t>NO MULTIPLE ROYALTIES</w:t>
      </w:r>
    </w:p>
    <w:p>
      <w:pPr>
        <w:spacing w:after="0" w:line="175" w:lineRule="exact"/>
        <w:rPr>
          <w:sz w:val="20"/>
          <w:szCs w:val="20"/>
          <w:color w:val="auto"/>
        </w:rPr>
      </w:pPr>
    </w:p>
    <w:p>
      <w:pPr>
        <w:ind w:left="600" w:right="3359"/>
        <w:spacing w:after="0" w:line="260" w:lineRule="auto"/>
        <w:rPr>
          <w:sz w:val="20"/>
          <w:szCs w:val="20"/>
          <w:color w:val="auto"/>
        </w:rPr>
      </w:pPr>
      <w:r>
        <w:rPr>
          <w:rFonts w:ascii="Courier New" w:cs="Courier New" w:eastAsia="Courier New" w:hAnsi="Courier New"/>
          <w:sz w:val="14"/>
          <w:szCs w:val="14"/>
          <w:color w:val="auto"/>
        </w:rPr>
        <w:t>No multiple Royalties shall be payable because any Product, its manufacture, use or sale or any Service are or shall be covered by more than one patent or invention or otherwise licensed to SCI hereunder.</w:t>
      </w:r>
    </w:p>
    <w:p>
      <w:pPr>
        <w:spacing w:after="0" w:line="15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3.08</w:t>
      </w:r>
      <w:r>
        <w:rPr>
          <w:sz w:val="20"/>
          <w:szCs w:val="20"/>
          <w:color w:val="auto"/>
        </w:rPr>
        <w:tab/>
      </w:r>
      <w:r>
        <w:rPr>
          <w:rFonts w:ascii="Courier New" w:cs="Courier New" w:eastAsia="Courier New" w:hAnsi="Courier New"/>
          <w:sz w:val="14"/>
          <w:szCs w:val="14"/>
          <w:color w:val="auto"/>
        </w:rPr>
        <w:t>ANNUAL PAYMENTS</w:t>
      </w:r>
    </w:p>
    <w:p>
      <w:pPr>
        <w:spacing w:after="0" w:line="17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SCI shall make annual payments to NS ***** during the term hereof (the "Annual Payments"), beginning with the first of the following years: (i) the first full year of commercial sales of any licensed Product are made, and (ii) the year 2004. Each Annual Payment due hereunder shall be payable on or before the last day of the year for which it is due. The Annual Payment in this section 3.08 shall be fully creditable on an accumulated basis against any royalty income due to NS under section 3.01 or 3.02. Annual Payments are not refundable.</w:t>
      </w:r>
    </w:p>
    <w:p>
      <w:pPr>
        <w:spacing w:after="0" w:line="17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3.09</w:t>
      </w:r>
      <w:r>
        <w:rPr>
          <w:sz w:val="20"/>
          <w:szCs w:val="20"/>
          <w:color w:val="auto"/>
        </w:rPr>
        <w:tab/>
      </w:r>
      <w:r>
        <w:rPr>
          <w:rFonts w:ascii="Courier New" w:cs="Courier New" w:eastAsia="Courier New" w:hAnsi="Courier New"/>
          <w:sz w:val="14"/>
          <w:szCs w:val="14"/>
          <w:color w:val="auto"/>
        </w:rPr>
        <w:t>SCREENING SERVICES FEE</w:t>
      </w:r>
    </w:p>
    <w:p>
      <w:pPr>
        <w:spacing w:after="0" w:line="175" w:lineRule="exact"/>
        <w:rPr>
          <w:sz w:val="20"/>
          <w:szCs w:val="20"/>
          <w:color w:val="auto"/>
        </w:rPr>
      </w:pPr>
    </w:p>
    <w:p>
      <w:pPr>
        <w:ind w:left="600" w:right="3179"/>
        <w:spacing w:after="0" w:line="256" w:lineRule="auto"/>
        <w:rPr>
          <w:sz w:val="20"/>
          <w:szCs w:val="20"/>
          <w:color w:val="auto"/>
        </w:rPr>
      </w:pPr>
      <w:r>
        <w:rPr>
          <w:rFonts w:ascii="Courier New" w:cs="Courier New" w:eastAsia="Courier New" w:hAnsi="Courier New"/>
          <w:sz w:val="14"/>
          <w:szCs w:val="14"/>
          <w:color w:val="auto"/>
        </w:rPr>
        <w:t>It is hereby acknowledged that under the license granted in Section 2.01, SCI and StemCells California, Inc. have the right to perform, amongst other services, in house drug-screening services (i.e., screening of drug candidates whether proteins or small molecules) for third parties using one or more techniques which are claimed in Patent Rights ("Drug Screening Services"). SCI shall be obligated to pay an annual fee to NS</w:t>
      </w:r>
    </w:p>
    <w:p>
      <w:pPr>
        <w:spacing w:after="0" w:line="2" w:lineRule="exact"/>
        <w:rPr>
          <w:sz w:val="20"/>
          <w:szCs w:val="20"/>
          <w:color w:val="auto"/>
        </w:rPr>
      </w:pPr>
    </w:p>
    <w:p>
      <w:pPr>
        <w:ind w:left="600" w:right="3179" w:firstLine="7"/>
        <w:spacing w:after="0" w:line="238" w:lineRule="auto"/>
        <w:tabs>
          <w:tab w:leader="none" w:pos="112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year or portion thereof during the term hereof in which either SCI or StemCells California, Inc. performs directly or indirectly Drug Screening Services for third parties (the "Screening Payment"). Each Screening Payment due hereunder shall be payable on or before the last day of the year for which it is due. The Screening Payment is creditable against Royalties payable under Section 3.01(b) of this Agreement and is otherwise not refundable.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7" w:right="1440" w:bottom="1440" w:gutter="0" w:footer="0" w:header="0"/>
        </w:sectPr>
      </w:pPr>
    </w:p>
    <w:bookmarkStart w:id="77" w:name="page78"/>
    <w:bookmarkEnd w:id="77"/>
    <w:p>
      <w:pPr>
        <w:spacing w:after="0"/>
        <w:tabs>
          <w:tab w:leader="none" w:pos="58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4"/>
          <w:szCs w:val="14"/>
          <w:color w:val="auto"/>
        </w:rPr>
        <w:t>UPFRONT PAYMENTS</w:t>
      </w:r>
    </w:p>
    <w:p>
      <w:pPr>
        <w:spacing w:after="0" w:line="169" w:lineRule="exact"/>
        <w:rPr>
          <w:sz w:val="20"/>
          <w:szCs w:val="20"/>
          <w:color w:val="auto"/>
        </w:rPr>
      </w:pPr>
    </w:p>
    <w:p>
      <w:pPr>
        <w:ind w:left="1040" w:hanging="433"/>
        <w:spacing w:after="0"/>
        <w:tabs>
          <w:tab w:leader="none" w:pos="10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shall, within ninety (90) days of the date hereof, pay to NS</w:t>
      </w:r>
    </w:p>
    <w:p>
      <w:pPr>
        <w:ind w:left="1580" w:hanging="532"/>
        <w:spacing w:after="0"/>
        <w:tabs>
          <w:tab w:leader="none" w:pos="158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non-creditable, non-refundable fee.</w:t>
      </w:r>
    </w:p>
    <w:p>
      <w:pPr>
        <w:spacing w:after="0" w:line="168" w:lineRule="exact"/>
        <w:rPr>
          <w:rFonts w:ascii="Courier New" w:cs="Courier New" w:eastAsia="Courier New" w:hAnsi="Courier New"/>
          <w:sz w:val="15"/>
          <w:szCs w:val="15"/>
          <w:color w:val="auto"/>
        </w:rPr>
      </w:pPr>
    </w:p>
    <w:p>
      <w:pPr>
        <w:ind w:left="1040" w:hanging="433"/>
        <w:spacing w:after="0"/>
        <w:tabs>
          <w:tab w:leader="none" w:pos="10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shall, on the execution date of this Agreement, issue to NS</w:t>
      </w:r>
    </w:p>
    <w:p>
      <w:pPr>
        <w:spacing w:after="0" w:line="5" w:lineRule="exact"/>
        <w:rPr>
          <w:rFonts w:ascii="Courier New" w:cs="Courier New" w:eastAsia="Courier New" w:hAnsi="Courier New"/>
          <w:sz w:val="15"/>
          <w:szCs w:val="15"/>
          <w:color w:val="auto"/>
        </w:rPr>
      </w:pPr>
    </w:p>
    <w:p>
      <w:pPr>
        <w:ind w:left="1040" w:right="3359" w:firstLine="8"/>
        <w:spacing w:after="0" w:line="256" w:lineRule="auto"/>
        <w:tabs>
          <w:tab w:leader="none" w:pos="156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(the "Shares") of SCI's common stock, $.01 par value per share (the "Common Stock"). Upon issuance, the Shares shall be duly authorized, validly issued, fully-paid and non-assessable.</w:t>
      </w:r>
    </w:p>
    <w:p>
      <w:pPr>
        <w:ind w:left="104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Within forty-five (45) days of the execution date of this Agreement, SCI shall file a registration statement with the Securities and Exchange Commission in respect of the resale of the Shares, provided that, SCI shall include the Shares in any registration statement pertaining to the sale of shares of the Common Stock of SCI filed by SCI before the expiration of such forty-five (45) day period. SCI agrees that it shall keep current and effective any registration statement which relates to the sale of Shares until such time as all of the Shares have been sold by NS or two years from the date hereof, whichever is earlier. If SCI is filing another registration statement after this two year period then, at the option of NS, it shall add the NS Shares, if any, in such statement. NS shall advise SCI in writing when NS no longer holds any of the Shares.</w:t>
      </w:r>
    </w:p>
    <w:p>
      <w:pPr>
        <w:spacing w:after="0" w:line="165" w:lineRule="exact"/>
        <w:rPr>
          <w:sz w:val="20"/>
          <w:szCs w:val="20"/>
          <w:color w:val="auto"/>
        </w:rPr>
      </w:pPr>
    </w:p>
    <w:p>
      <w:pPr>
        <w:ind w:left="600" w:right="3799"/>
        <w:spacing w:after="0" w:line="265" w:lineRule="auto"/>
        <w:rPr>
          <w:sz w:val="20"/>
          <w:szCs w:val="20"/>
          <w:color w:val="auto"/>
        </w:rPr>
      </w:pPr>
      <w:r>
        <w:rPr>
          <w:rFonts w:ascii="Courier New" w:cs="Courier New" w:eastAsia="Courier New" w:hAnsi="Courier New"/>
          <w:sz w:val="14"/>
          <w:szCs w:val="14"/>
          <w:color w:val="auto"/>
        </w:rPr>
        <w:t>The Upfront payments in this section 3.10 shall be non-cancelable, non-refundable and non-creditable against earned royalties.</w:t>
      </w:r>
    </w:p>
    <w:p>
      <w:pPr>
        <w:spacing w:after="0" w:line="15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MILESTONE PAYMENTS</w:t>
      </w:r>
    </w:p>
    <w:p>
      <w:pPr>
        <w:spacing w:after="0" w:line="175" w:lineRule="exact"/>
        <w:rPr>
          <w:sz w:val="20"/>
          <w:szCs w:val="20"/>
          <w:color w:val="auto"/>
        </w:rPr>
      </w:pPr>
    </w:p>
    <w:p>
      <w:pPr>
        <w:ind w:left="600" w:right="3259"/>
        <w:spacing w:after="0" w:line="237" w:lineRule="auto"/>
        <w:rPr>
          <w:sz w:val="20"/>
          <w:szCs w:val="20"/>
          <w:color w:val="auto"/>
        </w:rPr>
      </w:pPr>
      <w:r>
        <w:rPr>
          <w:rFonts w:ascii="Courier New" w:cs="Courier New" w:eastAsia="Courier New" w:hAnsi="Courier New"/>
          <w:sz w:val="15"/>
          <w:szCs w:val="15"/>
          <w:color w:val="auto"/>
        </w:rPr>
        <w:t>Within thirty (30) days following the achievement of each of the following milestones with respect to each Product developed by SCI or an Affiliate on a Product by Product basis, SCI shall give written notice thereof to NS and shall pay to NS the corresponding milestone payments described below. All amounts are in U.S. Dollars.</w:t>
      </w:r>
    </w:p>
    <w:p>
      <w:pPr>
        <w:spacing w:after="0" w:line="178" w:lineRule="exact"/>
        <w:rPr>
          <w:sz w:val="20"/>
          <w:szCs w:val="20"/>
          <w:color w:val="auto"/>
        </w:rPr>
      </w:pPr>
    </w:p>
    <w:p>
      <w:pPr>
        <w:ind w:left="1660" w:right="3179" w:hanging="612"/>
        <w:spacing w:after="0" w:line="237" w:lineRule="auto"/>
        <w:tabs>
          <w:tab w:leader="none" w:pos="16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discovery or identification of a Product candidate, provided that each such Product candidate enters pre-clinical development for a specified disease target in a non-rodent model;</w:t>
      </w:r>
    </w:p>
    <w:p>
      <w:pPr>
        <w:spacing w:after="0" w:line="176" w:lineRule="exact"/>
        <w:rPr>
          <w:rFonts w:ascii="Courier New" w:cs="Courier New" w:eastAsia="Courier New" w:hAnsi="Courier New"/>
          <w:sz w:val="15"/>
          <w:szCs w:val="15"/>
          <w:color w:val="auto"/>
        </w:rPr>
      </w:pPr>
    </w:p>
    <w:p>
      <w:pPr>
        <w:ind w:left="1660" w:right="3179" w:hanging="612"/>
        <w:spacing w:after="0" w:line="258" w:lineRule="auto"/>
        <w:tabs>
          <w:tab w:leader="none" w:pos="16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acceptance of an Investigational New Drug Application or substantial equivalent application as may exist from time to time with the US Food and Drug Administration ("FDA") or its successor organization of a Product candidate and the commencement of clinical trials in human patients;</w:t>
      </w:r>
    </w:p>
    <w:p>
      <w:pPr>
        <w:spacing w:after="0" w:line="164" w:lineRule="exact"/>
        <w:rPr>
          <w:rFonts w:ascii="Courier New" w:cs="Courier New" w:eastAsia="Courier New" w:hAnsi="Courier New"/>
          <w:sz w:val="14"/>
          <w:szCs w:val="14"/>
          <w:color w:val="auto"/>
        </w:rPr>
      </w:pPr>
    </w:p>
    <w:p>
      <w:pPr>
        <w:ind w:left="1660" w:right="3179" w:hanging="612"/>
        <w:spacing w:after="0" w:line="256" w:lineRule="auto"/>
        <w:tabs>
          <w:tab w:leader="none" w:pos="16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successful completion of Phase II Clinical Trials (i.e., statistically significant demonstration of clinical efficacy such that it is commercially reasonable to proceed to Phase</w:t>
      </w:r>
    </w:p>
    <w:p>
      <w:pPr>
        <w:ind w:left="2100" w:hanging="435"/>
        <w:spacing w:after="0"/>
        <w:tabs>
          <w:tab w:leader="none" w:pos="210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 Product candidate;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78" w:name="page79"/>
    <w:bookmarkEnd w:id="78"/>
    <w:p>
      <w:pPr>
        <w:ind w:left="1670" w:right="3259" w:hanging="612"/>
        <w:spacing w:after="0" w:line="258" w:lineRule="auto"/>
        <w:tabs>
          <w:tab w:leader="none" w:pos="16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successful completion of Phase III Clinical Trials (i.e., statistically significant demonstration of efficacy for the primary efficacy variable(s) of the study and demonstration of product safety such that it is commercially reasonable to proceed to market) of a Product candidate;</w:t>
      </w:r>
    </w:p>
    <w:p>
      <w:pPr>
        <w:spacing w:after="0" w:line="164" w:lineRule="exact"/>
        <w:rPr>
          <w:rFonts w:ascii="Courier New" w:cs="Courier New" w:eastAsia="Courier New" w:hAnsi="Courier New"/>
          <w:sz w:val="14"/>
          <w:szCs w:val="14"/>
          <w:color w:val="auto"/>
        </w:rPr>
      </w:pPr>
    </w:p>
    <w:p>
      <w:pPr>
        <w:ind w:left="1670" w:right="3259" w:hanging="612"/>
        <w:spacing w:after="0" w:line="260" w:lineRule="auto"/>
        <w:tabs>
          <w:tab w:leader="none" w:pos="16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approval to market each Product granted in any country by that country's applicable government authority that regulates marketing of Products in that country.</w:t>
      </w:r>
    </w:p>
    <w:p>
      <w:pPr>
        <w:spacing w:after="0" w:line="15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4"/>
          <w:szCs w:val="14"/>
          <w:color w:val="auto"/>
        </w:rPr>
        <w:t>SUBLICENSING FEE</w:t>
      </w:r>
    </w:p>
    <w:p>
      <w:pPr>
        <w:spacing w:after="0" w:line="175" w:lineRule="exact"/>
        <w:rPr>
          <w:sz w:val="20"/>
          <w:szCs w:val="20"/>
          <w:color w:val="auto"/>
        </w:rPr>
      </w:pPr>
    </w:p>
    <w:p>
      <w:pPr>
        <w:ind w:left="610" w:right="3359"/>
        <w:spacing w:after="0" w:line="257" w:lineRule="auto"/>
        <w:rPr>
          <w:sz w:val="20"/>
          <w:szCs w:val="20"/>
          <w:color w:val="auto"/>
        </w:rPr>
      </w:pPr>
      <w:r>
        <w:rPr>
          <w:rFonts w:ascii="Courier New" w:cs="Courier New" w:eastAsia="Courier New" w:hAnsi="Courier New"/>
          <w:sz w:val="14"/>
          <w:szCs w:val="14"/>
          <w:color w:val="auto"/>
        </w:rPr>
        <w:t>SCI shall pay to NS ***** and ***** of any securities of a third party, including upfront, milestone and royalty cash payments, that SCI shall receive in respect of its issuance of sublicenses of rights in the New Patent Rights and/or the New Cell Technology. Notwithstanding the foregoing, SCI shall have no obligation to make any payment to NS based on its receipt of funds for equity investments in SCI, loans to SCI, including without limitation loans which are convertible into equity in SCI, or research and development or sponsored research funding, whether or not paid to SCI in connection with such a sublicense, including any product candidate utilizing New Patent Rights and/or the New Cell Technology. For the purposes of this Section 3.12 reference to any cash payment shall, to the extent consistent with the preceding sentence hereof, include any cheque, money order or other negotiable instrument that may be provided in lieu of cash.</w:t>
      </w:r>
    </w:p>
    <w:p>
      <w:pPr>
        <w:spacing w:after="0" w:line="165" w:lineRule="exact"/>
        <w:rPr>
          <w:sz w:val="20"/>
          <w:szCs w:val="20"/>
          <w:color w:val="auto"/>
        </w:rPr>
      </w:pPr>
    </w:p>
    <w:p>
      <w:pPr>
        <w:jc w:val="both"/>
        <w:ind w:left="10" w:right="8559" w:hanging="10"/>
        <w:spacing w:after="0" w:line="513" w:lineRule="auto"/>
        <w:tabs>
          <w:tab w:leader="none" w:pos="62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4.01 IMPROVEMENTS</w:t>
      </w:r>
    </w:p>
    <w:p>
      <w:pPr>
        <w:ind w:left="610" w:right="3179"/>
        <w:spacing w:after="0" w:line="258" w:lineRule="auto"/>
        <w:rPr>
          <w:sz w:val="20"/>
          <w:szCs w:val="20"/>
          <w:color w:val="auto"/>
        </w:rPr>
      </w:pPr>
      <w:r>
        <w:rPr>
          <w:rFonts w:ascii="Courier New" w:cs="Courier New" w:eastAsia="Courier New" w:hAnsi="Courier New"/>
          <w:sz w:val="14"/>
          <w:szCs w:val="14"/>
          <w:color w:val="auto"/>
        </w:rPr>
        <w:t>If after the date this Agreement is signed SCI makes or acquires any Improvement to the Patent Rights or Cell Technology SCI shall own such Improvement for its own account and NS shall have no rights therein. The rights granted hereunder shall be limited to the rights expressly stated to be granted hereunder and no additional rights or licenses are implied.</w:t>
      </w:r>
    </w:p>
    <w:p>
      <w:pPr>
        <w:spacing w:after="0" w:line="159" w:lineRule="exact"/>
        <w:rPr>
          <w:sz w:val="20"/>
          <w:szCs w:val="20"/>
          <w:color w:val="auto"/>
        </w:rPr>
      </w:pPr>
    </w:p>
    <w:p>
      <w:pPr>
        <w:ind w:left="610" w:hanging="610"/>
        <w:spacing w:after="0"/>
        <w:tabs>
          <w:tab w:leader="none" w:pos="6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4"/>
          <w:szCs w:val="14"/>
          <w:color w:val="auto"/>
        </w:rPr>
        <w:t>DISCLOSURE OF CONFIDENTIAL INFORMATION</w:t>
      </w:r>
    </w:p>
    <w:p>
      <w:pPr>
        <w:spacing w:after="0" w:line="175" w:lineRule="exact"/>
        <w:rPr>
          <w:sz w:val="20"/>
          <w:szCs w:val="20"/>
          <w:color w:val="auto"/>
        </w:rPr>
      </w:pPr>
    </w:p>
    <w:p>
      <w:pPr>
        <w:ind w:left="610" w:right="3259"/>
        <w:spacing w:after="0" w:line="238" w:lineRule="auto"/>
        <w:rPr>
          <w:sz w:val="20"/>
          <w:szCs w:val="20"/>
          <w:color w:val="auto"/>
        </w:rPr>
      </w:pPr>
      <w:r>
        <w:rPr>
          <w:rFonts w:ascii="Courier New" w:cs="Courier New" w:eastAsia="Courier New" w:hAnsi="Courier New"/>
          <w:sz w:val="15"/>
          <w:szCs w:val="15"/>
          <w:color w:val="auto"/>
        </w:rPr>
        <w:t>The following provisions apply to such confidential information either party has passed to the other party prior to the Effective Date, information provided pursuant to Section 2.02 to the extent it has not been made public by SCI, information provided pursuant to Section 6 hereof, and any other Confidential Information that one party may agree, in writing, to receive from the other party after the Effective Date. Information on patents, as provided in Section 6, shall be considered Confidential Information.</w:t>
      </w:r>
    </w:p>
    <w:p>
      <w:pPr>
        <w:spacing w:after="0" w:line="34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797" w:right="1440" w:bottom="1440" w:gutter="0" w:footer="0" w:header="0"/>
        </w:sectPr>
      </w:pPr>
    </w:p>
    <w:bookmarkStart w:id="79" w:name="page80"/>
    <w:bookmarkEnd w:id="79"/>
    <w:p>
      <w:pPr>
        <w:ind w:left="10"/>
        <w:spacing w:after="0"/>
        <w:tabs>
          <w:tab w:leader="none" w:pos="589" w:val="left"/>
        </w:tabs>
        <w:rPr>
          <w:sz w:val="20"/>
          <w:szCs w:val="20"/>
          <w:color w:val="auto"/>
        </w:rPr>
      </w:pP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4"/>
          <w:szCs w:val="14"/>
          <w:color w:val="auto"/>
        </w:rPr>
        <w:t>TREATMENT OF CONFIDENTIAL INFORMATION</w:t>
      </w:r>
    </w:p>
    <w:p>
      <w:pPr>
        <w:spacing w:after="0" w:line="175" w:lineRule="exact"/>
        <w:rPr>
          <w:sz w:val="20"/>
          <w:szCs w:val="20"/>
          <w:color w:val="auto"/>
        </w:rPr>
      </w:pPr>
    </w:p>
    <w:p>
      <w:pPr>
        <w:ind w:left="610" w:right="3179"/>
        <w:spacing w:after="0" w:line="257" w:lineRule="auto"/>
        <w:rPr>
          <w:sz w:val="20"/>
          <w:szCs w:val="20"/>
          <w:color w:val="auto"/>
        </w:rPr>
      </w:pPr>
      <w:r>
        <w:rPr>
          <w:rFonts w:ascii="Courier New" w:cs="Courier New" w:eastAsia="Courier New" w:hAnsi="Courier New"/>
          <w:sz w:val="14"/>
          <w:szCs w:val="14"/>
          <w:color w:val="auto"/>
        </w:rPr>
        <w:t>Each party hereto shall maintain the Confidential Information of the other party in confidence, and shall not disclose, divulge or otherwise communicate such Confidential Information to any third party, or use it for any purpose, except pursuant to, and in order to carry out, the terms and objectives of this Agreement, and hereby agrees to exercise every reasonable precaution to prevent and restrain the unauthorized disclosure of such Confidential Information by any of its directors, officers, employees, consultants, subcontractors, sublicensees or agents.</w:t>
      </w:r>
    </w:p>
    <w:p>
      <w:pPr>
        <w:spacing w:after="0" w:line="161"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5.03</w:t>
      </w:r>
      <w:r>
        <w:rPr>
          <w:sz w:val="20"/>
          <w:szCs w:val="20"/>
          <w:color w:val="auto"/>
        </w:rPr>
        <w:tab/>
      </w:r>
      <w:r>
        <w:rPr>
          <w:rFonts w:ascii="Courier New" w:cs="Courier New" w:eastAsia="Courier New" w:hAnsi="Courier New"/>
          <w:sz w:val="14"/>
          <w:szCs w:val="14"/>
          <w:color w:val="auto"/>
        </w:rPr>
        <w:t>RELEASE FROM RESTRICTIONS</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The provisions of Section 5.02 shall not apply to any Confidential Information disclosed hereunder which is: required to be disclosed by the receiving party to comply with applicable laws, or to comply with governmental regulations (including without limitation to drug testing, marketing regulations and rules of NASD), in each case only to the extent required to carry out the work contemplated by this Agreement provided that the receiving party provides prior written notice of such disclosure to the other party and takes reasonable and lawful actions to avoid and/or minimize the degree of such disclosure; or by a party, its Affiliates and its Sublicensee reasonably necessary for the marketing of a Product or Service.</w:t>
      </w:r>
    </w:p>
    <w:p>
      <w:pPr>
        <w:spacing w:after="0" w:line="1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5.04</w:t>
      </w:r>
      <w:r>
        <w:rPr>
          <w:sz w:val="20"/>
          <w:szCs w:val="20"/>
          <w:color w:val="auto"/>
        </w:rPr>
        <w:tab/>
      </w:r>
      <w:r>
        <w:rPr>
          <w:rFonts w:ascii="Courier New" w:cs="Courier New" w:eastAsia="Courier New" w:hAnsi="Courier New"/>
          <w:sz w:val="14"/>
          <w:szCs w:val="14"/>
          <w:color w:val="auto"/>
        </w:rPr>
        <w:t>CONFIDENTIAL AGREEMENTS</w:t>
      </w:r>
    </w:p>
    <w:p>
      <w:pPr>
        <w:spacing w:after="0" w:line="175" w:lineRule="exact"/>
        <w:rPr>
          <w:sz w:val="20"/>
          <w:szCs w:val="20"/>
          <w:color w:val="auto"/>
        </w:rPr>
      </w:pPr>
    </w:p>
    <w:p>
      <w:pPr>
        <w:ind w:left="610" w:right="3259"/>
        <w:spacing w:after="0" w:line="238" w:lineRule="auto"/>
        <w:rPr>
          <w:sz w:val="20"/>
          <w:szCs w:val="20"/>
          <w:color w:val="auto"/>
        </w:rPr>
      </w:pPr>
      <w:r>
        <w:rPr>
          <w:rFonts w:ascii="Courier New" w:cs="Courier New" w:eastAsia="Courier New" w:hAnsi="Courier New"/>
          <w:sz w:val="15"/>
          <w:szCs w:val="15"/>
          <w:color w:val="auto"/>
        </w:rPr>
        <w:t>Each party has employment agreements with its respective employees and representatives having confidentiality and nonuse commitments consistent with their obligations hereunder and will require all of their sublicensees, consultants, agents or others who have access to any of such information to execute confidentiality agreements covering all Confidential Information subject to Article 5 and will exercise its reasonable best efforts to obtain compliance therewith.</w:t>
      </w:r>
    </w:p>
    <w:p>
      <w:pPr>
        <w:spacing w:after="0" w:line="171" w:lineRule="exact"/>
        <w:rPr>
          <w:sz w:val="20"/>
          <w:szCs w:val="20"/>
          <w:color w:val="auto"/>
        </w:rPr>
      </w:pPr>
    </w:p>
    <w:p>
      <w:pPr>
        <w:ind w:left="610" w:hanging="610"/>
        <w:spacing w:after="0"/>
        <w:tabs>
          <w:tab w:leader="none" w:pos="6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DEVELOPMENT EFFORTS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4"/>
          <w:szCs w:val="14"/>
          <w:color w:val="auto"/>
        </w:rPr>
        <w:t>PRODUCT DEVELOPMENT PLANNING AND REPORTING</w:t>
      </w:r>
    </w:p>
    <w:p>
      <w:pPr>
        <w:spacing w:after="0" w:line="175" w:lineRule="exact"/>
        <w:rPr>
          <w:sz w:val="20"/>
          <w:szCs w:val="20"/>
          <w:color w:val="auto"/>
        </w:rPr>
      </w:pPr>
    </w:p>
    <w:p>
      <w:pPr>
        <w:ind w:left="610" w:right="3179"/>
        <w:spacing w:after="0" w:line="257" w:lineRule="auto"/>
        <w:rPr>
          <w:sz w:val="20"/>
          <w:szCs w:val="20"/>
          <w:color w:val="auto"/>
        </w:rPr>
      </w:pPr>
      <w:r>
        <w:rPr>
          <w:rFonts w:ascii="Courier New" w:cs="Courier New" w:eastAsia="Courier New" w:hAnsi="Courier New"/>
          <w:sz w:val="14"/>
          <w:szCs w:val="14"/>
          <w:color w:val="auto"/>
        </w:rPr>
        <w:t>SCI shall develop annual plans for the development of Products which will contain such descriptions of Product development efforts to be undertaken and what resources shall be brought to bear in those efforts, including human resources and whether such efforts shall be conducted by SCI alone or through collaborations or partnerships (the "R&amp;D Plans"). On each anniversary date of this agreement during its term, SCI shall provide to NS an executive summary report of its R&amp;D Plans for the following year, and additionally, on the same date, SCI shall also provide to NS an executive summary report of its Product development efforts during that preceding year (the R&amp;D Reports"). The R&amp;D Reports shall each include a description of the expenditures that SCI believes should be included</w:t>
      </w:r>
    </w:p>
    <w:p>
      <w:pPr>
        <w:spacing w:after="0" w:line="33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791" w:right="1440" w:bottom="1440" w:gutter="0" w:footer="0" w:header="0"/>
        </w:sectPr>
      </w:pPr>
    </w:p>
    <w:bookmarkStart w:id="80" w:name="page81"/>
    <w:bookmarkEnd w:id="80"/>
    <w:p>
      <w:pPr>
        <w:ind w:left="610" w:right="3539"/>
        <w:spacing w:after="0" w:line="235" w:lineRule="auto"/>
        <w:rPr>
          <w:sz w:val="20"/>
          <w:szCs w:val="20"/>
          <w:color w:val="auto"/>
        </w:rPr>
      </w:pPr>
      <w:r>
        <w:rPr>
          <w:rFonts w:ascii="Courier New" w:cs="Courier New" w:eastAsia="Courier New" w:hAnsi="Courier New"/>
          <w:sz w:val="15"/>
          <w:szCs w:val="15"/>
          <w:color w:val="auto"/>
        </w:rPr>
        <w:t>in determining whether SCI has spent the Research Baseline Amount, as defined below, for that preceding year.</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4"/>
          <w:szCs w:val="14"/>
          <w:color w:val="auto"/>
        </w:rPr>
        <w:t>PRODUCT DEVELOPMENT EFFORTS</w:t>
      </w:r>
    </w:p>
    <w:p>
      <w:pPr>
        <w:spacing w:after="0" w:line="175" w:lineRule="exact"/>
        <w:rPr>
          <w:sz w:val="20"/>
          <w:szCs w:val="20"/>
          <w:color w:val="auto"/>
        </w:rPr>
      </w:pPr>
    </w:p>
    <w:p>
      <w:pPr>
        <w:ind w:left="610" w:right="3259"/>
        <w:spacing w:after="0" w:line="256" w:lineRule="auto"/>
        <w:rPr>
          <w:sz w:val="20"/>
          <w:szCs w:val="20"/>
          <w:color w:val="auto"/>
        </w:rPr>
      </w:pPr>
      <w:r>
        <w:rPr>
          <w:rFonts w:ascii="Courier New" w:cs="Courier New" w:eastAsia="Courier New" w:hAnsi="Courier New"/>
          <w:sz w:val="14"/>
          <w:szCs w:val="14"/>
          <w:color w:val="auto"/>
        </w:rPr>
        <w:t>During the term of this agreement, SCI, its Affiliates, partners, collaborators, Sublicensees, and others whose expenditures benefit SCI's Product development efforts, shall, in total, spend no less than *****</w:t>
      </w:r>
    </w:p>
    <w:p>
      <w:pPr>
        <w:spacing w:after="0" w:line="1" w:lineRule="exact"/>
        <w:rPr>
          <w:sz w:val="20"/>
          <w:szCs w:val="20"/>
          <w:color w:val="auto"/>
        </w:rPr>
      </w:pPr>
    </w:p>
    <w:p>
      <w:pPr>
        <w:ind w:left="610" w:right="3179"/>
        <w:spacing w:after="0" w:line="256" w:lineRule="auto"/>
        <w:rPr>
          <w:sz w:val="20"/>
          <w:szCs w:val="20"/>
          <w:color w:val="auto"/>
        </w:rPr>
      </w:pPr>
      <w:r>
        <w:rPr>
          <w:rFonts w:ascii="Courier New" w:cs="Courier New" w:eastAsia="Courier New" w:hAnsi="Courier New"/>
          <w:sz w:val="14"/>
          <w:szCs w:val="14"/>
          <w:color w:val="auto"/>
        </w:rPr>
        <w:t>per calendar year in direct and indirect costs to develop Products (such amount is hereinafter the "Research Baseline Amount") in a timely manner until commercialization. Appropriate expenses falling within the Research Baseline Amount include all direct and indirect costs of the research personnel allocated to develop Products, including but not limited to the costs of all raw materials, labor, outsourcing, clinical trials, and any overhead amounts allocable to such research group, such as, e.g., appropriately amortized equipment costs. In the event that the expenditure of the Research Baseline Amount is not met, absent reasons of the kind mentioned in section 12.06 hereof, NS shall give SCI a sixty</w:t>
      </w:r>
    </w:p>
    <w:p>
      <w:pPr>
        <w:spacing w:after="0" w:line="3" w:lineRule="exact"/>
        <w:rPr>
          <w:sz w:val="20"/>
          <w:szCs w:val="20"/>
          <w:color w:val="auto"/>
        </w:rPr>
      </w:pPr>
    </w:p>
    <w:p>
      <w:pPr>
        <w:ind w:left="610" w:right="3179" w:firstLine="7"/>
        <w:spacing w:after="0" w:line="256" w:lineRule="auto"/>
        <w:tabs>
          <w:tab w:leader="none" w:pos="105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to correct any deficiency in such expenditure. Following such sixty (60) day period, in the event the parties agree that SCI has not met its obligation to spend the Research Baseline Amount, then NS shall have the right to terminate this Agreement, and the license to SCI shall revert to the 1997 License Agreement (including all rights to Existing Patents and Existing Cell Technology) and any rights in New Patent Rights and the New Cell Technology shall revert to NS. In the event of such a termination, SCI shall and does hereby grant a non-exclusive worldwide royalty bearing right and license to NS under the Existing Patent Rights and the Existing Cell Technology to the extent required to allow NS to practice the Existing Patent Rights and the Existing Cell Technology outside of the Existing Field and the New Patent Rights and the New Cell Technology outside of the Existing Field, including a right to grant sublicenses of such right, and such license shall survive such termination. For illustrative purposes, in the event of such a license NS would be able to use any Existing Patent Rights and Existing Cell Technology which may be necessary and incidental to properly exercise the New Patent Rights or New Cell Technology rights outside the Existing Field but not in the Existing Field. The royalty rate payable by NS to SCI in the event of exercise of any Existing Patent Rights and Existing Cell Technology under the license granted to NS under this Section 6.02 would be ***** of Net Sales and ***** of sublicense revenue as set forth in Section 3.01 and 3.12 hereof respectively. In the event the parties cannot agree as to whether SCI met its obligation to expend the Research Baseline Amount, then the issue shall be resolved in accordance with the section hereof entitled "Resolution of Disputes." The parties acknowledge that the license rights provided to NS under this Section 6.02 would survive any termination of this Agreement.</w:t>
      </w:r>
    </w:p>
    <w:p>
      <w:pPr>
        <w:spacing w:after="0" w:line="342" w:lineRule="exact"/>
        <w:rPr>
          <w:rFonts w:ascii="Courier New" w:cs="Courier New" w:eastAsia="Courier New" w:hAnsi="Courier New"/>
          <w:sz w:val="14"/>
          <w:szCs w:val="14"/>
          <w:color w:val="auto"/>
        </w:rPr>
      </w:pPr>
    </w:p>
    <w:p>
      <w:pPr>
        <w:ind w:left="610" w:hanging="610"/>
        <w:spacing w:after="0"/>
        <w:tabs>
          <w:tab w:leader="none" w:pos="6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PATENTS: PROSECUTION OF INFRINGERS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4"/>
          <w:szCs w:val="14"/>
          <w:color w:val="auto"/>
        </w:rPr>
        <w:t>FILING, PROSECUTION, AND MAINTENANCE OF PATENTS</w:t>
      </w:r>
    </w:p>
    <w:p>
      <w:pPr>
        <w:spacing w:after="0" w:line="175" w:lineRule="exact"/>
        <w:rPr>
          <w:sz w:val="20"/>
          <w:szCs w:val="20"/>
          <w:color w:val="auto"/>
        </w:rPr>
      </w:pPr>
    </w:p>
    <w:p>
      <w:pPr>
        <w:ind w:left="610" w:right="3359"/>
        <w:spacing w:after="0" w:line="237" w:lineRule="auto"/>
        <w:rPr>
          <w:sz w:val="20"/>
          <w:szCs w:val="20"/>
          <w:color w:val="auto"/>
        </w:rPr>
      </w:pPr>
      <w:r>
        <w:rPr>
          <w:rFonts w:ascii="Courier New" w:cs="Courier New" w:eastAsia="Courier New" w:hAnsi="Courier New"/>
          <w:sz w:val="15"/>
          <w:szCs w:val="15"/>
          <w:color w:val="auto"/>
        </w:rPr>
        <w:t>SCI shall be responsible for filing, prosecution, maintenance and enforcement of all patents or patent applications which are part of the Patent Rights. NHL shall be and</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797" w:right="1440" w:bottom="1440" w:gutter="0" w:footer="0" w:header="0"/>
        </w:sectPr>
      </w:pPr>
    </w:p>
    <w:bookmarkStart w:id="81" w:name="page82"/>
    <w:bookmarkEnd w:id="81"/>
    <w:p>
      <w:pPr>
        <w:ind w:left="600" w:right="3179"/>
        <w:spacing w:after="0" w:line="238" w:lineRule="auto"/>
        <w:rPr>
          <w:sz w:val="20"/>
          <w:szCs w:val="20"/>
          <w:color w:val="auto"/>
        </w:rPr>
      </w:pPr>
      <w:r>
        <w:rPr>
          <w:rFonts w:ascii="Courier New" w:cs="Courier New" w:eastAsia="Courier New" w:hAnsi="Courier New"/>
          <w:sz w:val="15"/>
          <w:szCs w:val="15"/>
          <w:color w:val="auto"/>
        </w:rPr>
        <w:t>remain the owner of all Patent Rights, including any New Patent Rights. SCI shall be entitled to engage its own patent counsel and in all respects control the prosecution of Patent Rights (with opportunity for reasonable input from NS), at SCI's cost, and NS and/or NHL shall transfer or authorize transfer of all files related to Patent Rights to SCI's counsel, at SCI's cost, within fifteen (15) days from the Effective Date of this Agreement. SCI shall conduct all dealings with the Patent Rights in good faith and with the objective of seeking to extend the scope and duration of the Patent Rights to the extent commercially reasonable. SCI shall reimburse NS for reasonable out-of-pocket costs and expenses previously paid to outside counsel and/or outside patent agents in respect of preparation, filing, prosecution and maintenance of all such patents and patent applications that are part of Patent Rights *****.</w:t>
      </w:r>
    </w:p>
    <w:p>
      <w:pPr>
        <w:spacing w:after="0" w:line="17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DOCUMENTS TO BE PROVIDED.</w:t>
      </w:r>
    </w:p>
    <w:p>
      <w:pPr>
        <w:spacing w:after="0" w:line="17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NS shall promptly provide SCI with copies of all material papers, specifications, amendments, replies, official actions, and other documents relating to the filing, prosecution, and maintenance of patent applications and patents which form part of the Patent Rights. SCI shall promptly provide NS with copies of all material papers, specifications, amendments, replies, official actions, and other documents relating to the filing, prosecution, and maintenance of patent applications and patents which form part of the Patent Rights in a timely manner and provide NS with a reasonable period of time in which to provide input and suggestions to SCI in respect of actions to be taken in relation to the filing, prosecution, and maintenance of patent applications and patents which form part of the Patent Rights. SCI shall act reasonably and shall consider and use such input in any such actions. NS shall be responsible for the costs of providing its input to SCI.</w:t>
      </w:r>
    </w:p>
    <w:p>
      <w:pPr>
        <w:spacing w:after="0" w:line="15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4"/>
          <w:szCs w:val="14"/>
          <w:color w:val="auto"/>
        </w:rPr>
        <w:t>INFRINGEMENT OF PATENTS BY THIRD PARTIES.</w:t>
      </w:r>
    </w:p>
    <w:p>
      <w:pPr>
        <w:spacing w:after="0" w:line="169" w:lineRule="exact"/>
        <w:rPr>
          <w:sz w:val="20"/>
          <w:szCs w:val="20"/>
          <w:color w:val="auto"/>
        </w:rPr>
      </w:pPr>
    </w:p>
    <w:p>
      <w:pPr>
        <w:ind w:left="1040" w:hanging="433"/>
        <w:spacing w:after="0"/>
        <w:tabs>
          <w:tab w:leader="none" w:pos="10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INFRINGEMENT.</w:t>
      </w:r>
    </w:p>
    <w:p>
      <w:pPr>
        <w:spacing w:after="0" w:line="175" w:lineRule="exact"/>
        <w:rPr>
          <w:sz w:val="20"/>
          <w:szCs w:val="20"/>
          <w:color w:val="auto"/>
        </w:rPr>
      </w:pPr>
    </w:p>
    <w:p>
      <w:pPr>
        <w:ind w:left="600" w:right="3359"/>
        <w:spacing w:after="0" w:line="235" w:lineRule="auto"/>
        <w:rPr>
          <w:sz w:val="20"/>
          <w:szCs w:val="20"/>
          <w:color w:val="auto"/>
        </w:rPr>
      </w:pPr>
      <w:r>
        <w:rPr>
          <w:rFonts w:ascii="Courier New" w:cs="Courier New" w:eastAsia="Courier New" w:hAnsi="Courier New"/>
          <w:sz w:val="15"/>
          <w:szCs w:val="15"/>
          <w:color w:val="auto"/>
        </w:rPr>
        <w:t>Each party shall notify the other of any infringement of Patents Rights by third parties of which it becomes aware.</w:t>
      </w:r>
    </w:p>
    <w:p>
      <w:pPr>
        <w:spacing w:after="0" w:line="170" w:lineRule="exact"/>
        <w:rPr>
          <w:sz w:val="20"/>
          <w:szCs w:val="20"/>
          <w:color w:val="auto"/>
        </w:rPr>
      </w:pPr>
    </w:p>
    <w:p>
      <w:pPr>
        <w:ind w:left="1040" w:hanging="433"/>
        <w:spacing w:after="0"/>
        <w:tabs>
          <w:tab w:leader="none" w:pos="10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PROSECUTION OF INFRINGERS.</w:t>
      </w:r>
    </w:p>
    <w:p>
      <w:pPr>
        <w:spacing w:after="0" w:line="17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SCI shall have the sole right to pursue actions against infringers. SCI may, at its option, pursue action against infringers of the Patent Rights to an extent and degree as it deems appropriate provided that if SCI chooses not to pursue any case or cases of infringement then it shall compensate NS as provided in this Section 7.03 (b), below. NS will co-operate in the prosecution of such infringers and allow SCI to use its name in any such suit, sue in NS' name or join NS if legally required provided that SCI will indemnify and hold harmless NS from any costs, damage or expenses incurred by NS in respect of any such acts or co-operation. Any damages or settlement amounts recovered in any such infringement action shall be considered Net Sales for the purposes of royalty calculations under this Agreement provided that SCI shall be permitted to first deduct from such amount the reasonable legal fees and disbursement incurred in bringing the infringement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82" w:name="page83"/>
    <w:bookmarkEnd w:id="82"/>
    <w:p>
      <w:pPr>
        <w:ind w:left="610" w:right="3179"/>
        <w:spacing w:after="0" w:line="257" w:lineRule="auto"/>
        <w:rPr>
          <w:sz w:val="20"/>
          <w:szCs w:val="20"/>
          <w:color w:val="auto"/>
        </w:rPr>
      </w:pPr>
      <w:r>
        <w:rPr>
          <w:rFonts w:ascii="Courier New" w:cs="Courier New" w:eastAsia="Courier New" w:hAnsi="Courier New"/>
          <w:sz w:val="14"/>
          <w:szCs w:val="14"/>
          <w:color w:val="auto"/>
        </w:rPr>
        <w:t>action. The parties recognize and agree that there may be instances where SCI has compelling reasons for not bringing suit, that in some such cases SCI may derive a direct or indirect economic benefit, and that in some such cases SCI may not derive a direct or indirect economic benefit. Regardless of the reason for not pursuing the case or cases of infringement SCI shall compensate NS for the losses, if any, attributable to not bringing the action. In the event the parties cannot agree on the amount of compensation to NS, then the issue shall be resolved in accordance with the section hereof entitled "Resolution of Disputes.</w:t>
      </w:r>
    </w:p>
    <w:p>
      <w:pPr>
        <w:spacing w:after="0" w:line="167"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Should it become necessary for the initiation or maintenance of an SCI action against an infringer, NHL hereby agrees to assign to SCI a limited right and undivided fractional interest under the Patent Rights to take such actions against infringers. As consideration for such assignment SCI shall not exercise any such rights for any purpose other than to permit SCI to take said action and SCI specifically shall not use any rights other than those expressly provided to SCI under this Agreement (excluding this Section 7.03). Nothing in this Section shall relieve SCI or any Affiliate or Sublicensee(s) from any obligations hereunder, including, without limitation, any obligation to make Royalty or other payments under this Agreement. SCI shall hold any such right in trust for the benefit of NHL and shall reassign any such right and interest (and does so hereby) in the event of a termination of this Agreement or the license granted hereunder to SCI or upon settlement, discontinuance or the conclusion of such action.</w:t>
      </w:r>
    </w:p>
    <w:p>
      <w:pPr>
        <w:spacing w:after="0" w:line="185" w:lineRule="exact"/>
        <w:rPr>
          <w:sz w:val="20"/>
          <w:szCs w:val="20"/>
          <w:color w:val="auto"/>
        </w:rPr>
      </w:pPr>
    </w:p>
    <w:p>
      <w:pPr>
        <w:ind w:left="10" w:right="6959" w:hanging="10"/>
        <w:spacing w:after="0" w:line="513" w:lineRule="auto"/>
        <w:tabs>
          <w:tab w:leader="none" w:pos="62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8.01 CORPORATE REPRESENTATIONS.</w:t>
      </w: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Each party represents and warrants to the other that:</w:t>
      </w:r>
    </w:p>
    <w:p>
      <w:pPr>
        <w:spacing w:after="0" w:line="174" w:lineRule="exact"/>
        <w:rPr>
          <w:rFonts w:ascii="Courier New" w:cs="Courier New" w:eastAsia="Courier New" w:hAnsi="Courier New"/>
          <w:sz w:val="14"/>
          <w:szCs w:val="14"/>
          <w:color w:val="auto"/>
        </w:rPr>
      </w:pPr>
    </w:p>
    <w:p>
      <w:pPr>
        <w:ind w:left="1050" w:right="3259" w:hanging="433"/>
        <w:spacing w:after="0" w:line="259" w:lineRule="auto"/>
        <w:tabs>
          <w:tab w:leader="none" w:pos="105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all requisite right, power, authority and capacity to enter into this Agreement and to consummate the transactions contemplated hereby, and has taken all necessary action to authorize the execution, delivery and performance of this Agreement; and</w:t>
      </w:r>
    </w:p>
    <w:p>
      <w:pPr>
        <w:spacing w:after="0" w:line="162" w:lineRule="exact"/>
        <w:rPr>
          <w:rFonts w:ascii="Courier New" w:cs="Courier New" w:eastAsia="Courier New" w:hAnsi="Courier New"/>
          <w:sz w:val="14"/>
          <w:szCs w:val="14"/>
          <w:color w:val="auto"/>
        </w:rPr>
      </w:pPr>
    </w:p>
    <w:p>
      <w:pPr>
        <w:ind w:left="1050" w:right="3439" w:hanging="433"/>
        <w:spacing w:after="0" w:line="237" w:lineRule="auto"/>
        <w:tabs>
          <w:tab w:leader="none" w:pos="105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this Agreement and the performance of its obligations hereunder does not contravene any agreements to which such party is a party or its charter documents; and</w:t>
      </w:r>
    </w:p>
    <w:p>
      <w:pPr>
        <w:spacing w:after="0" w:line="174" w:lineRule="exact"/>
        <w:rPr>
          <w:rFonts w:ascii="Courier New" w:cs="Courier New" w:eastAsia="Courier New" w:hAnsi="Courier New"/>
          <w:sz w:val="15"/>
          <w:szCs w:val="15"/>
          <w:color w:val="auto"/>
        </w:rPr>
      </w:pPr>
    </w:p>
    <w:p>
      <w:pPr>
        <w:ind w:left="1050" w:right="3439" w:hanging="433"/>
        <w:spacing w:after="0" w:line="235" w:lineRule="auto"/>
        <w:tabs>
          <w:tab w:leader="none" w:pos="105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executed and delivered by it, this Agreement will constitute the legal, valid and binding obligation of it.</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4"/>
          <w:szCs w:val="14"/>
          <w:color w:val="auto"/>
        </w:rPr>
        <w:t>INTELLECTUAL PROPERTY REPRESENTATIONS.</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NS and NHL represents and warrants as follows:</w:t>
      </w:r>
    </w:p>
    <w:p>
      <w:pPr>
        <w:spacing w:after="0" w:line="175" w:lineRule="exact"/>
        <w:rPr>
          <w:sz w:val="20"/>
          <w:szCs w:val="20"/>
          <w:color w:val="auto"/>
        </w:rPr>
      </w:pPr>
    </w:p>
    <w:p>
      <w:pPr>
        <w:ind w:left="1050" w:right="3179" w:hanging="433"/>
        <w:spacing w:after="0" w:line="237" w:lineRule="auto"/>
        <w:tabs>
          <w:tab w:leader="none" w:pos="10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NS' and NHL's current knowledge, the patents/patent applications listed in Ex. A and B are subsisting and no challenge has been taken to them;</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797" w:right="1440" w:bottom="1440" w:gutter="0" w:footer="0" w:header="0"/>
        </w:sectPr>
      </w:pPr>
    </w:p>
    <w:bookmarkStart w:id="83" w:name="page84"/>
    <w:bookmarkEnd w:id="83"/>
    <w:p>
      <w:pPr>
        <w:ind w:left="1040" w:right="3179" w:hanging="433"/>
        <w:spacing w:after="0" w:line="237" w:lineRule="auto"/>
        <w:tabs>
          <w:tab w:leader="none" w:pos="10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NS and/or NHL has full right, power and authority to grant the license in the intellectual property herein granted to the extent of NS/NHL patent position;</w:t>
      </w:r>
    </w:p>
    <w:p>
      <w:pPr>
        <w:spacing w:after="0" w:line="174" w:lineRule="exact"/>
        <w:rPr>
          <w:rFonts w:ascii="Courier New" w:cs="Courier New" w:eastAsia="Courier New" w:hAnsi="Courier New"/>
          <w:sz w:val="15"/>
          <w:szCs w:val="15"/>
          <w:color w:val="auto"/>
        </w:rPr>
      </w:pPr>
    </w:p>
    <w:p>
      <w:pPr>
        <w:ind w:left="1040" w:right="3259" w:hanging="433"/>
        <w:spacing w:after="0" w:line="237" w:lineRule="auto"/>
        <w:tabs>
          <w:tab w:leader="none" w:pos="10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Effective Date, neither NS nor NHL is conducting or sponsoring any scientific research, development or investigation, alone, with or through any Affiliate or agent that relates in any way to Cells or Cell Technology (including Existing Cell Technology or New Cell Technology);</w:t>
      </w:r>
    </w:p>
    <w:p>
      <w:pPr>
        <w:spacing w:after="0" w:line="178" w:lineRule="exact"/>
        <w:rPr>
          <w:rFonts w:ascii="Courier New" w:cs="Courier New" w:eastAsia="Courier New" w:hAnsi="Courier New"/>
          <w:sz w:val="15"/>
          <w:szCs w:val="15"/>
          <w:color w:val="auto"/>
        </w:rPr>
      </w:pPr>
    </w:p>
    <w:p>
      <w:pPr>
        <w:ind w:left="1040" w:right="3179" w:hanging="433"/>
        <w:spacing w:after="0" w:line="238" w:lineRule="auto"/>
        <w:tabs>
          <w:tab w:leader="none" w:pos="10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Patent Rights listed in Exhibit A and the New Patent Rights listed in Exhibit B is a complete and accurate list of all patents, patent applications and inventions conceived or reduced to practice that NS or NHL owns or has rights to, as of the Effective Date, and that as of the Effective Date hereof, neither NHL nor NS has granted any right to another Person inconsistent with the rights to be exercised by the parties hereunder, and further NHL and NS represent and warrant that there has been no violation of section 9.04 of the 1997 License Agreement.</w:t>
      </w:r>
    </w:p>
    <w:p>
      <w:pPr>
        <w:spacing w:after="0" w:line="179"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Except as otherwise expressly set forth in Sections 8.01 and 8.02, NS, NHL, their directors, officers, Affiliates, employees and agents make no representations and extend no warranties of any kind in relation to the matters addressed under this Agreement. NS, NHL, their directors, officers, Affiliates, employees and agents expressly disclaim any representations and extend no warranties of any kind in relation to whether or not the practice, as licensed under this Agreement, of the NS Licensed Technology, will violate the rights of any third party. Neither NS nor NHL has conducted any infringement analysis on potential Products or Services that may be developed under the NS Licensed Technology. THE REPRESENTATIONS AND WARRANTIES IN SECTION 8.01 AND 8.02 ARE IN LIEU OF ALL OTHER REPRESENTATIONS, WARRANTIES AND CONDITIONS, EXPRESS OR IMPLIED OR ARISING UNDER ANY LEGAL THEORY, CONCERNING THE NS LICENSED TECHNOLOGY, PATENT RIGHTS OR CELL TECHNOLOGY, OR ANY OF IT, INCLUDING BUT NOT LIMITED TO THOSE OF MERCHANTABILITY OR FITNESS FOR A PARTICULAR PURPOSE.</w:t>
      </w:r>
    </w:p>
    <w:p>
      <w:pPr>
        <w:spacing w:after="0" w:line="15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4"/>
          <w:szCs w:val="14"/>
          <w:color w:val="auto"/>
        </w:rPr>
        <w:t>INDEMNITY</w:t>
      </w:r>
    </w:p>
    <w:p>
      <w:pPr>
        <w:spacing w:after="0" w:line="17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SCI and NS acknowledge that NS has no involvement in the design, manufacture, sale or distribution of Products or Services. As a result SCI agrees that it will defend, indemnify, and hold harmless NS, at SCI's own expense, from and against all claims, actions, causes of action, liabilities, claims, suits, judgments, liens, awards, and damages of any kind and nature whatsoever (hereinafter called "Claims") and expenses, costs of litigation and attorney's fees related thereto, or incident to establishing the right to indemnification, to the extent such Claims arise out of the design, manufacture, sale or distribution of Products or Services by SCI, any Affiliate or any Sublicensee or on any of there behalf; provided, however, that NS gives SCI prompt notice in writing of the Claim and/or institution of such Claim. SCI shall have control of the defense of any such suit, including appeals, negotiations, and the right to effect a settlement or compromise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84" w:name="page85"/>
    <w:bookmarkEnd w:id="84"/>
    <w:p>
      <w:pPr>
        <w:ind w:left="610" w:right="3259"/>
        <w:spacing w:after="0" w:line="235" w:lineRule="auto"/>
        <w:rPr>
          <w:sz w:val="20"/>
          <w:szCs w:val="20"/>
          <w:color w:val="auto"/>
        </w:rPr>
      </w:pPr>
      <w:r>
        <w:rPr>
          <w:rFonts w:ascii="Courier New" w:cs="Courier New" w:eastAsia="Courier New" w:hAnsi="Courier New"/>
          <w:sz w:val="15"/>
          <w:szCs w:val="15"/>
          <w:color w:val="auto"/>
        </w:rPr>
        <w:t>thereof. NS shall cooperate with SCI (at SCI's expense) in defense of or settlement of any such Claim.</w:t>
      </w:r>
    </w:p>
    <w:p>
      <w:pPr>
        <w:spacing w:after="0" w:line="170" w:lineRule="exact"/>
        <w:rPr>
          <w:sz w:val="20"/>
          <w:szCs w:val="20"/>
          <w:color w:val="auto"/>
        </w:rPr>
      </w:pPr>
    </w:p>
    <w:p>
      <w:pPr>
        <w:ind w:left="610" w:hanging="610"/>
        <w:spacing w:after="0"/>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4"/>
          <w:szCs w:val="14"/>
          <w:color w:val="auto"/>
        </w:rPr>
        <w:t>LIMITED RIGHT TO ASSIGN.</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Either party shall have the right, in connection with its merger or consolidation or with the sale of substantially all of its assets utilized in the business to which this Agreement relates, to assign all of the rights and licenses herein granted, but only to a party who expressly assumes and agrees to perform all of the obligations of the assigning party. Such assigning party shall remain liable to the other party for the due performance of all of its obligations under this Agreement. Except as set forth in the preceding sentence, neither party may assign this Agreement or any rights hereunder without the consent of the other, which consent shall not be unreasonably withheld. In the event of the assignment hereof, the assigning party shall notify the other party at least thirty (30) days prior to such transfer.</w:t>
      </w:r>
    </w:p>
    <w:p>
      <w:pPr>
        <w:spacing w:after="0" w:line="17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4"/>
          <w:szCs w:val="14"/>
          <w:color w:val="auto"/>
        </w:rPr>
        <w:t>PERFORMANCE BY SUBCONTRACTORS</w:t>
      </w:r>
    </w:p>
    <w:p>
      <w:pPr>
        <w:spacing w:after="0" w:line="175" w:lineRule="exact"/>
        <w:rPr>
          <w:sz w:val="20"/>
          <w:szCs w:val="20"/>
          <w:color w:val="auto"/>
        </w:rPr>
      </w:pPr>
    </w:p>
    <w:p>
      <w:pPr>
        <w:ind w:left="610" w:right="3539"/>
        <w:spacing w:after="0" w:line="237" w:lineRule="auto"/>
        <w:rPr>
          <w:sz w:val="20"/>
          <w:szCs w:val="20"/>
          <w:color w:val="auto"/>
        </w:rPr>
      </w:pPr>
      <w:r>
        <w:rPr>
          <w:rFonts w:ascii="Courier New" w:cs="Courier New" w:eastAsia="Courier New" w:hAnsi="Courier New"/>
          <w:sz w:val="15"/>
          <w:szCs w:val="15"/>
          <w:color w:val="auto"/>
        </w:rPr>
        <w:t>SCI may perform its obligations hereunder through its Affiliates, consultants or subcontractors, but shall be responsible to NS for the performance of any such party.</w:t>
      </w:r>
    </w:p>
    <w:p>
      <w:pPr>
        <w:spacing w:after="0" w:line="175" w:lineRule="exact"/>
        <w:rPr>
          <w:sz w:val="20"/>
          <w:szCs w:val="20"/>
          <w:color w:val="auto"/>
        </w:rPr>
      </w:pPr>
    </w:p>
    <w:p>
      <w:pPr>
        <w:ind w:left="10" w:right="7839" w:hanging="10"/>
        <w:spacing w:after="0" w:line="513" w:lineRule="auto"/>
        <w:tabs>
          <w:tab w:leader="none" w:pos="62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TERMINATION 10.01 TERM OF LICENSE.</w:t>
      </w:r>
    </w:p>
    <w:p>
      <w:pPr>
        <w:ind w:left="610" w:right="3179"/>
        <w:spacing w:after="0" w:line="237" w:lineRule="auto"/>
        <w:rPr>
          <w:sz w:val="20"/>
          <w:szCs w:val="20"/>
          <w:color w:val="auto"/>
        </w:rPr>
      </w:pPr>
      <w:r>
        <w:rPr>
          <w:rFonts w:ascii="Courier New" w:cs="Courier New" w:eastAsia="Courier New" w:hAnsi="Courier New"/>
          <w:sz w:val="15"/>
          <w:szCs w:val="15"/>
          <w:color w:val="auto"/>
        </w:rPr>
        <w:t>This Agreement shall continue, unless earlier terminated in accordance with this Section, until the expiration of all Patent Rights which are or may be licensed to SCI and the becoming public of all material Cell Technology (without such publication arising from a breach of the provisions of Article 5).</w:t>
      </w:r>
    </w:p>
    <w:p>
      <w:pPr>
        <w:spacing w:after="0" w:line="17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4"/>
          <w:szCs w:val="14"/>
          <w:color w:val="auto"/>
        </w:rPr>
        <w:t>TERM OF ROYALTIES.</w:t>
      </w:r>
    </w:p>
    <w:p>
      <w:pPr>
        <w:spacing w:after="0" w:line="17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The obligation of SCI to pay royalties on Net Sales in any country *****</w:t>
      </w:r>
    </w:p>
    <w:p>
      <w:pPr>
        <w:spacing w:after="0" w:line="11" w:lineRule="exact"/>
        <w:rPr>
          <w:sz w:val="20"/>
          <w:szCs w:val="20"/>
          <w:color w:val="auto"/>
        </w:rPr>
      </w:pPr>
    </w:p>
    <w:p>
      <w:pPr>
        <w:ind w:left="610" w:right="3179" w:firstLine="7"/>
        <w:spacing w:after="0" w:line="257" w:lineRule="auto"/>
        <w:tabs>
          <w:tab w:leader="none" w:pos="78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Royalties shall begin to accrue if and when a patent under the Patent Rights which covers any part of a Product or Service shall issue in such country. Notwithstanding the foregoing, if SCI has made Sales or provides Services in a country before any patent under the Patent Rights which covers any part of a Product or Service shall issue in that country and if such patent shall subsequently then issue in that country, SCI shall, in addition to its obligation to make ongoing Royalty payments under this Agreement, make an adjusting Royalty payment to NS for all such Sales and provision of Services during the period from the date of such first Sales or provision of Services until the said patent issued in that country, provided that in the event of significant competitive sales of Products by third parties in that country using any of the NL Licensed Technology prior to the issue of the applicable Patent Rights the adjusting Royalty payment will be modified to reflect</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797" w:right="1440" w:bottom="1440" w:gutter="0" w:footer="0" w:header="0"/>
        </w:sectPr>
      </w:pPr>
    </w:p>
    <w:bookmarkStart w:id="85" w:name="page86"/>
    <w:bookmarkEnd w:id="85"/>
    <w:p>
      <w:pPr>
        <w:ind w:left="600" w:right="3179"/>
        <w:spacing w:after="0" w:line="238" w:lineRule="auto"/>
        <w:rPr>
          <w:sz w:val="20"/>
          <w:szCs w:val="20"/>
          <w:color w:val="auto"/>
        </w:rPr>
      </w:pPr>
      <w:r>
        <w:rPr>
          <w:rFonts w:ascii="Courier New" w:cs="Courier New" w:eastAsia="Courier New" w:hAnsi="Courier New"/>
          <w:sz w:val="15"/>
          <w:szCs w:val="15"/>
          <w:color w:val="auto"/>
        </w:rPr>
        <w:t>the actual and reasonable impact of those competitive sales in that country prior to the issue of Patent Rights. In the event the parties cannot agree on the amount that any adjusting Royalty payment should be modified to reflect such prior competitive sales, then the issue shall be resolved in accordance with the section hereof entitled "Resolution of Disputes."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10.03</w:t>
      </w:r>
      <w:r>
        <w:rPr>
          <w:sz w:val="20"/>
          <w:szCs w:val="20"/>
          <w:color w:val="auto"/>
        </w:rPr>
        <w:tab/>
      </w:r>
      <w:r>
        <w:rPr>
          <w:rFonts w:ascii="Courier New" w:cs="Courier New" w:eastAsia="Courier New" w:hAnsi="Courier New"/>
          <w:sz w:val="14"/>
          <w:szCs w:val="14"/>
          <w:color w:val="auto"/>
        </w:rPr>
        <w:t>DEFAULTS.</w:t>
      </w:r>
    </w:p>
    <w:p>
      <w:pPr>
        <w:spacing w:after="0" w:line="175" w:lineRule="exact"/>
        <w:rPr>
          <w:sz w:val="20"/>
          <w:szCs w:val="20"/>
          <w:color w:val="auto"/>
        </w:rPr>
      </w:pPr>
    </w:p>
    <w:p>
      <w:pPr>
        <w:ind w:left="600" w:right="3259"/>
        <w:spacing w:after="0" w:line="257" w:lineRule="auto"/>
        <w:rPr>
          <w:sz w:val="20"/>
          <w:szCs w:val="20"/>
          <w:color w:val="auto"/>
        </w:rPr>
      </w:pPr>
      <w:r>
        <w:rPr>
          <w:rFonts w:ascii="Courier New" w:cs="Courier New" w:eastAsia="Courier New" w:hAnsi="Courier New"/>
          <w:sz w:val="14"/>
          <w:szCs w:val="14"/>
          <w:color w:val="auto"/>
        </w:rPr>
        <w:t>If either party shall fail to perform any of its material obligations hereunder, the other party may notify the defaulting party in writing of such default, stating in such written notice the obligation which the defaulting party shall have failed to perform, and, if the defaulting party shall not have cured such default within sixty (60) days after the giving of such notice then the other party may, at its option and in addition to its other remedies under law, terminate this Agreement by giving the defaulting party written notice of such termination.</w:t>
      </w:r>
    </w:p>
    <w:p>
      <w:pPr>
        <w:spacing w:after="0" w:line="16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10.04</w:t>
      </w:r>
      <w:r>
        <w:rPr>
          <w:sz w:val="20"/>
          <w:szCs w:val="20"/>
          <w:color w:val="auto"/>
        </w:rPr>
        <w:tab/>
      </w:r>
      <w:r>
        <w:rPr>
          <w:rFonts w:ascii="Courier New" w:cs="Courier New" w:eastAsia="Courier New" w:hAnsi="Courier New"/>
          <w:sz w:val="14"/>
          <w:szCs w:val="14"/>
          <w:color w:val="auto"/>
        </w:rPr>
        <w:t>BANKRUPTCY.</w:t>
      </w:r>
    </w:p>
    <w:p>
      <w:pPr>
        <w:spacing w:after="0" w:line="175"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Either party may terminate this Agreement if, at any time, the other party shall file in any court or agency pursuant to any statute or regulation of any state or country, a petition in bankruptcy or insolvency or for reorganization or for an arrangement or for the appointment of a receiver or trustee of the party or of its assets, or if the other party proposes a written agreement of composition or extension of its debts, or if the other party shall be served with an involuntary petition against it, filed in any insolvency proceeding, and such petition shall not be dismissed or stayed within sixty (60) days after the filing thereof, or if the other party shall propose or be a party to any dissolution or liquidation, or if the other party shall make an assignment for the benefit of creditors.</w:t>
      </w:r>
    </w:p>
    <w:p>
      <w:pPr>
        <w:spacing w:after="0" w:line="17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Until such time as the restrictions on NHL may be removed under the</w:t>
      </w:r>
    </w:p>
    <w:p>
      <w:pPr>
        <w:ind w:left="600"/>
        <w:spacing w:after="0"/>
        <w:rPr>
          <w:sz w:val="20"/>
          <w:szCs w:val="20"/>
          <w:color w:val="auto"/>
        </w:rPr>
      </w:pPr>
      <w:r>
        <w:rPr>
          <w:rFonts w:ascii="Courier New" w:cs="Courier New" w:eastAsia="Courier New" w:hAnsi="Courier New"/>
          <w:sz w:val="15"/>
          <w:szCs w:val="15"/>
          <w:color w:val="auto"/>
        </w:rPr>
        <w:t>BackUp License, NS shall:</w:t>
      </w:r>
    </w:p>
    <w:p>
      <w:pPr>
        <w:spacing w:after="0" w:line="174" w:lineRule="exact"/>
        <w:rPr>
          <w:sz w:val="20"/>
          <w:szCs w:val="20"/>
          <w:color w:val="auto"/>
        </w:rPr>
      </w:pPr>
    </w:p>
    <w:p>
      <w:pPr>
        <w:ind w:left="1040" w:right="3359" w:hanging="433"/>
        <w:spacing w:after="0" w:line="237" w:lineRule="auto"/>
        <w:tabs>
          <w:tab w:leader="none" w:pos="10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abide by the terms of, and fulfill all of its obligations under, each of the NS/NHL License and Assignment Agreement, and take all action necessary to maintain each such agreement in full force and effect; and</w:t>
      </w:r>
    </w:p>
    <w:p>
      <w:pPr>
        <w:spacing w:after="0" w:line="176" w:lineRule="exact"/>
        <w:rPr>
          <w:rFonts w:ascii="Courier New" w:cs="Courier New" w:eastAsia="Courier New" w:hAnsi="Courier New"/>
          <w:sz w:val="15"/>
          <w:szCs w:val="15"/>
          <w:color w:val="auto"/>
        </w:rPr>
      </w:pPr>
    </w:p>
    <w:p>
      <w:pPr>
        <w:ind w:left="1040" w:right="3359" w:hanging="433"/>
        <w:spacing w:after="0" w:line="260" w:lineRule="auto"/>
        <w:tabs>
          <w:tab w:leader="none" w:pos="10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NS shall pay in full when due any and all expenses, payables and other liabilities of NHL, whether such expenses, payables, or liabilities arise in the ordinary course of business or otherwise.</w:t>
      </w:r>
    </w:p>
    <w:p>
      <w:pPr>
        <w:spacing w:after="0" w:line="162" w:lineRule="exact"/>
        <w:rPr>
          <w:rFonts w:ascii="Courier New" w:cs="Courier New" w:eastAsia="Courier New" w:hAnsi="Courier New"/>
          <w:sz w:val="14"/>
          <w:szCs w:val="14"/>
          <w:color w:val="auto"/>
        </w:rPr>
      </w:pPr>
    </w:p>
    <w:p>
      <w:pPr>
        <w:ind w:left="1040" w:right="3259" w:hanging="433"/>
        <w:spacing w:after="0" w:line="238" w:lineRule="auto"/>
        <w:tabs>
          <w:tab w:leader="none" w:pos="10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NS will not create or incur or suffer to be created or incurred or to exist any encumbrance, pledge, lien, charge (floating or fixed) or other security interest of any kind (each a "lien") upon the license rights granted to NS pursuant to the NS/NHL License, the Cell Technology and the Patent Rights, provided, NS shall be permitted to grant a lien on its intellectual property, including the Cell Technology and Patent Rights, to a third party (the "Other Lien Holder") if (i) NHL is amalgamated with and into NS (in an amalgamation the surviving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7" w:right="1440" w:bottom="1440" w:gutter="0" w:footer="0" w:header="0"/>
        </w:sectPr>
      </w:pPr>
    </w:p>
    <w:bookmarkStart w:id="86" w:name="page87"/>
    <w:bookmarkEnd w:id="86"/>
    <w:p>
      <w:pPr>
        <w:ind w:left="1040" w:right="3179"/>
        <w:spacing w:after="0" w:line="256" w:lineRule="auto"/>
        <w:rPr>
          <w:sz w:val="20"/>
          <w:szCs w:val="20"/>
          <w:color w:val="auto"/>
        </w:rPr>
      </w:pPr>
      <w:r>
        <w:rPr>
          <w:rFonts w:ascii="Courier New" w:cs="Courier New" w:eastAsia="Courier New" w:hAnsi="Courier New"/>
          <w:sz w:val="14"/>
          <w:szCs w:val="14"/>
          <w:color w:val="auto"/>
        </w:rPr>
        <w:t>corporation of which is NS) or substantially all of the assets of NHL (including all of NHL's intellectual property rights) are acquired by NS, (ii) NS grants a first priority security interest (the "Security Interest") in the Cell Technology and Patent Rights and essentially all other intellectual property of NS licensed to a third party (including all patent and patent applications claiming any such intellectual property) (collectively, the "Collateral") to a person or entity (the "Collateral Agent") for the benefit of all licensees of NS' intellectual property including, without limitation, SCI (the "Licensees") to secure each Licensee's license rights in the Collateral, and (iii) the Other Lien Holder agrees to subordinate its security interest in such intellectual property (including an agreement not to foreclose on such intellectual property) to the Security Interest upon terms reasonably satisfactory to the Licensees. The Collateral Agent shall be selected by the Licensees (with the approval of NS, which approval shall not be unreasonably withheld) and the Security Interest shall be granted pursuant to a Security Agreement among NS, the Collateral Agent, and the Licensees in a form thereof to be negotiated among SCI, NS and the other Licensees, and shall provide, among other things, upon the occurrence of an Event of Default (as defined below) that the Collateral Agent shall, subject to the rights of the Licensees to continue to exercise their license rights in the Collateral, have all the rights of a holder of a first fixed charge and secured party under the Personal Property Security Act, and any other law or statute governing the rights of holder's of first fixed charges or security interests. The Security Agreement shall also provide for the filing of all financing statements, assignments and other instruments and documents the Collateral Agent deems reasonably necessary to perfect the Security Interest. For purposes of the Security Agreement, each of the following shall constitute an Event of Default: (a) the termination or limitation of the license granted to SCI pursuant to Section 2 of this Agreement (other than a termination of such license by NS, in accordance with the terms hereof, as a result of a breach of this Agreement by SCI); (b) if NS passes a resolution or institutes proceedings for its winding-up, liquidation, or dissolution or consents to the filing of any petition with respect thereto or files a petition or answer or consent seeking readjustment, arrangements, composition or similar relief under any Canadian or other applicable law or consents to the filing of any such petition or to the appointment of a receiver, liquidator, trustee or similar officer of itself or any part of its property or makes an assignment for the benefit of creditors or if NS takes any action pursuant to the Winding-Up Act (Canada) or the Bankruptcy and Insolvency Act (Canada); (c) any application is made with respect to NS under the Companies Creditors Arrangement Act (Canada), Bankruptcy and Insolvency Act (Canada) or similar legislation seeking readjustment, arrangement, composition or similar relief for NS under any Canadian or other applicable law, or if a proceeding is instituted for the winding up, liquidation or dissolution of NS or seeking an order adjudging NS insolvent or the appointment of any receiver, liquidator, trustee or similar officer of NS or over all or any part of its property or a petition in bankruptcy is presented against NS under a bankruptcy or similar statute and if in any such case such application, proceeding or petition is not dismissed, stayed or withdrawn within 45 days after the making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7" w:right="1440" w:bottom="1440" w:gutter="0" w:footer="0" w:header="0"/>
        </w:sectPr>
      </w:pPr>
    </w:p>
    <w:bookmarkStart w:id="87" w:name="page88"/>
    <w:bookmarkEnd w:id="87"/>
    <w:p>
      <w:pPr>
        <w:ind w:left="1040" w:right="3179"/>
        <w:spacing w:after="0" w:line="256" w:lineRule="auto"/>
        <w:rPr>
          <w:sz w:val="20"/>
          <w:szCs w:val="20"/>
          <w:color w:val="auto"/>
        </w:rPr>
      </w:pPr>
      <w:r>
        <w:rPr>
          <w:rFonts w:ascii="Courier New" w:cs="Courier New" w:eastAsia="Courier New" w:hAnsi="Courier New"/>
          <w:sz w:val="14"/>
          <w:szCs w:val="14"/>
          <w:color w:val="auto"/>
        </w:rPr>
        <w:t>application, institution of such proceeding or filing of such petition (provided that if in any such proceeding, NS is adjudged bankrupt or insolvent by a court of competent jurisdiction or any receiver, liquidator or trustee is appointed for NS or any substantial portion of NS assets, an Event of Default shall be deemed to have occurred); (d) the breach by NS of any of its material obligations under the said license agreement, which breach is not cured within the time allotted under the terms hereof to cure such breach; and (e) such other Events of Default to which NS and the Licensees reasonably agree. Upon receipt of a notice (the "Notice") from NS that it intends to exercise its rights under this Section 9.04 (c), which notice shall set forth the identity and address of each Licensee and the proposed Other Lien Holder, (x) the Licensees shall select a Collateral Agent and negotiate the terms of the Collateral Agent's appointment and the voting mechanism governing the Collateral Agent's actions (the "Collateral Agent Agreement"), (y) the Licensees, NS and the Collateral Agent shall negotiate the terms of a Security Agreement consistent with the terms set forth in this Section 9.04(c), and (z), upon agreement on the terms of the Security Agreement, the Licensees and the Other Lien Holder shall negotiate the terms of an agreement (the "Subordination Agreement") pursuant to which the Other Lien Holder agrees to subordinate its security interest in the Collateral to the Security Interest consistent with the terms set forth above. If after 30 days from the receipt of the Notice by the last of the Licensees to receive the Notice, the Licensees are unable to agree on a Collateral Agent or the terms of the Collateral Agent Agreement, any Licensee may submit the matter to binding arbitration in accordance with the procedures set forth below, which arbitration shall be binding upon all of the Licensees. If after 60 days from receipt of the Notice by the last of the Licensees to receive the Notice, the Licensees, the Collateral Agent and NS are unable to agree on the terms of a Security Agreement, any Licensee or NS may submit the matter to binding arbitration in accordance with the procedures set forth below. If after 90 days from receipt of the Notice by the last of the Licensees to receive the Notice, the Licensees and the Other Lien Holder are unable to agree upon the terms of a Subordination Agreement, any Licensee or the Other Lien Holder (if the Other Lien Holder chooses) may submit the matter to binding arbitration in accordance with the procedures set forth below. Each such arbitration shall be conducted in accordance with the rules of, and under the auspices of the International Chamber of Commerce and the location of the arbitration shall be San Francisco, California. The person requesting such arbitration shall send notice to all parties of its intention. A single arbitrator shall preside and shall be appointed by the International Chamber of Commerce and shall not be an employee, consultant, officer, director, shareholder of or otherwise associated with any party or an Affiliate of any party. Each party shall consent to the consolidation of a single arbitration to decide all issues in dispute.</w:t>
      </w:r>
    </w:p>
    <w:p>
      <w:pPr>
        <w:spacing w:after="0" w:line="200" w:lineRule="exact"/>
        <w:rPr>
          <w:sz w:val="20"/>
          <w:szCs w:val="20"/>
          <w:color w:val="auto"/>
        </w:rPr>
      </w:pPr>
    </w:p>
    <w:p>
      <w:pPr>
        <w:spacing w:after="0" w:line="325" w:lineRule="exact"/>
        <w:rPr>
          <w:sz w:val="20"/>
          <w:szCs w:val="20"/>
          <w:color w:val="auto"/>
        </w:rPr>
      </w:pPr>
    </w:p>
    <w:p>
      <w:pPr>
        <w:ind w:left="1040" w:right="3179"/>
        <w:spacing w:after="0" w:line="238" w:lineRule="auto"/>
        <w:rPr>
          <w:sz w:val="20"/>
          <w:szCs w:val="20"/>
          <w:color w:val="auto"/>
        </w:rPr>
      </w:pPr>
      <w:r>
        <w:rPr>
          <w:rFonts w:ascii="Courier New" w:cs="Courier New" w:eastAsia="Courier New" w:hAnsi="Courier New"/>
          <w:sz w:val="15"/>
          <w:szCs w:val="15"/>
          <w:color w:val="auto"/>
        </w:rPr>
        <w:t>Within 15 days after the designation of the arbitrator, the arbitrator and the parties shall meet at which time each party shall be required to set forth in writing the issues which need to be resolved and a proposed ruling on each such issue. The arbitrator shall set a date for a hearing, which shall be no later than 15 days after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7" w:right="1440" w:bottom="1440" w:gutter="0" w:footer="0" w:header="0"/>
        </w:sectPr>
      </w:pPr>
    </w:p>
    <w:bookmarkStart w:id="88" w:name="page89"/>
    <w:bookmarkEnd w:id="88"/>
    <w:p>
      <w:pPr>
        <w:ind w:left="1040" w:right="3359"/>
        <w:spacing w:after="0" w:line="257" w:lineRule="auto"/>
        <w:rPr>
          <w:sz w:val="20"/>
          <w:szCs w:val="20"/>
          <w:color w:val="auto"/>
        </w:rPr>
      </w:pPr>
      <w:r>
        <w:rPr>
          <w:rFonts w:ascii="Courier New" w:cs="Courier New" w:eastAsia="Courier New" w:hAnsi="Courier New"/>
          <w:sz w:val="14"/>
          <w:szCs w:val="14"/>
          <w:color w:val="auto"/>
        </w:rPr>
        <w:t>the submission of written proposals, to discuss each of the issues identified by the parties. Each party shall have the right to be represented by counsel. The arbitrator shall have sole discretion with regard to the admissibility of any evidence. The arbitrator shall use his or her best efforts to rule on each disputed issue within 10 days after the completion of such hearings. The arbitrator's ruling shall be, in the absence of fraud or manifest error, binding and conclusive upon the parties and may be enforced in a court of competent jurisdiction. The arbitrator may not award punitive, consequential or exemplary damages.</w:t>
      </w:r>
    </w:p>
    <w:p>
      <w:pPr>
        <w:spacing w:after="0" w:line="166" w:lineRule="exact"/>
        <w:rPr>
          <w:sz w:val="20"/>
          <w:szCs w:val="20"/>
          <w:color w:val="auto"/>
        </w:rPr>
      </w:pPr>
    </w:p>
    <w:p>
      <w:pPr>
        <w:ind w:left="1040" w:right="3179"/>
        <w:spacing w:after="0" w:line="238" w:lineRule="auto"/>
        <w:rPr>
          <w:sz w:val="20"/>
          <w:szCs w:val="20"/>
          <w:color w:val="auto"/>
        </w:rPr>
      </w:pPr>
      <w:r>
        <w:rPr>
          <w:rFonts w:ascii="Courier New" w:cs="Courier New" w:eastAsia="Courier New" w:hAnsi="Courier New"/>
          <w:sz w:val="15"/>
          <w:szCs w:val="15"/>
          <w:color w:val="auto"/>
        </w:rPr>
        <w:t>Each party shall bear its own expenses, including legal expenses, in connection with the legislation, drafting and execution of any transaction or agreement contemplated above or in connection with any arbitration. The filing fees associated with the perfection of the Security Interest shall be split evenly among each Licensee and NS.</w:t>
      </w:r>
    </w:p>
    <w:p>
      <w:pPr>
        <w:spacing w:after="0" w:line="176" w:lineRule="exact"/>
        <w:rPr>
          <w:sz w:val="20"/>
          <w:szCs w:val="20"/>
          <w:color w:val="auto"/>
        </w:rPr>
      </w:pPr>
    </w:p>
    <w:p>
      <w:pPr>
        <w:ind w:left="1040" w:right="3179"/>
        <w:spacing w:after="0" w:line="257" w:lineRule="auto"/>
        <w:rPr>
          <w:sz w:val="20"/>
          <w:szCs w:val="20"/>
          <w:color w:val="auto"/>
        </w:rPr>
      </w:pPr>
      <w:r>
        <w:rPr>
          <w:rFonts w:ascii="Courier New" w:cs="Courier New" w:eastAsia="Courier New" w:hAnsi="Courier New"/>
          <w:sz w:val="14"/>
          <w:szCs w:val="14"/>
          <w:color w:val="auto"/>
        </w:rPr>
        <w:t>The parties acknowledge that it will be impossible to measure the damages that would be suffered by SCI if NS fails to comply with the covenants in this Section 10.04 and that in the event of such failure, SCI will not have an adequate remedy at law. SCI shall, therefore, be entitled in addition to any other rights and remedies to obtain specific performance of NS' obligations hereunder and to obtain injunctive relief without having to post a bond. NS shall not urge, as a defense to any proceeding for such specific performance or injunctive relief, that SCI has an adequate remedy at law.</w:t>
      </w:r>
    </w:p>
    <w:p>
      <w:pPr>
        <w:spacing w:after="0" w:line="167"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NS may, at its sole option, terminate the Back Up License, remove the corporate restrictions on NHL's ability to do business and amalgamate with NHL (or with NHL and another entity), on giving written notice to SCI provided that (a) the amalgamated entity is the owner of all of the NL Licensed Technology, and (b) NHL either ceases to exist or has no further rights to any NL Licensed Technology, and (c) the amalgamated entity confirm to SCI in writing that it continues to be bound under the 1997 License Agreement and under this Agreement. In such a case the terms of this Section</w:t>
      </w:r>
    </w:p>
    <w:p>
      <w:pPr>
        <w:spacing w:after="0" w:line="3" w:lineRule="exact"/>
        <w:rPr>
          <w:sz w:val="20"/>
          <w:szCs w:val="20"/>
          <w:color w:val="auto"/>
        </w:rPr>
      </w:pPr>
    </w:p>
    <w:p>
      <w:pPr>
        <w:ind w:left="1040" w:right="3359"/>
        <w:spacing w:after="0" w:line="237" w:lineRule="auto"/>
        <w:rPr>
          <w:sz w:val="20"/>
          <w:szCs w:val="20"/>
          <w:color w:val="auto"/>
        </w:rPr>
      </w:pPr>
      <w:r>
        <w:rPr>
          <w:rFonts w:ascii="Courier New" w:cs="Courier New" w:eastAsia="Courier New" w:hAnsi="Courier New"/>
          <w:sz w:val="15"/>
          <w:szCs w:val="15"/>
          <w:color w:val="auto"/>
        </w:rPr>
        <w:t>10.04, apart from the first paragraph and this paragraph, shall be of no further force or effect. For greater certainty the 1997 License Agreement is amended by inserting this and the following paragraph in the section entitled "Bankruptcy".</w:t>
      </w:r>
    </w:p>
    <w:p>
      <w:pPr>
        <w:spacing w:after="0" w:line="176" w:lineRule="exact"/>
        <w:rPr>
          <w:sz w:val="20"/>
          <w:szCs w:val="20"/>
          <w:color w:val="auto"/>
        </w:rPr>
      </w:pPr>
    </w:p>
    <w:p>
      <w:pPr>
        <w:ind w:left="1040" w:right="3259"/>
        <w:spacing w:after="0" w:line="237" w:lineRule="auto"/>
        <w:rPr>
          <w:sz w:val="20"/>
          <w:szCs w:val="20"/>
          <w:color w:val="auto"/>
        </w:rPr>
      </w:pPr>
      <w:r>
        <w:rPr>
          <w:rFonts w:ascii="Courier New" w:cs="Courier New" w:eastAsia="Courier New" w:hAnsi="Courier New"/>
          <w:sz w:val="15"/>
          <w:szCs w:val="15"/>
          <w:color w:val="auto"/>
        </w:rPr>
        <w:t>Upon such an amalgamation, SCI may, at its option, require registration of a security interest in favor of SCI against the NL Licensed Technology for the purpose of protection of SCI's interest as a licensee under this and the 1997 License Agreement, in a form acceptable to NS and SCI.</w:t>
      </w:r>
    </w:p>
    <w:p>
      <w:pPr>
        <w:spacing w:after="0" w:line="17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10.05</w:t>
      </w:r>
      <w:r>
        <w:rPr>
          <w:sz w:val="20"/>
          <w:szCs w:val="20"/>
          <w:color w:val="auto"/>
        </w:rPr>
        <w:tab/>
      </w:r>
      <w:r>
        <w:rPr>
          <w:rFonts w:ascii="Courier New" w:cs="Courier New" w:eastAsia="Courier New" w:hAnsi="Courier New"/>
          <w:sz w:val="14"/>
          <w:szCs w:val="14"/>
          <w:color w:val="auto"/>
        </w:rPr>
        <w:t>EFFECT OF TERMINATION: SURVIVAL</w:t>
      </w:r>
    </w:p>
    <w:p>
      <w:pPr>
        <w:spacing w:after="0" w:line="175" w:lineRule="exact"/>
        <w:rPr>
          <w:sz w:val="20"/>
          <w:szCs w:val="20"/>
          <w:color w:val="auto"/>
        </w:rPr>
      </w:pPr>
    </w:p>
    <w:p>
      <w:pPr>
        <w:ind w:left="600" w:right="3359"/>
        <w:spacing w:after="0" w:line="237" w:lineRule="auto"/>
        <w:rPr>
          <w:sz w:val="20"/>
          <w:szCs w:val="20"/>
          <w:color w:val="auto"/>
        </w:rPr>
      </w:pPr>
      <w:r>
        <w:rPr>
          <w:rFonts w:ascii="Courier New" w:cs="Courier New" w:eastAsia="Courier New" w:hAnsi="Courier New"/>
          <w:sz w:val="15"/>
          <w:szCs w:val="15"/>
          <w:color w:val="auto"/>
        </w:rPr>
        <w:t>Upon termination of this Agreement for any reason, nothing herein shall be construed to release either party from any obligation that matured prior to the effective date of such termination. SCI and any SCI Sublicensee may, however, after the effective date of such</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97" w:right="1440" w:bottom="1440" w:gutter="0" w:footer="0" w:header="0"/>
        </w:sectPr>
      </w:pPr>
    </w:p>
    <w:bookmarkStart w:id="89" w:name="page90"/>
    <w:bookmarkEnd w:id="89"/>
    <w:p>
      <w:pPr>
        <w:ind w:left="610" w:right="3179"/>
        <w:spacing w:after="0" w:line="238" w:lineRule="auto"/>
        <w:rPr>
          <w:sz w:val="20"/>
          <w:szCs w:val="20"/>
          <w:color w:val="auto"/>
        </w:rPr>
      </w:pPr>
      <w:r>
        <w:rPr>
          <w:rFonts w:ascii="Courier New" w:cs="Courier New" w:eastAsia="Courier New" w:hAnsi="Courier New"/>
          <w:sz w:val="15"/>
          <w:szCs w:val="15"/>
          <w:color w:val="auto"/>
        </w:rPr>
        <w:t>termination, sell Products in the process of manufacture at the time of such termination, provided that SCI shall pay to NS the royalties thereon as required of this Agreement and shall submit the reports required by Section 3 hereof on the Sales of such Products or provision of Services. The provisions of Sections 5, 10 and 11 of this Agreement shall survive termination or expiration of this Agreement for any reason. Notwithstanding any termination of this Agreement under this, or any other, section of this Agreement, the 1997 License Agreement shall remain in full force and effect.</w:t>
      </w:r>
    </w:p>
    <w:p>
      <w:pPr>
        <w:spacing w:after="0" w:line="17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4"/>
          <w:szCs w:val="14"/>
          <w:color w:val="auto"/>
        </w:rPr>
        <w:t>EFFECT OF TERMINATION</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The termination of this Agreement for any reason shall result in the immediate termination of any license granted hereunder, subject to Sections 6.02 and 10.05 above. SCI shall immediately cease and desist from practicing the New Patents and the New Cell Technology or performing or authorizing any act which infringes any Patent Right or right to any Cell Technology. No termination of this Agreement shall preclude SCI from practicing Existing Patents or Existing Cell Technology under the 1997 Agreement. In the event of a termination, any existing sublicensee shall have the same rights and license directly from NS as it was granted by SCI, provided that such sublicensee shall confirm in writing to NS that NS may enforce the terms and conditions of the sublicense against such sublicensee.</w:t>
      </w:r>
    </w:p>
    <w:p>
      <w:pPr>
        <w:spacing w:after="0" w:line="182" w:lineRule="exact"/>
        <w:rPr>
          <w:sz w:val="20"/>
          <w:szCs w:val="20"/>
          <w:color w:val="auto"/>
        </w:rPr>
      </w:pPr>
    </w:p>
    <w:p>
      <w:pPr>
        <w:ind w:left="10" w:right="7679" w:hanging="10"/>
        <w:spacing w:after="0" w:line="471" w:lineRule="auto"/>
        <w:tabs>
          <w:tab w:leader="none" w:pos="62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DISPUTES 11.01 GENERAL</w:t>
      </w:r>
    </w:p>
    <w:p>
      <w:pPr>
        <w:spacing w:after="0" w:line="11" w:lineRule="exact"/>
        <w:rPr>
          <w:sz w:val="20"/>
          <w:szCs w:val="20"/>
          <w:color w:val="auto"/>
        </w:rPr>
      </w:pPr>
    </w:p>
    <w:p>
      <w:pPr>
        <w:ind w:left="610" w:right="3259"/>
        <w:spacing w:after="0" w:line="237" w:lineRule="auto"/>
        <w:rPr>
          <w:sz w:val="20"/>
          <w:szCs w:val="20"/>
          <w:color w:val="auto"/>
        </w:rPr>
      </w:pPr>
      <w:r>
        <w:rPr>
          <w:rFonts w:ascii="Courier New" w:cs="Courier New" w:eastAsia="Courier New" w:hAnsi="Courier New"/>
          <w:sz w:val="15"/>
          <w:szCs w:val="15"/>
          <w:color w:val="auto"/>
        </w:rPr>
        <w:t>In the event that any dispute should arise between the parties with respect to any matter relating to this Agreement, the Parties shall resolve such dispute in accordance with the procedures set forth in this Section 11.</w:t>
      </w:r>
    </w:p>
    <w:p>
      <w:pPr>
        <w:spacing w:after="0" w:line="171"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11.02</w:t>
      </w:r>
      <w:r>
        <w:rPr>
          <w:sz w:val="20"/>
          <w:szCs w:val="20"/>
          <w:color w:val="auto"/>
        </w:rPr>
        <w:tab/>
      </w:r>
      <w:r>
        <w:rPr>
          <w:rFonts w:ascii="Courier New" w:cs="Courier New" w:eastAsia="Courier New" w:hAnsi="Courier New"/>
          <w:sz w:val="14"/>
          <w:szCs w:val="14"/>
          <w:color w:val="auto"/>
        </w:rPr>
        <w:t>DISPUTE RESOLUTION PROCESS</w:t>
      </w:r>
    </w:p>
    <w:p>
      <w:pPr>
        <w:spacing w:after="0" w:line="169" w:lineRule="exact"/>
        <w:rPr>
          <w:sz w:val="20"/>
          <w:szCs w:val="20"/>
          <w:color w:val="auto"/>
        </w:rPr>
      </w:pPr>
    </w:p>
    <w:p>
      <w:pPr>
        <w:ind w:left="1050" w:hanging="433"/>
        <w:spacing w:after="0"/>
        <w:tabs>
          <w:tab w:leader="none" w:pos="105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Mediation</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In the event of any dispute between the parties with respect to any matter relating to this Agreement, the Parties shall first use their best efforts to resolve such dispute among themselves. Prior to seeking any third party to resolve a dispute, the Chief Executive Officers of SCI and NS shall meet in private meeting for at least one-half (1/2) of a day to attempt to resolve the dispute. If the parties are unable to resolve the dispute within 30 days after the Chief Executive Officers have met, the parties will then seek the assistance of one or more unaffiliated third parties to assist in mediating the dispute.</w:t>
      </w:r>
    </w:p>
    <w:p>
      <w:pPr>
        <w:spacing w:after="0" w:line="173" w:lineRule="exact"/>
        <w:rPr>
          <w:sz w:val="20"/>
          <w:szCs w:val="20"/>
          <w:color w:val="auto"/>
        </w:rPr>
      </w:pPr>
    </w:p>
    <w:p>
      <w:pPr>
        <w:ind w:left="1050" w:hanging="433"/>
        <w:spacing w:after="0"/>
        <w:tabs>
          <w:tab w:leader="none" w:pos="10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ARBITRATORS</w:t>
      </w:r>
    </w:p>
    <w:p>
      <w:pPr>
        <w:spacing w:after="0" w:line="175" w:lineRule="exact"/>
        <w:rPr>
          <w:sz w:val="20"/>
          <w:szCs w:val="20"/>
          <w:color w:val="auto"/>
        </w:rPr>
      </w:pPr>
    </w:p>
    <w:p>
      <w:pPr>
        <w:ind w:left="610" w:right="3179"/>
        <w:spacing w:after="0" w:line="237" w:lineRule="auto"/>
        <w:rPr>
          <w:sz w:val="20"/>
          <w:szCs w:val="20"/>
          <w:color w:val="auto"/>
        </w:rPr>
      </w:pPr>
      <w:r>
        <w:rPr>
          <w:rFonts w:ascii="Courier New" w:cs="Courier New" w:eastAsia="Courier New" w:hAnsi="Courier New"/>
          <w:sz w:val="15"/>
          <w:szCs w:val="15"/>
          <w:color w:val="auto"/>
        </w:rPr>
        <w:t>In the event that the parties are unable to resolve a dispute within 30 days after the commencement of mediation efforts under Section 11.02 (a), either party may submit the matter to binding arbitration in accordance with the procedures set forth in this Section</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797" w:right="1440" w:bottom="1440" w:gutter="0" w:footer="0" w:header="0"/>
        </w:sectPr>
      </w:pPr>
    </w:p>
    <w:bookmarkStart w:id="90" w:name="page91"/>
    <w:bookmarkEnd w:id="90"/>
    <w:p>
      <w:pPr>
        <w:ind w:left="610" w:right="3259"/>
        <w:spacing w:after="0" w:line="257" w:lineRule="auto"/>
        <w:rPr>
          <w:sz w:val="20"/>
          <w:szCs w:val="20"/>
          <w:color w:val="auto"/>
        </w:rPr>
      </w:pPr>
      <w:r>
        <w:rPr>
          <w:rFonts w:ascii="Courier New" w:cs="Courier New" w:eastAsia="Courier New" w:hAnsi="Courier New"/>
          <w:sz w:val="14"/>
          <w:szCs w:val="14"/>
          <w:color w:val="auto"/>
        </w:rPr>
        <w:t>11.02.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or an Affiliate of either party. The arbitration shall be conducted in accordance with the rules of, and under the auspices of, the International Chamber of Commerce and the location of the arbitration shall be San Francisco, California.</w:t>
      </w:r>
    </w:p>
    <w:p>
      <w:pPr>
        <w:spacing w:after="0" w:line="160" w:lineRule="exact"/>
        <w:rPr>
          <w:sz w:val="20"/>
          <w:szCs w:val="20"/>
          <w:color w:val="auto"/>
        </w:rPr>
      </w:pPr>
    </w:p>
    <w:p>
      <w:pPr>
        <w:ind w:left="1050" w:hanging="433"/>
        <w:spacing w:after="0"/>
        <w:tabs>
          <w:tab w:leader="none" w:pos="10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PROPOSALS</w:t>
      </w:r>
    </w:p>
    <w:p>
      <w:pPr>
        <w:spacing w:after="0" w:line="175" w:lineRule="exact"/>
        <w:rPr>
          <w:sz w:val="20"/>
          <w:szCs w:val="20"/>
          <w:color w:val="auto"/>
        </w:rPr>
      </w:pPr>
    </w:p>
    <w:p>
      <w:pPr>
        <w:ind w:left="610" w:right="3179"/>
        <w:spacing w:after="0" w:line="258" w:lineRule="auto"/>
        <w:rPr>
          <w:sz w:val="20"/>
          <w:szCs w:val="20"/>
          <w:color w:val="auto"/>
        </w:rPr>
      </w:pPr>
      <w:r>
        <w:rPr>
          <w:rFonts w:ascii="Courier New" w:cs="Courier New" w:eastAsia="Courier New" w:hAnsi="Courier New"/>
          <w:sz w:val="14"/>
          <w:szCs w:val="14"/>
          <w:color w:val="auto"/>
        </w:rPr>
        <w:t>Within 15 days after the designation of the third arbitrator, the arbitrators and the parties shall meet at which time each party shall be required to set forth in writing the issues which need to be resolved and a proposed ruling on each such issue. Each party shall provide such written summary of issues to the arbitrator and the other party no later than 5 business days prior to the first arbitration meeting.</w:t>
      </w:r>
    </w:p>
    <w:p>
      <w:pPr>
        <w:spacing w:after="0" w:line="158" w:lineRule="exact"/>
        <w:rPr>
          <w:sz w:val="20"/>
          <w:szCs w:val="20"/>
          <w:color w:val="auto"/>
        </w:rPr>
      </w:pPr>
    </w:p>
    <w:p>
      <w:pPr>
        <w:ind w:left="1050" w:hanging="433"/>
        <w:spacing w:after="0"/>
        <w:tabs>
          <w:tab w:leader="none" w:pos="105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HEARING</w:t>
      </w:r>
    </w:p>
    <w:p>
      <w:pPr>
        <w:spacing w:after="0" w:line="175" w:lineRule="exact"/>
        <w:rPr>
          <w:sz w:val="20"/>
          <w:szCs w:val="20"/>
          <w:color w:val="auto"/>
        </w:rPr>
      </w:pPr>
    </w:p>
    <w:p>
      <w:pPr>
        <w:ind w:left="610" w:right="3259"/>
        <w:spacing w:after="0" w:line="237" w:lineRule="auto"/>
        <w:rPr>
          <w:sz w:val="20"/>
          <w:szCs w:val="20"/>
          <w:color w:val="auto"/>
        </w:rPr>
      </w:pPr>
      <w:r>
        <w:rPr>
          <w:rFonts w:ascii="Courier New" w:cs="Courier New" w:eastAsia="Courier New" w:hAnsi="Courier New"/>
          <w:sz w:val="15"/>
          <w:szCs w:val="15"/>
          <w:color w:val="auto"/>
        </w:rPr>
        <w:t>The arbitrators shall set a date for a hearing, which shall be no later than 30 days after the submission of written proposals, to discuss each of the issues identified to the parties. Each party shall have the right to be represented by counsel. The arbitrators shall have sole discretion with regard to the admissibility of any evidence.</w:t>
      </w:r>
    </w:p>
    <w:p>
      <w:pPr>
        <w:spacing w:after="0" w:line="173" w:lineRule="exact"/>
        <w:rPr>
          <w:sz w:val="20"/>
          <w:szCs w:val="20"/>
          <w:color w:val="auto"/>
        </w:rPr>
      </w:pPr>
    </w:p>
    <w:p>
      <w:pPr>
        <w:ind w:left="1050" w:hanging="433"/>
        <w:spacing w:after="0"/>
        <w:tabs>
          <w:tab w:leader="none" w:pos="10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Ruling</w:t>
      </w:r>
    </w:p>
    <w:p>
      <w:pPr>
        <w:spacing w:after="0" w:line="175"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The arbitrators shall use their best efforts to rule on each disputed issues within 30 days after the completion of the hearings described in subsection (d) above. The arbitrators' ruling shall be, in the absence of fraud or manifest error, binding and conclusive upon both parties and may be enforced in a court of competent jurisdiction. The arbitrators may not award punitive or exemplary damages.</w:t>
      </w:r>
    </w:p>
    <w:p>
      <w:pPr>
        <w:spacing w:after="0" w:line="170" w:lineRule="exact"/>
        <w:rPr>
          <w:sz w:val="20"/>
          <w:szCs w:val="20"/>
          <w:color w:val="auto"/>
        </w:rPr>
      </w:pPr>
    </w:p>
    <w:p>
      <w:pPr>
        <w:ind w:left="610" w:hanging="610"/>
        <w:spacing w:after="0"/>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12.01  PUBLICITY.</w:t>
      </w:r>
    </w:p>
    <w:p>
      <w:pPr>
        <w:spacing w:after="0" w:line="175" w:lineRule="exact"/>
        <w:rPr>
          <w:sz w:val="20"/>
          <w:szCs w:val="20"/>
          <w:color w:val="auto"/>
        </w:rPr>
      </w:pPr>
    </w:p>
    <w:p>
      <w:pPr>
        <w:ind w:left="610" w:right="3359"/>
        <w:spacing w:after="0" w:line="258" w:lineRule="auto"/>
        <w:rPr>
          <w:sz w:val="20"/>
          <w:szCs w:val="20"/>
          <w:color w:val="auto"/>
        </w:rPr>
      </w:pPr>
      <w:r>
        <w:rPr>
          <w:rFonts w:ascii="Courier New" w:cs="Courier New" w:eastAsia="Courier New" w:hAnsi="Courier New"/>
          <w:sz w:val="14"/>
          <w:szCs w:val="14"/>
          <w:color w:val="auto"/>
        </w:rPr>
        <w:t>Neither party may originate any publicity, news release or other public announcement, written or oral, relating to this Agreement or the existence of an arrangement between the parties, without the prior written approval of the other party except as otherwise required by law or the rules of stock exchanges and similar organizations.</w:t>
      </w:r>
    </w:p>
    <w:p>
      <w:pPr>
        <w:spacing w:after="0" w:line="165" w:lineRule="exact"/>
        <w:rPr>
          <w:sz w:val="20"/>
          <w:szCs w:val="20"/>
          <w:color w:val="auto"/>
        </w:rPr>
      </w:pPr>
    </w:p>
    <w:p>
      <w:pPr>
        <w:ind w:left="610" w:right="3259"/>
        <w:spacing w:after="0" w:line="237" w:lineRule="auto"/>
        <w:rPr>
          <w:sz w:val="20"/>
          <w:szCs w:val="20"/>
          <w:color w:val="auto"/>
        </w:rPr>
      </w:pPr>
      <w:r>
        <w:rPr>
          <w:rFonts w:ascii="Courier New" w:cs="Courier New" w:eastAsia="Courier New" w:hAnsi="Courier New"/>
          <w:sz w:val="15"/>
          <w:szCs w:val="15"/>
          <w:color w:val="auto"/>
        </w:rPr>
        <w:t>Neither party will communicate, comment or originate any publicity, news release or other public announcement, written or oral, relating to the dispute between the parties or the allegations made by either party in respect of that dispute, without the prior written</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797" w:right="1440" w:bottom="1440" w:gutter="0" w:footer="0" w:header="0"/>
        </w:sectPr>
      </w:pPr>
    </w:p>
    <w:bookmarkStart w:id="91" w:name="page92"/>
    <w:bookmarkEnd w:id="91"/>
    <w:p>
      <w:pPr>
        <w:ind w:left="600" w:right="3439"/>
        <w:spacing w:after="0" w:line="235" w:lineRule="auto"/>
        <w:rPr>
          <w:sz w:val="20"/>
          <w:szCs w:val="20"/>
          <w:color w:val="auto"/>
        </w:rPr>
      </w:pPr>
      <w:r>
        <w:rPr>
          <w:rFonts w:ascii="Courier New" w:cs="Courier New" w:eastAsia="Courier New" w:hAnsi="Courier New"/>
          <w:sz w:val="15"/>
          <w:szCs w:val="15"/>
          <w:color w:val="auto"/>
        </w:rPr>
        <w:t>approval of the other party except as otherwise required by law or the rules of stock exchanges and similar organizations.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12.02</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left="600" w:right="3439"/>
        <w:spacing w:after="0" w:line="235" w:lineRule="auto"/>
        <w:rPr>
          <w:sz w:val="20"/>
          <w:szCs w:val="20"/>
          <w:color w:val="auto"/>
        </w:rPr>
      </w:pPr>
      <w:r>
        <w:rPr>
          <w:rFonts w:ascii="Courier New" w:cs="Courier New" w:eastAsia="Courier New" w:hAnsi="Courier New"/>
          <w:sz w:val="15"/>
          <w:szCs w:val="15"/>
          <w:color w:val="auto"/>
        </w:rPr>
        <w:t>This Agreement shall be governed by and interpreted in accordance with the laws of the Province of Alberta.</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12.03</w:t>
      </w:r>
      <w:r>
        <w:rPr>
          <w:sz w:val="20"/>
          <w:szCs w:val="20"/>
          <w:color w:val="auto"/>
        </w:rPr>
        <w:tab/>
      </w:r>
      <w:r>
        <w:rPr>
          <w:rFonts w:ascii="Courier New" w:cs="Courier New" w:eastAsia="Courier New" w:hAnsi="Courier New"/>
          <w:sz w:val="14"/>
          <w:szCs w:val="14"/>
          <w:color w:val="auto"/>
        </w:rPr>
        <w:t>FORCE MAJEURE.</w:t>
      </w:r>
    </w:p>
    <w:p>
      <w:pPr>
        <w:spacing w:after="0" w:line="17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In the event that either party is prevented from performing or is unable to perform any of its obligations under this Agreement due to any act of God; fire; casualty; flood; war; strike; lockout; failure of public utilities; injunction or any act, exercise, assertion or requirement of governmental authority, including any governmental law, order or regulation permanently or temporarily prohibiting or reducing the level of research development or production work hereunder or the manufacture, use or sale of Products; epidemic; destruction or production facilities; riots; insurrection; inability to procure or use materials, labor, equipment, transportation or energy sufficient to meet experimentation or manufacturing needs; or any other cause beyond the reasonable control of the party invoking this Section if such party shall have used its reasonable best efforts to avoid such occurrence, such party shall give notice to the other party in writing promptly, and thereupon the affected party's performance shall be excused, and the time for performance shall be extended for the period of delay or inability to perform due to such occurrence. At the end of such period, the party whose performance is excused shall give prompt notice to the other party.</w:t>
      </w:r>
    </w:p>
    <w:p>
      <w:pPr>
        <w:spacing w:after="0" w:line="15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12.04</w:t>
      </w:r>
      <w:r>
        <w:rPr>
          <w:sz w:val="20"/>
          <w:szCs w:val="20"/>
          <w:color w:val="auto"/>
        </w:rPr>
        <w:tab/>
      </w:r>
      <w:r>
        <w:rPr>
          <w:rFonts w:ascii="Courier New" w:cs="Courier New" w:eastAsia="Courier New" w:hAnsi="Courier New"/>
          <w:sz w:val="14"/>
          <w:szCs w:val="14"/>
          <w:color w:val="auto"/>
        </w:rPr>
        <w:t>WAIVER.</w:t>
      </w:r>
    </w:p>
    <w:p>
      <w:pPr>
        <w:spacing w:after="0" w:line="175" w:lineRule="exact"/>
        <w:rPr>
          <w:sz w:val="20"/>
          <w:szCs w:val="20"/>
          <w:color w:val="auto"/>
        </w:rPr>
      </w:pPr>
    </w:p>
    <w:p>
      <w:pPr>
        <w:ind w:left="600" w:right="3179"/>
        <w:spacing w:after="0" w:line="258" w:lineRule="auto"/>
        <w:rPr>
          <w:sz w:val="20"/>
          <w:szCs w:val="20"/>
          <w:color w:val="auto"/>
        </w:rPr>
      </w:pPr>
      <w:r>
        <w:rPr>
          <w:rFonts w:ascii="Courier New" w:cs="Courier New" w:eastAsia="Courier New" w:hAnsi="Courier New"/>
          <w:sz w:val="14"/>
          <w:szCs w:val="14"/>
          <w:color w:val="auto"/>
        </w:rPr>
        <w:t>The waiver by either party of a breach or a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15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12.05</w:t>
        <w:tab/>
        <w:t>NOTICES.</w:t>
      </w:r>
    </w:p>
    <w:p>
      <w:pPr>
        <w:spacing w:after="0" w:line="175" w:lineRule="exact"/>
        <w:rPr>
          <w:sz w:val="20"/>
          <w:szCs w:val="20"/>
          <w:color w:val="auto"/>
        </w:rPr>
      </w:pPr>
    </w:p>
    <w:p>
      <w:pPr>
        <w:ind w:left="600" w:right="3259"/>
        <w:spacing w:after="0" w:line="238" w:lineRule="auto"/>
        <w:rPr>
          <w:sz w:val="20"/>
          <w:szCs w:val="20"/>
          <w:color w:val="auto"/>
        </w:rPr>
      </w:pPr>
      <w:r>
        <w:rPr>
          <w:rFonts w:ascii="Courier New" w:cs="Courier New" w:eastAsia="Courier New" w:hAnsi="Courier New"/>
          <w:sz w:val="15"/>
          <w:szCs w:val="15"/>
          <w:color w:val="auto"/>
        </w:rPr>
        <w:t>Any notice or other communication in connection with this Agreement must be in writing and delivered either personally by facsimile or by certified mail, return receipt requested, and shall be effective when delivered to the addressee at the address listed below or such other address as the addressee shall have specified in a notice actually received by the addressor.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97" w:right="1440" w:bottom="1440" w:gutter="0" w:footer="0" w:header="0"/>
        </w:sectPr>
      </w:pPr>
    </w:p>
    <w:bookmarkStart w:id="92" w:name="page93"/>
    <w:bookmarkEnd w:id="92"/>
    <w:p>
      <w:pPr>
        <w:ind w:left="600"/>
        <w:spacing w:after="0"/>
        <w:rPr>
          <w:sz w:val="20"/>
          <w:szCs w:val="20"/>
          <w:color w:val="auto"/>
        </w:rPr>
      </w:pPr>
      <w:r>
        <w:rPr>
          <w:rFonts w:ascii="Courier New" w:cs="Courier New" w:eastAsia="Courier New" w:hAnsi="Courier New"/>
          <w:sz w:val="15"/>
          <w:szCs w:val="15"/>
          <w:color w:val="auto"/>
        </w:rPr>
        <w:t>If to NS or NHL:</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(Addressed to NS or NHL, as applicable)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 University Technologies International Inc.</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Suite 130, 3553 - 31 St. N.W.</w:t>
      </w:r>
    </w:p>
    <w:p>
      <w:pPr>
        <w:ind w:left="780"/>
        <w:spacing w:after="0"/>
        <w:rPr>
          <w:sz w:val="20"/>
          <w:szCs w:val="20"/>
          <w:color w:val="auto"/>
        </w:rPr>
      </w:pPr>
      <w:r>
        <w:rPr>
          <w:rFonts w:ascii="Courier New" w:cs="Courier New" w:eastAsia="Courier New" w:hAnsi="Courier New"/>
          <w:sz w:val="15"/>
          <w:szCs w:val="15"/>
          <w:color w:val="auto"/>
        </w:rPr>
        <w:t>Calgary Technology Centre</w:t>
      </w:r>
    </w:p>
    <w:p>
      <w:pPr>
        <w:ind w:left="780"/>
        <w:spacing w:after="0"/>
        <w:rPr>
          <w:sz w:val="20"/>
          <w:szCs w:val="20"/>
          <w:color w:val="auto"/>
        </w:rPr>
      </w:pPr>
      <w:r>
        <w:rPr>
          <w:rFonts w:ascii="Courier New" w:cs="Courier New" w:eastAsia="Courier New" w:hAnsi="Courier New"/>
          <w:sz w:val="15"/>
          <w:szCs w:val="15"/>
          <w:color w:val="auto"/>
        </w:rPr>
        <w:t>Calgary, Alberta</w:t>
      </w:r>
    </w:p>
    <w:p>
      <w:pPr>
        <w:sectPr>
          <w:pgSz w:w="11900" w:h="16838" w:orient="portrait"/>
          <w:cols w:equalWidth="0" w:num="1">
            <w:col w:w="10219"/>
          </w:cols>
          <w:pgMar w:left="240" w:top="791" w:right="1440" w:bottom="1440" w:gutter="0" w:footer="0" w:header="0"/>
        </w:sectPr>
      </w:pPr>
    </w:p>
    <w:p>
      <w:pPr>
        <w:ind w:left="780"/>
        <w:spacing w:after="0" w:line="238" w:lineRule="auto"/>
        <w:rPr>
          <w:sz w:val="20"/>
          <w:szCs w:val="20"/>
          <w:color w:val="auto"/>
        </w:rPr>
      </w:pPr>
      <w:r>
        <w:rPr>
          <w:rFonts w:ascii="Courier New" w:cs="Courier New" w:eastAsia="Courier New" w:hAnsi="Courier New"/>
          <w:sz w:val="15"/>
          <w:szCs w:val="15"/>
          <w:color w:val="auto"/>
        </w:rPr>
        <w:t>T2L 2K7</w:t>
      </w:r>
    </w:p>
    <w:p>
      <w:pPr>
        <w:ind w:left="780"/>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Fax:</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Oleh S. Hnatiuk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403 270 2384</w:t>
      </w:r>
    </w:p>
    <w:p>
      <w:pPr>
        <w:spacing w:after="0" w:line="175" w:lineRule="exact"/>
        <w:rPr>
          <w:sz w:val="20"/>
          <w:szCs w:val="20"/>
          <w:color w:val="auto"/>
        </w:rPr>
      </w:pPr>
    </w:p>
    <w:p>
      <w:pPr>
        <w:sectPr>
          <w:pgSz w:w="11900" w:h="16838" w:orient="portrait"/>
          <w:cols w:equalWidth="0" w:num="2">
            <w:col w:w="1660" w:space="180"/>
            <w:col w:w="8379"/>
          </w:cols>
          <w:pgMar w:left="240" w:top="79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With a contemporaneous copy to:</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Bennett Jones LLP</w:t>
      </w:r>
    </w:p>
    <w:p>
      <w:pPr>
        <w:ind w:left="780"/>
        <w:spacing w:after="0"/>
        <w:rPr>
          <w:sz w:val="20"/>
          <w:szCs w:val="20"/>
          <w:color w:val="auto"/>
        </w:rPr>
      </w:pPr>
      <w:r>
        <w:rPr>
          <w:rFonts w:ascii="Courier New" w:cs="Courier New" w:eastAsia="Courier New" w:hAnsi="Courier New"/>
          <w:sz w:val="15"/>
          <w:szCs w:val="15"/>
          <w:color w:val="auto"/>
        </w:rPr>
        <w:t>4500,855-2nd Street S.W.</w:t>
      </w:r>
    </w:p>
    <w:p>
      <w:pPr>
        <w:ind w:left="780"/>
        <w:spacing w:after="0"/>
        <w:rPr>
          <w:sz w:val="20"/>
          <w:szCs w:val="20"/>
          <w:color w:val="auto"/>
        </w:rPr>
      </w:pPr>
      <w:r>
        <w:rPr>
          <w:rFonts w:ascii="Courier New" w:cs="Courier New" w:eastAsia="Courier New" w:hAnsi="Courier New"/>
          <w:sz w:val="15"/>
          <w:szCs w:val="15"/>
          <w:color w:val="auto"/>
        </w:rPr>
        <w:t>Calgary, Alberta</w:t>
      </w:r>
    </w:p>
    <w:p>
      <w:pPr>
        <w:sectPr>
          <w:pgSz w:w="11900" w:h="16838" w:orient="portrait"/>
          <w:cols w:equalWidth="0" w:num="1">
            <w:col w:w="10219"/>
          </w:cols>
          <w:pgMar w:left="240" w:top="791" w:right="1440" w:bottom="1440" w:gutter="0" w:footer="0" w:header="0"/>
          <w:type w:val="continuous"/>
        </w:sectPr>
      </w:pPr>
    </w:p>
    <w:p>
      <w:pPr>
        <w:ind w:left="780"/>
        <w:spacing w:after="0" w:line="238" w:lineRule="auto"/>
        <w:rPr>
          <w:sz w:val="20"/>
          <w:szCs w:val="20"/>
          <w:color w:val="auto"/>
        </w:rPr>
      </w:pPr>
      <w:r>
        <w:rPr>
          <w:rFonts w:ascii="Courier New" w:cs="Courier New" w:eastAsia="Courier New" w:hAnsi="Courier New"/>
          <w:sz w:val="15"/>
          <w:szCs w:val="15"/>
          <w:color w:val="auto"/>
        </w:rPr>
        <w:t>T2P 4K7</w:t>
      </w:r>
    </w:p>
    <w:p>
      <w:pPr>
        <w:ind w:left="780"/>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Fax:</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P.J. Kratz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403 265 7219</w:t>
      </w:r>
    </w:p>
    <w:p>
      <w:pPr>
        <w:spacing w:after="0" w:line="169" w:lineRule="exact"/>
        <w:rPr>
          <w:sz w:val="20"/>
          <w:szCs w:val="20"/>
          <w:color w:val="auto"/>
        </w:rPr>
      </w:pPr>
    </w:p>
    <w:p>
      <w:pPr>
        <w:sectPr>
          <w:pgSz w:w="11900" w:h="16838" w:orient="portrait"/>
          <w:cols w:equalWidth="0" w:num="2">
            <w:col w:w="1660" w:space="180"/>
            <w:col w:w="8379"/>
          </w:cols>
          <w:pgMar w:left="240" w:top="79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If to SCI:</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StemCells, Inc.</w:t>
      </w:r>
    </w:p>
    <w:p>
      <w:pPr>
        <w:ind w:left="780"/>
        <w:spacing w:after="0"/>
        <w:rPr>
          <w:sz w:val="20"/>
          <w:szCs w:val="20"/>
          <w:color w:val="auto"/>
        </w:rPr>
      </w:pPr>
      <w:r>
        <w:rPr>
          <w:rFonts w:ascii="Courier New" w:cs="Courier New" w:eastAsia="Courier New" w:hAnsi="Courier New"/>
          <w:sz w:val="15"/>
          <w:szCs w:val="15"/>
          <w:color w:val="auto"/>
        </w:rPr>
        <w:t>525 Del Ray Avenue</w:t>
      </w:r>
    </w:p>
    <w:p>
      <w:pPr>
        <w:ind w:left="780"/>
        <w:spacing w:after="0"/>
        <w:rPr>
          <w:sz w:val="20"/>
          <w:szCs w:val="20"/>
          <w:color w:val="auto"/>
        </w:rPr>
      </w:pPr>
      <w:r>
        <w:rPr>
          <w:rFonts w:ascii="Courier New" w:cs="Courier New" w:eastAsia="Courier New" w:hAnsi="Courier New"/>
          <w:sz w:val="15"/>
          <w:szCs w:val="15"/>
          <w:color w:val="auto"/>
        </w:rPr>
        <w:t>Suite C</w:t>
      </w:r>
    </w:p>
    <w:p>
      <w:pPr>
        <w:ind w:left="780"/>
        <w:spacing w:after="0" w:line="238" w:lineRule="auto"/>
        <w:rPr>
          <w:sz w:val="20"/>
          <w:szCs w:val="20"/>
          <w:color w:val="auto"/>
        </w:rPr>
      </w:pPr>
      <w:r>
        <w:rPr>
          <w:rFonts w:ascii="Courier New" w:cs="Courier New" w:eastAsia="Courier New" w:hAnsi="Courier New"/>
          <w:sz w:val="15"/>
          <w:szCs w:val="15"/>
          <w:color w:val="auto"/>
        </w:rPr>
        <w:t>Sunnyvale, CA 94085</w:t>
      </w:r>
    </w:p>
    <w:p>
      <w:pPr>
        <w:ind w:left="780"/>
        <w:spacing w:after="0"/>
        <w:rPr>
          <w:sz w:val="20"/>
          <w:szCs w:val="20"/>
          <w:color w:val="auto"/>
        </w:rPr>
      </w:pPr>
      <w:r>
        <w:rPr>
          <w:rFonts w:ascii="Courier New" w:cs="Courier New" w:eastAsia="Courier New" w:hAnsi="Courier New"/>
          <w:sz w:val="15"/>
          <w:szCs w:val="15"/>
          <w:color w:val="auto"/>
        </w:rPr>
        <w:t>USA</w:t>
      </w: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Iris Brest, Esq.</w:t>
      </w:r>
    </w:p>
    <w:p>
      <w:pPr>
        <w:ind w:left="780"/>
        <w:spacing w:after="0" w:line="238" w:lineRule="auto"/>
        <w:tabs>
          <w:tab w:leader="none" w:pos="18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408.731.8674</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a copy to:</w:t>
      </w:r>
    </w:p>
    <w:p>
      <w:pPr>
        <w:sectPr>
          <w:pgSz w:w="11900" w:h="16838" w:orient="portrait"/>
          <w:cols w:equalWidth="0" w:num="1">
            <w:col w:w="10219"/>
          </w:cols>
          <w:pgMar w:left="240" w:top="791" w:right="1440" w:bottom="1440" w:gutter="0" w:footer="0" w:header="0"/>
          <w:type w:val="continuous"/>
        </w:sectPr>
      </w:pP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Mintz Levin Cohn Ferris Glovsy &amp; Popeo, P.C.</w:t>
      </w:r>
    </w:p>
    <w:p>
      <w:pPr>
        <w:ind w:left="780"/>
        <w:spacing w:after="0"/>
        <w:rPr>
          <w:sz w:val="20"/>
          <w:szCs w:val="20"/>
          <w:color w:val="auto"/>
        </w:rPr>
      </w:pPr>
      <w:r>
        <w:rPr>
          <w:rFonts w:ascii="Courier New" w:cs="Courier New" w:eastAsia="Courier New" w:hAnsi="Courier New"/>
          <w:sz w:val="15"/>
          <w:szCs w:val="15"/>
          <w:color w:val="auto"/>
        </w:rPr>
        <w:t>One Financial Center</w:t>
      </w:r>
    </w:p>
    <w:p>
      <w:pPr>
        <w:ind w:left="780"/>
        <w:spacing w:after="0"/>
        <w:rPr>
          <w:sz w:val="20"/>
          <w:szCs w:val="20"/>
          <w:color w:val="auto"/>
        </w:rPr>
      </w:pPr>
      <w:r>
        <w:rPr>
          <w:rFonts w:ascii="Courier New" w:cs="Courier New" w:eastAsia="Courier New" w:hAnsi="Courier New"/>
          <w:sz w:val="15"/>
          <w:szCs w:val="15"/>
          <w:color w:val="auto"/>
        </w:rPr>
        <w:t>Boston, MA 02111</w:t>
      </w:r>
    </w:p>
    <w:p>
      <w:pPr>
        <w:ind w:left="780"/>
        <w:spacing w:after="0" w:line="238" w:lineRule="auto"/>
        <w:rPr>
          <w:sz w:val="20"/>
          <w:szCs w:val="20"/>
          <w:color w:val="auto"/>
        </w:rPr>
      </w:pPr>
      <w:r>
        <w:rPr>
          <w:rFonts w:ascii="Courier New" w:cs="Courier New" w:eastAsia="Courier New" w:hAnsi="Courier New"/>
          <w:sz w:val="15"/>
          <w:szCs w:val="15"/>
          <w:color w:val="auto"/>
        </w:rPr>
        <w:t>USA</w:t>
      </w: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Ivor Elrifi</w:t>
      </w: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617.542.2241</w:t>
      </w:r>
    </w:p>
    <w:p>
      <w:pPr>
        <w:spacing w:after="0" w:line="16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12.06</w:t>
      </w:r>
      <w:r>
        <w:rPr>
          <w:sz w:val="20"/>
          <w:szCs w:val="20"/>
          <w:color w:val="auto"/>
        </w:rPr>
        <w:tab/>
      </w:r>
      <w:r>
        <w:rPr>
          <w:rFonts w:ascii="Courier New" w:cs="Courier New" w:eastAsia="Courier New" w:hAnsi="Courier New"/>
          <w:sz w:val="14"/>
          <w:szCs w:val="14"/>
          <w:color w:val="auto"/>
        </w:rPr>
        <w:t>NO AGENCY.</w:t>
      </w:r>
    </w:p>
    <w:p>
      <w:pPr>
        <w:spacing w:after="0" w:line="175" w:lineRule="exact"/>
        <w:rPr>
          <w:sz w:val="20"/>
          <w:szCs w:val="20"/>
          <w:color w:val="auto"/>
        </w:rPr>
      </w:pPr>
    </w:p>
    <w:p>
      <w:pPr>
        <w:ind w:left="600" w:right="3179"/>
        <w:spacing w:after="0" w:line="259" w:lineRule="auto"/>
        <w:rPr>
          <w:sz w:val="20"/>
          <w:szCs w:val="20"/>
          <w:color w:val="auto"/>
        </w:rPr>
      </w:pPr>
      <w:r>
        <w:rPr>
          <w:rFonts w:ascii="Courier New" w:cs="Courier New" w:eastAsia="Courier New" w:hAnsi="Courier New"/>
          <w:sz w:val="14"/>
          <w:szCs w:val="14"/>
          <w:color w:val="auto"/>
        </w:rPr>
        <w:t>Nothing herein shall be deemed to constitute either party as the agent or representative of the other party, or both parties as joint venturers or partners for any purpose. Each party shall be an independent contractor, not an employee or partner of the other. Neither party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91" w:right="1440" w:bottom="1440" w:gutter="0" w:footer="0" w:header="0"/>
          <w:type w:val="continuous"/>
        </w:sectPr>
      </w:pPr>
    </w:p>
    <w:bookmarkStart w:id="93" w:name="page94"/>
    <w:bookmarkEnd w:id="93"/>
    <w:p>
      <w:pPr>
        <w:ind w:left="600" w:right="3439"/>
        <w:spacing w:after="0" w:line="237" w:lineRule="auto"/>
        <w:rPr>
          <w:sz w:val="20"/>
          <w:szCs w:val="20"/>
          <w:color w:val="auto"/>
        </w:rPr>
      </w:pPr>
      <w:r>
        <w:rPr>
          <w:rFonts w:ascii="Courier New" w:cs="Courier New" w:eastAsia="Courier New" w:hAnsi="Courier New"/>
          <w:sz w:val="15"/>
          <w:szCs w:val="15"/>
          <w:color w:val="auto"/>
        </w:rPr>
        <w:t>shall be responsible for the acts or omission authority to speak for, represent or obligate the other party in any way without prior written authority from the other party.</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12.07</w:t>
      </w:r>
      <w:r>
        <w:rPr>
          <w:sz w:val="20"/>
          <w:szCs w:val="20"/>
          <w:color w:val="auto"/>
        </w:rPr>
        <w:tab/>
      </w: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This Agreement and the Exhibits and Schedules hereto (which Exhibits and Schedules are deemed to be part of this Agreement for all purposes) contain the full understanding of the parties with respect to the subject matter hereof. Except as provided in Sections 6.02 or 10.04 herein, nothing in this Agreement affects the terms, scope or operation of the 1997 License Agreement. No waiver, alteration or modification of any of the provisions hereof shall be binding unless made in writing and signed by the parties by their respective officers thereunto duly authorized.</w:t>
      </w:r>
    </w:p>
    <w:p>
      <w:pPr>
        <w:spacing w:after="0" w:line="33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12.08</w:t>
      </w:r>
      <w:r>
        <w:rPr>
          <w:sz w:val="20"/>
          <w:szCs w:val="20"/>
          <w:color w:val="auto"/>
        </w:rPr>
        <w:tab/>
      </w:r>
      <w:r>
        <w:rPr>
          <w:rFonts w:ascii="Courier New" w:cs="Courier New" w:eastAsia="Courier New" w:hAnsi="Courier New"/>
          <w:sz w:val="14"/>
          <w:szCs w:val="14"/>
          <w:color w:val="auto"/>
        </w:rPr>
        <w:t>HEADINGS.</w:t>
      </w:r>
    </w:p>
    <w:p>
      <w:pPr>
        <w:spacing w:after="0" w:line="175" w:lineRule="exact"/>
        <w:rPr>
          <w:sz w:val="20"/>
          <w:szCs w:val="20"/>
          <w:color w:val="auto"/>
        </w:rPr>
      </w:pPr>
    </w:p>
    <w:p>
      <w:pPr>
        <w:ind w:left="600" w:right="3179"/>
        <w:spacing w:after="0" w:line="265" w:lineRule="auto"/>
        <w:rPr>
          <w:sz w:val="20"/>
          <w:szCs w:val="20"/>
          <w:color w:val="auto"/>
        </w:rPr>
      </w:pPr>
      <w:r>
        <w:rPr>
          <w:rFonts w:ascii="Courier New" w:cs="Courier New" w:eastAsia="Courier New" w:hAnsi="Courier New"/>
          <w:sz w:val="14"/>
          <w:szCs w:val="14"/>
          <w:color w:val="auto"/>
        </w:rPr>
        <w:t>The headings contained in this Agreement are for convenience of reference only and shall not be considered in construing this Agreement.</w:t>
      </w:r>
    </w:p>
    <w:p>
      <w:pPr>
        <w:spacing w:after="0" w:line="15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12.09</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left="600" w:right="3259"/>
        <w:spacing w:after="0" w:line="237" w:lineRule="auto"/>
        <w:rPr>
          <w:sz w:val="20"/>
          <w:szCs w:val="20"/>
          <w:color w:val="auto"/>
        </w:rPr>
      </w:pPr>
      <w:r>
        <w:rPr>
          <w:rFonts w:ascii="Courier New" w:cs="Courier New" w:eastAsia="Courier New" w:hAnsi="Courier New"/>
          <w:sz w:val="15"/>
          <w:szCs w:val="15"/>
          <w:color w:val="auto"/>
        </w:rPr>
        <w:t>In the event that any provision of this Agreement is to be unenforceable because it is invalid or any relevant jurisdiction, the validity of the remaining provision obligations of the parties shall, in the jurisdictions to be unenforceable, be construed and enforced particular provisions held to be unenforceable.</w:t>
      </w:r>
    </w:p>
    <w:p>
      <w:pPr>
        <w:spacing w:after="0" w:line="17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12.10</w:t>
      </w:r>
      <w:r>
        <w:rPr>
          <w:sz w:val="20"/>
          <w:szCs w:val="20"/>
          <w:color w:val="auto"/>
        </w:rPr>
        <w:tab/>
      </w:r>
      <w:r>
        <w:rPr>
          <w:rFonts w:ascii="Courier New" w:cs="Courier New" w:eastAsia="Courier New" w:hAnsi="Courier New"/>
          <w:sz w:val="14"/>
          <w:szCs w:val="14"/>
          <w:color w:val="auto"/>
        </w:rPr>
        <w:t>USE OF NAME.</w:t>
      </w:r>
    </w:p>
    <w:p>
      <w:pPr>
        <w:spacing w:after="0" w:line="175" w:lineRule="exact"/>
        <w:rPr>
          <w:sz w:val="20"/>
          <w:szCs w:val="20"/>
          <w:color w:val="auto"/>
        </w:rPr>
      </w:pPr>
    </w:p>
    <w:p>
      <w:pPr>
        <w:jc w:val="both"/>
        <w:ind w:left="600" w:right="3179"/>
        <w:spacing w:after="0" w:line="237" w:lineRule="auto"/>
        <w:rPr>
          <w:sz w:val="20"/>
          <w:szCs w:val="20"/>
          <w:color w:val="auto"/>
        </w:rPr>
      </w:pPr>
      <w:r>
        <w:rPr>
          <w:rFonts w:ascii="Courier New" w:cs="Courier New" w:eastAsia="Courier New" w:hAnsi="Courier New"/>
          <w:sz w:val="15"/>
          <w:szCs w:val="15"/>
          <w:color w:val="auto"/>
        </w:rPr>
        <w:t>Neither party shall use the name of the other party in any advertising or promotions without the consent of the other unless required by law bodies regulating securities.</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12.11</w:t>
      </w:r>
      <w:r>
        <w:rPr>
          <w:sz w:val="20"/>
          <w:szCs w:val="20"/>
          <w:color w:val="auto"/>
        </w:rPr>
        <w:tab/>
      </w:r>
      <w:r>
        <w:rPr>
          <w:rFonts w:ascii="Courier New" w:cs="Courier New" w:eastAsia="Courier New" w:hAnsi="Courier New"/>
          <w:sz w:val="14"/>
          <w:szCs w:val="14"/>
          <w:color w:val="auto"/>
        </w:rPr>
        <w:t>NO CONSEQUENTIAL DAMAGES.</w:t>
      </w:r>
    </w:p>
    <w:p>
      <w:pPr>
        <w:spacing w:after="0" w:line="175" w:lineRule="exact"/>
        <w:rPr>
          <w:sz w:val="20"/>
          <w:szCs w:val="20"/>
          <w:color w:val="auto"/>
        </w:rPr>
      </w:pPr>
    </w:p>
    <w:p>
      <w:pPr>
        <w:ind w:left="600" w:right="3439"/>
        <w:spacing w:after="0" w:line="237" w:lineRule="auto"/>
        <w:rPr>
          <w:sz w:val="20"/>
          <w:szCs w:val="20"/>
          <w:color w:val="auto"/>
        </w:rPr>
      </w:pPr>
      <w:r>
        <w:rPr>
          <w:rFonts w:ascii="Courier New" w:cs="Courier New" w:eastAsia="Courier New" w:hAnsi="Courier New"/>
          <w:sz w:val="15"/>
          <w:szCs w:val="15"/>
          <w:color w:val="auto"/>
        </w:rPr>
        <w:t>No party shall be liable to the other hereunder for indirect consequential, special, speculative, remote or similar such damages or economic loss.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12.12</w:t>
      </w:r>
      <w:r>
        <w:rPr>
          <w:sz w:val="20"/>
          <w:szCs w:val="20"/>
          <w:color w:val="auto"/>
        </w:rPr>
        <w:tab/>
      </w:r>
      <w:r>
        <w:rPr>
          <w:rFonts w:ascii="Courier New" w:cs="Courier New" w:eastAsia="Courier New" w:hAnsi="Courier New"/>
          <w:sz w:val="14"/>
          <w:szCs w:val="14"/>
          <w:color w:val="auto"/>
        </w:rPr>
        <w:t>SUCCESSORS AND ASSIGNS.</w:t>
      </w:r>
    </w:p>
    <w:p>
      <w:pPr>
        <w:spacing w:after="0" w:line="175" w:lineRule="exact"/>
        <w:rPr>
          <w:sz w:val="20"/>
          <w:szCs w:val="20"/>
          <w:color w:val="auto"/>
        </w:rPr>
      </w:pPr>
    </w:p>
    <w:p>
      <w:pPr>
        <w:ind w:left="600" w:right="3619"/>
        <w:spacing w:after="0" w:line="235"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hereto and their successors and permitted assigns.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12.13</w:t>
      </w:r>
      <w:r>
        <w:rPr>
          <w:sz w:val="20"/>
          <w:szCs w:val="20"/>
          <w:color w:val="auto"/>
        </w:rPr>
        <w:tab/>
      </w:r>
      <w:r>
        <w:rPr>
          <w:rFonts w:ascii="Courier New" w:cs="Courier New" w:eastAsia="Courier New" w:hAnsi="Courier New"/>
          <w:sz w:val="14"/>
          <w:szCs w:val="14"/>
          <w:color w:val="auto"/>
        </w:rPr>
        <w:t>COUNTERPARTS.</w:t>
      </w:r>
    </w:p>
    <w:p>
      <w:pPr>
        <w:spacing w:after="0" w:line="175"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This Agreement may be executed in any number of counterparts (which shall include facsimile counterparts), each of which shall be deemed an original but all of which taken together shall constitute one and the same instrument.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7" w:right="1440" w:bottom="1440" w:gutter="0" w:footer="0" w:header="0"/>
        </w:sectPr>
      </w:pPr>
    </w:p>
    <w:bookmarkStart w:id="94" w:name="page95"/>
    <w:bookmarkEnd w:id="94"/>
    <w:p>
      <w:pPr>
        <w:spacing w:after="0"/>
        <w:tabs>
          <w:tab w:leader="none" w:pos="580" w:val="left"/>
        </w:tabs>
        <w:rPr>
          <w:sz w:val="20"/>
          <w:szCs w:val="20"/>
          <w:color w:val="auto"/>
        </w:rPr>
      </w:pPr>
      <w:r>
        <w:rPr>
          <w:rFonts w:ascii="Courier New" w:cs="Courier New" w:eastAsia="Courier New" w:hAnsi="Courier New"/>
          <w:sz w:val="15"/>
          <w:szCs w:val="15"/>
          <w:color w:val="auto"/>
        </w:rPr>
        <w:t>12.14</w:t>
      </w:r>
      <w:r>
        <w:rPr>
          <w:sz w:val="20"/>
          <w:szCs w:val="20"/>
          <w:color w:val="auto"/>
        </w:rPr>
        <w:tab/>
      </w:r>
      <w:r>
        <w:rPr>
          <w:rFonts w:ascii="Courier New" w:cs="Courier New" w:eastAsia="Courier New" w:hAnsi="Courier New"/>
          <w:sz w:val="14"/>
          <w:szCs w:val="14"/>
          <w:color w:val="auto"/>
        </w:rPr>
        <w:t>RECORDATION.</w:t>
      </w:r>
    </w:p>
    <w:p>
      <w:pPr>
        <w:spacing w:after="0" w:line="175"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SCI shall have the right, at its cost, at any time, to record, register, or otherwise notify this Agreement in any applicable patent office or other appropriate facility, and NS shall provide reasonable assistance to SCI in effecting such recording.</w:t>
      </w:r>
    </w:p>
    <w:p>
      <w:pPr>
        <w:spacing w:after="0" w:line="17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12.15</w:t>
      </w:r>
      <w:r>
        <w:rPr>
          <w:sz w:val="20"/>
          <w:szCs w:val="20"/>
          <w:color w:val="auto"/>
        </w:rPr>
        <w:tab/>
      </w:r>
      <w:r>
        <w:rPr>
          <w:rFonts w:ascii="Courier New" w:cs="Courier New" w:eastAsia="Courier New" w:hAnsi="Courier New"/>
          <w:sz w:val="14"/>
          <w:szCs w:val="14"/>
          <w:color w:val="auto"/>
        </w:rPr>
        <w:t>JOINT DRAFTING.</w:t>
      </w:r>
    </w:p>
    <w:p>
      <w:pPr>
        <w:spacing w:after="0" w:line="175" w:lineRule="exact"/>
        <w:rPr>
          <w:sz w:val="20"/>
          <w:szCs w:val="20"/>
          <w:color w:val="auto"/>
        </w:rPr>
      </w:pPr>
    </w:p>
    <w:p>
      <w:pPr>
        <w:jc w:val="both"/>
        <w:ind w:left="600" w:right="3179"/>
        <w:spacing w:after="0" w:line="260" w:lineRule="auto"/>
        <w:rPr>
          <w:sz w:val="20"/>
          <w:szCs w:val="20"/>
          <w:color w:val="auto"/>
        </w:rPr>
      </w:pPr>
      <w:r>
        <w:rPr>
          <w:rFonts w:ascii="Courier New" w:cs="Courier New" w:eastAsia="Courier New" w:hAnsi="Courier New"/>
          <w:sz w:val="14"/>
          <w:szCs w:val="14"/>
          <w:color w:val="auto"/>
        </w:rPr>
        <w:t>This Agreement was jointly drafted and prepared by all parties hereto and no presumption in favor of or against any party hereto shall be made with respect to the interpretation of any provision of this Agreement.</w:t>
      </w:r>
    </w:p>
    <w:p>
      <w:pPr>
        <w:spacing w:after="0" w:line="15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12.16</w:t>
      </w:r>
      <w:r>
        <w:rPr>
          <w:sz w:val="20"/>
          <w:szCs w:val="20"/>
          <w:color w:val="auto"/>
        </w:rPr>
        <w:tab/>
      </w:r>
      <w:r>
        <w:rPr>
          <w:rFonts w:ascii="Courier New" w:cs="Courier New" w:eastAsia="Courier New" w:hAnsi="Courier New"/>
          <w:sz w:val="14"/>
          <w:szCs w:val="14"/>
          <w:color w:val="auto"/>
        </w:rPr>
        <w:t>Back Up License</w:t>
      </w:r>
    </w:p>
    <w:p>
      <w:pPr>
        <w:spacing w:after="0" w:line="175" w:lineRule="exact"/>
        <w:rPr>
          <w:sz w:val="20"/>
          <w:szCs w:val="20"/>
          <w:color w:val="auto"/>
        </w:rPr>
      </w:pPr>
    </w:p>
    <w:p>
      <w:pPr>
        <w:jc w:val="both"/>
        <w:ind w:left="600" w:right="3179"/>
        <w:spacing w:after="0" w:line="265" w:lineRule="auto"/>
        <w:rPr>
          <w:sz w:val="20"/>
          <w:szCs w:val="20"/>
          <w:color w:val="auto"/>
        </w:rPr>
      </w:pPr>
      <w:r>
        <w:rPr>
          <w:rFonts w:ascii="Courier New" w:cs="Courier New" w:eastAsia="Courier New" w:hAnsi="Courier New"/>
          <w:sz w:val="14"/>
          <w:szCs w:val="14"/>
          <w:color w:val="auto"/>
        </w:rPr>
        <w:t>For the purposes of this Agreement the BackUp License is hereby amended as follows (all references are to Section numbers in the BackUp License):</w:t>
      </w:r>
    </w:p>
    <w:p>
      <w:pPr>
        <w:spacing w:after="0" w:line="158" w:lineRule="exact"/>
        <w:rPr>
          <w:sz w:val="20"/>
          <w:szCs w:val="20"/>
          <w:color w:val="auto"/>
        </w:rPr>
      </w:pPr>
    </w:p>
    <w:p>
      <w:pPr>
        <w:ind w:left="1040" w:right="3259" w:hanging="433"/>
        <w:spacing w:after="0" w:line="237" w:lineRule="auto"/>
        <w:tabs>
          <w:tab w:leader="none" w:pos="10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NHL grants to SCI a license, subject to section 2.3, upon the same terms and conditions set forth in this Agreement, as such terms and conditions would read if "NHL" were substituted for and in place of "NS".</w:t>
      </w:r>
    </w:p>
    <w:p>
      <w:pPr>
        <w:spacing w:after="0" w:line="176" w:lineRule="exact"/>
        <w:rPr>
          <w:rFonts w:ascii="Courier New" w:cs="Courier New" w:eastAsia="Courier New" w:hAnsi="Courier New"/>
          <w:sz w:val="15"/>
          <w:szCs w:val="15"/>
          <w:color w:val="auto"/>
        </w:rPr>
      </w:pPr>
    </w:p>
    <w:p>
      <w:pPr>
        <w:ind w:left="1040" w:right="3259" w:hanging="433"/>
        <w:spacing w:after="0" w:line="237" w:lineRule="auto"/>
        <w:tabs>
          <w:tab w:leader="none" w:pos="10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in the BackUp License to "Research and License Agreement" or the 1997 License Agreement shall be deemed to include a reference also to this Agreement.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1" w:right="1440" w:bottom="1440" w:gutter="0" w:footer="0" w:header="0"/>
        </w:sectPr>
      </w:pPr>
    </w:p>
    <w:bookmarkStart w:id="95" w:name="page96"/>
    <w:bookmarkEnd w:id="95"/>
    <w:p>
      <w:pPr>
        <w:jc w:val="both"/>
        <w:ind w:right="3179"/>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in their names by their properly and duly authorized officers or representatives as of the date first above written.</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NEUROSPHERES LTD.</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w:t>
      </w:r>
    </w:p>
    <w:p>
      <w:pPr>
        <w:ind w:left="39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w:t>
      </w:r>
    </w:p>
    <w:p>
      <w:pPr>
        <w:ind w:left="42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NEUROSPHERES HOLDINGS LTD.</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w:t>
      </w:r>
    </w:p>
    <w:p>
      <w:pPr>
        <w:ind w:left="39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w:t>
      </w:r>
    </w:p>
    <w:p>
      <w:pPr>
        <w:ind w:left="42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w:t>
      </w:r>
    </w:p>
    <w:p>
      <w:pPr>
        <w:ind w:left="39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w:t>
      </w:r>
    </w:p>
    <w:p>
      <w:pPr>
        <w:ind w:left="42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Treatment has been requested for the marked portion.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7" w:right="1440" w:bottom="1440" w:gutter="0" w:footer="0" w:header="0"/>
        </w:sectPr>
      </w:pPr>
    </w:p>
    <w:bookmarkStart w:id="96" w:name="page97"/>
    <w:bookmarkEnd w:id="96"/>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has been requested for the marked portion.</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91" w:right="1440" w:bottom="1440" w:gutter="0" w:footer="0" w:header="0"/>
        </w:sectPr>
      </w:pPr>
    </w:p>
    <w:bookmarkStart w:id="97" w:name="page98"/>
    <w:bookmarkEnd w:id="97"/>
    <w:p>
      <w:pPr>
        <w:ind w:left="5720"/>
        <w:spacing w:after="0"/>
        <w:rPr>
          <w:sz w:val="20"/>
          <w:szCs w:val="20"/>
          <w:color w:val="auto"/>
        </w:rPr>
      </w:pPr>
      <w:r>
        <w:rPr>
          <w:rFonts w:ascii="Courier New" w:cs="Courier New" w:eastAsia="Courier New" w:hAnsi="Courier New"/>
          <w:sz w:val="15"/>
          <w:szCs w:val="15"/>
          <w:color w:val="auto"/>
        </w:rPr>
        <w:t>EXHIBIT 10.51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[STEMSCELLS INC. LETTERHEAD]</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January 2,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McGlynn</w:t>
      </w:r>
    </w:p>
    <w:p>
      <w:pPr>
        <w:spacing w:after="0"/>
        <w:rPr>
          <w:sz w:val="20"/>
          <w:szCs w:val="20"/>
          <w:color w:val="auto"/>
        </w:rPr>
      </w:pPr>
      <w:r>
        <w:rPr>
          <w:rFonts w:ascii="Courier New" w:cs="Courier New" w:eastAsia="Courier New" w:hAnsi="Courier New"/>
          <w:sz w:val="15"/>
          <w:szCs w:val="15"/>
          <w:color w:val="auto"/>
        </w:rPr>
        <w:t>11812 South October Cove</w:t>
      </w:r>
    </w:p>
    <w:p>
      <w:pPr>
        <w:spacing w:after="0"/>
        <w:rPr>
          <w:sz w:val="20"/>
          <w:szCs w:val="20"/>
          <w:color w:val="auto"/>
        </w:rPr>
      </w:pPr>
      <w:r>
        <w:rPr>
          <w:rFonts w:ascii="Courier New" w:cs="Courier New" w:eastAsia="Courier New" w:hAnsi="Courier New"/>
          <w:sz w:val="15"/>
          <w:szCs w:val="15"/>
          <w:color w:val="auto"/>
        </w:rPr>
        <w:t>Sandy, Utah 84092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Martin: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behalf of StemCells, Inc. (the "Company"), I am pleased to offer you the position of President and Chief Executive Officer under the terms and conditions that follow:</w:t>
      </w:r>
    </w:p>
    <w:p>
      <w:pPr>
        <w:spacing w:after="0" w:line="175" w:lineRule="exact"/>
        <w:rPr>
          <w:sz w:val="20"/>
          <w:szCs w:val="20"/>
          <w:color w:val="auto"/>
        </w:rPr>
      </w:pPr>
    </w:p>
    <w:p>
      <w:pPr>
        <w:ind w:right="3619" w:firstLine="431"/>
        <w:spacing w:after="0" w:line="235" w:lineRule="auto"/>
        <w:tabs>
          <w:tab w:leader="none" w:pos="7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STARTING DATE. The date on which your full-time employment with the Company will start is January 15, 2001.</w:t>
      </w:r>
    </w:p>
    <w:p>
      <w:pPr>
        <w:spacing w:after="0" w:line="175" w:lineRule="exact"/>
        <w:rPr>
          <w:rFonts w:ascii="Courier New" w:cs="Courier New" w:eastAsia="Courier New" w:hAnsi="Courier New"/>
          <w:sz w:val="15"/>
          <w:szCs w:val="15"/>
          <w:color w:val="auto"/>
        </w:rPr>
      </w:pPr>
    </w:p>
    <w:p>
      <w:pPr>
        <w:ind w:right="3259" w:firstLine="431"/>
        <w:spacing w:after="0" w:line="257" w:lineRule="auto"/>
        <w:tabs>
          <w:tab w:leader="none" w:pos="70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 As President and Chief Executive Officer, you will be expected to exert your full-time best efforts to promote and protect the business interests of the Company. Specifically, but not exclusively, your responsibilities will be to manage the operations of the Company, to build and maintain an outstanding and harmonious working team of both scientific and professional employees, to secure, promote and maintain the appropriate financing and capital structure of the Company, to manage and direct the strategic development of the Company's business plan and its implementation and to oversee the overall scientific affairs of the Company. You will report directly to the Board. In addition, and without further compensation, you agree to service as a member of the Board of Directors of the Company (the "Board") and as a director or officer of one or more of the Company's Affiliates, if so elected or appointed from time to time. For the purposes of this agreement, "Affiliates" means all persons and entities directly or indirectly controlling, controlled by or under common control with the Company, where control may be by management authority, equity interest or otherwise. It is understood that your membership on the Board, and on the board of any Affiliate of the Company, will not continue past your tenure as President and Chief Executive Officer, and you agree to resign, effective on termination of your employment, from any such directorships you may then hold.</w:t>
      </w:r>
    </w:p>
    <w:p>
      <w:pPr>
        <w:spacing w:after="0" w:line="332" w:lineRule="exact"/>
        <w:rPr>
          <w:rFonts w:ascii="Courier New" w:cs="Courier New" w:eastAsia="Courier New" w:hAnsi="Courier New"/>
          <w:sz w:val="14"/>
          <w:szCs w:val="14"/>
          <w:color w:val="auto"/>
        </w:rPr>
      </w:pPr>
    </w:p>
    <w:p>
      <w:pPr>
        <w:ind w:right="3179" w:firstLine="431"/>
        <w:spacing w:after="0" w:line="238" w:lineRule="auto"/>
        <w:tabs>
          <w:tab w:leader="none" w:pos="7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services that you perform for the Company and its Affiliates, your base salary will be at the rate of Two Hundred Seventy-Five Thousand Dollars ($275,000) per year. Your performance and compensation will be reviewed at least annually by the Compensation Committee of the Board. In addition, the Board, in its sole discretion, may award you a cash bonus of up to twenty-five percent of your base salary, based on the Board's review of your performance.</w:t>
      </w:r>
    </w:p>
    <w:p>
      <w:pPr>
        <w:sectPr>
          <w:pgSz w:w="11900" w:h="16838" w:orient="portrait"/>
          <w:cols w:equalWidth="0" w:num="1">
            <w:col w:w="10219"/>
          </w:cols>
          <w:pgMar w:left="240" w:top="644"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Martin McGlynn</w:t>
      </w:r>
    </w:p>
    <w:p>
      <w:pPr>
        <w:spacing w:after="0"/>
        <w:rPr>
          <w:sz w:val="20"/>
          <w:szCs w:val="20"/>
          <w:color w:val="auto"/>
        </w:rPr>
      </w:pPr>
      <w:r>
        <w:rPr>
          <w:rFonts w:ascii="Courier New" w:cs="Courier New" w:eastAsia="Courier New" w:hAnsi="Courier New"/>
          <w:sz w:val="15"/>
          <w:szCs w:val="15"/>
          <w:color w:val="auto"/>
        </w:rPr>
        <w:t>January 2, 2001</w:t>
      </w: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13" w:lineRule="exact"/>
        <w:rPr>
          <w:sz w:val="20"/>
          <w:szCs w:val="20"/>
          <w:color w:val="auto"/>
        </w:rPr>
      </w:pPr>
    </w:p>
    <w:p>
      <w:pPr>
        <w:ind w:right="3179" w:firstLine="431"/>
        <w:spacing w:after="0" w:line="256" w:lineRule="auto"/>
        <w:tabs>
          <w:tab w:leader="none" w:pos="70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Through the StemCells, Inc. 1992 Equity Incentive Plan (the "Incentive Plan"), and subject to the terms and conditions of such Plan, you will be granted an option to acquire Four Hundred Thousand (400,000) shares of the common stock of the Company (the "Time-Based Option") at the then-current fair market value of such shares, as reasonably determined by the Board, on January 15, 2001. Subject to your continued employment by the Company, the Time-Based Option will vest over forty-eight (48) months as follows: (i) one quarter of the shares will vest on the first anniversary of the date on which your employment with the Company begins and (ii) the remaining shares shall vest at the rate of one forty-eighth (1/48) per month on the last day of each month during the ensuing thirty-six months. Except as otherwise expressly provided herein, the Time-Based Option shall be governed by the terms of the Incentive Plan, as in effect from time to time. A copy of the Incentive Plan as currently in effect is attached as Exhibit A. In addition, the Board, in its sole discretion, may award you a bonus option of up to 25,000 shares of the Company's common stock, depending on the Board's review of your performance. Any Change in Control will result in the accelerated vesting of the option to acquire 100% of such shares. A Change in Control shall mean any consolidation or merger in which the Company is not the surviving corporation, a transaction or series of related transactions that result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346" w:lineRule="exact"/>
        <w:rPr>
          <w:rFonts w:ascii="Courier New" w:cs="Courier New" w:eastAsia="Courier New" w:hAnsi="Courier New"/>
          <w:sz w:val="14"/>
          <w:szCs w:val="14"/>
          <w:color w:val="auto"/>
        </w:rPr>
      </w:pPr>
    </w:p>
    <w:p>
      <w:pPr>
        <w:ind w:right="3179" w:firstLine="431"/>
        <w:spacing w:after="0" w:line="239" w:lineRule="auto"/>
        <w:tabs>
          <w:tab w:leader="none" w:pos="7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AND RELOCATION ALLOWANCE. No later than the date on which your employment with the Company begins, you will establish your principal office at the Company's offices in Sunnyvale and a temporary residence for yourself within driving distance of such office, and will spend, on average, at least five days per week in residence there. The Company will reimburse you, up to a reasonable amount to be agreed upon, for the cost of the temporary residence. When you relocate permanently to the area where the Company maintains its offices, the Company will pay you a relocation bonus in the amount of Fifty Thousand Dollars ($50,000). In addition the Company will reimburse you for your reasonable expenses associated with relocation, such as the realtor's commission on the sale of your Utah home, closing costs in connection with the purchase of a new home, moving and, if necessary, storage of household goods, and transportation for you and your wife, provided that the reimbursed amount shall not exceed Twenty-Five Thousand Dollars ($25,000) exclusive of the realtor's commission. Further, the Company will negotiate with you in good faith concerning an amount to be provided by the Company to assist in your purchase of a home within driving distance of the Company's offices, and the method of its provision. Such assistance may include, without limitation, a bridge loan should one be appropriate.</w:t>
      </w:r>
    </w:p>
    <w:p>
      <w:pPr>
        <w:sectPr>
          <w:pgSz w:w="11900" w:h="16838" w:orient="portrait"/>
          <w:cols w:equalWidth="0" w:num="1">
            <w:col w:w="10219"/>
          </w:cols>
          <w:pgMar w:left="240" w:top="791"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Martin McGlynn</w:t>
      </w:r>
    </w:p>
    <w:p>
      <w:pPr>
        <w:spacing w:after="0"/>
        <w:rPr>
          <w:sz w:val="20"/>
          <w:szCs w:val="20"/>
          <w:color w:val="auto"/>
        </w:rPr>
      </w:pPr>
      <w:r>
        <w:rPr>
          <w:rFonts w:ascii="Courier New" w:cs="Courier New" w:eastAsia="Courier New" w:hAnsi="Courier New"/>
          <w:sz w:val="15"/>
          <w:szCs w:val="15"/>
          <w:color w:val="auto"/>
        </w:rPr>
        <w:t>January 2, 2001</w:t>
      </w:r>
    </w:p>
    <w:p>
      <w:pPr>
        <w:spacing w:after="0"/>
        <w:rPr>
          <w:sz w:val="20"/>
          <w:szCs w:val="20"/>
          <w:color w:val="auto"/>
        </w:rPr>
      </w:pPr>
      <w:r>
        <w:rPr>
          <w:rFonts w:ascii="Courier New" w:cs="Courier New" w:eastAsia="Courier New" w:hAnsi="Courier New"/>
          <w:sz w:val="15"/>
          <w:szCs w:val="15"/>
          <w:color w:val="auto"/>
        </w:rPr>
        <w:t>Page 3</w:t>
      </w:r>
    </w:p>
    <w:p>
      <w:pPr>
        <w:spacing w:after="0" w:line="343" w:lineRule="exact"/>
        <w:rPr>
          <w:sz w:val="20"/>
          <w:szCs w:val="20"/>
          <w:color w:val="auto"/>
        </w:rPr>
      </w:pPr>
    </w:p>
    <w:p>
      <w:pPr>
        <w:ind w:right="3179" w:firstLine="431"/>
        <w:spacing w:after="0" w:line="239" w:lineRule="auto"/>
        <w:tabs>
          <w:tab w:leader="none" w:pos="70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You will be entitled to participate in any and all employee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 (iii) the discretion of the Board and plan administrators, as provided for in or contemplated by such plan. I am enclosing a summary of current employee benefits for your information, and of course the agreements with providers are available to you. The Company will provide you with a leased automobile, the cost of which, including insurance, gas and maintenance, will be paid by you and the Company in proportion to your business and personal use of such automobile. Prior to your permanent relocation to within driving distance of the Company's principal offices, the Company will reimburse you and your wife for the cost of one round trip per month to Utah. The Company will provide you with three weeks vacation per year. The Company shall reimburse you for all expenses reasonably incurred by you in connection with your performance of your duties hereunder on a basis consistent with Company policies.</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CONFIDENTIALITY AND RESTRICTED ACTIVITIES. As a condition of accepting this offer of employment, you will be required to complete, sign and return the Company's standard form of Employment Agreement, a copy of which is attached hereto as Exhibit B and by this reference incorporated. You hereby represent that you are not now bound by any employment agreement, confidential or proprietary information agreement or similar agreement, with any person or entity including without limitation any current or previous employer, that would impose any restriction on your acceptance of this offer or that would interfere with your ability to fulfill the responsibilities of your position with the Company.</w:t>
      </w:r>
    </w:p>
    <w:p>
      <w:pPr>
        <w:spacing w:after="0" w:line="179" w:lineRule="exact"/>
        <w:rPr>
          <w:rFonts w:ascii="Courier New" w:cs="Courier New" w:eastAsia="Courier New" w:hAnsi="Courier New"/>
          <w:sz w:val="15"/>
          <w:szCs w:val="15"/>
          <w:color w:val="auto"/>
        </w:rPr>
      </w:pPr>
    </w:p>
    <w:p>
      <w:pPr>
        <w:ind w:right="3179" w:firstLine="431"/>
        <w:spacing w:after="0" w:line="237" w:lineRule="auto"/>
        <w:tabs>
          <w:tab w:leader="none" w:pos="70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WILL EMPLOYMENT; TERMINATION AND TERMINATION BENEFITS. Your employment with the Company is "at will," which means that either you or the Company may terminate your employment at any time, with or without cause or good reason.</w:t>
      </w:r>
    </w:p>
    <w:p>
      <w:pPr>
        <w:spacing w:after="0" w:line="176" w:lineRule="exact"/>
        <w:rPr>
          <w:rFonts w:ascii="Courier New" w:cs="Courier New" w:eastAsia="Courier New" w:hAnsi="Courier New"/>
          <w:sz w:val="15"/>
          <w:szCs w:val="15"/>
          <w:color w:val="auto"/>
        </w:rPr>
      </w:pPr>
    </w:p>
    <w:p>
      <w:pPr>
        <w:ind w:right="3179" w:firstLine="696"/>
        <w:spacing w:after="0" w:line="238" w:lineRule="auto"/>
        <w:tabs>
          <w:tab w:leader="none" w:pos="97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other than for "cause" at any time upon written notice to you and, in that event, (i) the Company will continue to pay you your base salary for one year following the date of such termination. To the maximum extent permitted by the Company's benefit plans, all healthcare benefits provided to you hereunder shall continue for one year following the date of such termination other than for cause, but the Company shall not be obligated to purchase any special insurance or other coverage in order to satisfy the foregoing obligation.</w:t>
      </w:r>
    </w:p>
    <w:p>
      <w:pPr>
        <w:spacing w:after="0" w:line="177" w:lineRule="exact"/>
        <w:rPr>
          <w:rFonts w:ascii="Courier New" w:cs="Courier New" w:eastAsia="Courier New" w:hAnsi="Courier New"/>
          <w:sz w:val="15"/>
          <w:szCs w:val="15"/>
          <w:color w:val="auto"/>
        </w:rPr>
      </w:pPr>
    </w:p>
    <w:p>
      <w:pPr>
        <w:ind w:right="3259" w:firstLine="696"/>
        <w:spacing w:after="0" w:line="237" w:lineRule="auto"/>
        <w:tabs>
          <w:tab w:leader="none" w:pos="97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w:t>
      </w:r>
    </w:p>
    <w:p>
      <w:pPr>
        <w:sectPr>
          <w:pgSz w:w="11900" w:h="16838" w:orient="portrait"/>
          <w:cols w:equalWidth="0" w:num="1">
            <w:col w:w="10219"/>
          </w:cols>
          <w:pgMar w:left="240" w:top="79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Martin McGlynn</w:t>
      </w:r>
    </w:p>
    <w:p>
      <w:pPr>
        <w:spacing w:after="0"/>
        <w:rPr>
          <w:sz w:val="20"/>
          <w:szCs w:val="20"/>
          <w:color w:val="auto"/>
        </w:rPr>
      </w:pPr>
      <w:r>
        <w:rPr>
          <w:rFonts w:ascii="Courier New" w:cs="Courier New" w:eastAsia="Courier New" w:hAnsi="Courier New"/>
          <w:sz w:val="15"/>
          <w:szCs w:val="15"/>
          <w:color w:val="auto"/>
        </w:rPr>
        <w:t>January 2, 2001</w:t>
      </w:r>
    </w:p>
    <w:p>
      <w:pPr>
        <w:spacing w:after="0"/>
        <w:rPr>
          <w:sz w:val="20"/>
          <w:szCs w:val="20"/>
          <w:color w:val="auto"/>
        </w:rPr>
      </w:pPr>
      <w:r>
        <w:rPr>
          <w:rFonts w:ascii="Courier New" w:cs="Courier New" w:eastAsia="Courier New" w:hAnsi="Courier New"/>
          <w:sz w:val="15"/>
          <w:szCs w:val="15"/>
          <w:color w:val="auto"/>
        </w:rPr>
        <w:t>Page 4</w:t>
      </w:r>
    </w:p>
    <w:p>
      <w:pPr>
        <w:spacing w:after="0" w:line="34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hereunder for ninety (90) days during any three hundred and sixty-five (365) calendar days. In that event, the Company will continue to pay you your base salary (i) for a period of six (6) months following such termination or (ii) until you obtain other full time employment or (iii) until you become eligible for disability income under any disability income plan provided by the Company, whichever of these events shall first occur.</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 The Company may terminate your employment hereunder for cause at any time upon written notice to you setting forth in reasonable detail the nature of such cause. The following, as determined by the Company in its reasonable judgment, shall constitute "cause" for termination: (i) your willful failure to perform your material duties and responsibilities to the Company and its Affiliates (including, without limitation, those duties and responsibilities described in Section 1) and; (ii) your material breach of Paragraph 7 of this Agreement or of Exhibit A incorporated thereby; (iii) fraud, embezzlement or other material dishonesty with respect to the Company or any of its Affiliates; or (iv) your conviction of, or plea of nolo contendere to, a felony.</w:t>
      </w:r>
    </w:p>
    <w:p>
      <w:pPr>
        <w:spacing w:after="0" w:line="166"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d. You may terminate your employment at any time, with or without good reason, upon written notice to the Company. If you decide to terminate your employment without good reason, you agree to give the Company three months' notice of termination. You may terminate your employment hereunder with good reason at any time upon written notice to the Company. The following shall constitute "good reason" for termination: material breach by the Company of any provision of this Agreement, including, without limitation, any material diminution in your authority or responsibilities from that contemplated by Section 1 hereof, which breach continues for more than ten (10) business days following receipt by the Company of written notice from you setting forth in reasonable detail the nature of such breach. If you terminate your employment with good reason, the Company will be obligated to you under Paragraph 8.a hereof as if the Company had terminated your employment other than for cause.</w:t>
      </w:r>
    </w:p>
    <w:p>
      <w:pPr>
        <w:spacing w:after="0" w:line="165" w:lineRule="exact"/>
        <w:rPr>
          <w:sz w:val="20"/>
          <w:szCs w:val="20"/>
          <w:color w:val="auto"/>
        </w:rPr>
      </w:pPr>
    </w:p>
    <w:p>
      <w:pPr>
        <w:jc w:val="both"/>
        <w:ind w:right="3179" w:firstLine="705"/>
        <w:spacing w:after="0" w:line="237" w:lineRule="auto"/>
        <w:rPr>
          <w:sz w:val="20"/>
          <w:szCs w:val="20"/>
          <w:color w:val="auto"/>
        </w:rPr>
      </w:pPr>
      <w:r>
        <w:rPr>
          <w:rFonts w:ascii="Courier New" w:cs="Courier New" w:eastAsia="Courier New" w:hAnsi="Courier New"/>
          <w:sz w:val="15"/>
          <w:szCs w:val="15"/>
          <w:color w:val="auto"/>
        </w:rPr>
        <w:t>e. If you resign without good reason or your employment is terminated by the Company for cause, the Company shall have no further obligation to you other than for base salary earned through the date of termination. No severance pay or other benefits of any kind will be provided.</w:t>
      </w:r>
    </w:p>
    <w:p>
      <w:pPr>
        <w:spacing w:after="0" w:line="176" w:lineRule="exact"/>
        <w:rPr>
          <w:sz w:val="20"/>
          <w:szCs w:val="20"/>
          <w:color w:val="auto"/>
        </w:rPr>
      </w:pPr>
    </w:p>
    <w:p>
      <w:pPr>
        <w:ind w:right="3359" w:firstLine="431"/>
        <w:spacing w:after="0" w:line="237" w:lineRule="auto"/>
        <w:tabs>
          <w:tab w:leader="none" w:pos="70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payments and reimbursements made by the Company under this Agreement shall be reduced by any tax or other amounts required to be withheld by the Company under applicable law.</w:t>
      </w:r>
    </w:p>
    <w:p>
      <w:pPr>
        <w:spacing w:after="0" w:line="174" w:lineRule="exact"/>
        <w:rPr>
          <w:rFonts w:ascii="Courier New" w:cs="Courier New" w:eastAsia="Courier New" w:hAnsi="Courier New"/>
          <w:sz w:val="15"/>
          <w:szCs w:val="15"/>
          <w:color w:val="auto"/>
        </w:rPr>
      </w:pPr>
    </w:p>
    <w:p>
      <w:pPr>
        <w:ind w:right="3539" w:firstLine="431"/>
        <w:spacing w:after="0" w:line="238" w:lineRule="auto"/>
        <w:tabs>
          <w:tab w:leader="none" w:pos="79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ELIGIBILITY VERIFICATION. As you know, all people employed in the United States are required to complete an Employment Eligibility Verification Form on the first day of employment and submit an original document or documents that establish identity and employment eligibility within three business days of employment. The employment offered in this letter is contingent on your doing so.</w:t>
      </w:r>
    </w:p>
    <w:p>
      <w:pPr>
        <w:sectPr>
          <w:pgSz w:w="11900" w:h="16838" w:orient="portrait"/>
          <w:cols w:equalWidth="0" w:num="1">
            <w:col w:w="10219"/>
          </w:cols>
          <w:pgMar w:left="240" w:top="79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Martin McGlynn</w:t>
      </w:r>
    </w:p>
    <w:p>
      <w:pPr>
        <w:spacing w:after="0"/>
        <w:rPr>
          <w:sz w:val="20"/>
          <w:szCs w:val="20"/>
          <w:color w:val="auto"/>
        </w:rPr>
      </w:pPr>
      <w:r>
        <w:rPr>
          <w:rFonts w:ascii="Courier New" w:cs="Courier New" w:eastAsia="Courier New" w:hAnsi="Courier New"/>
          <w:sz w:val="15"/>
          <w:szCs w:val="15"/>
          <w:color w:val="auto"/>
        </w:rPr>
        <w:t>January 2, 2001</w:t>
      </w:r>
    </w:p>
    <w:p>
      <w:pPr>
        <w:spacing w:after="0"/>
        <w:rPr>
          <w:sz w:val="20"/>
          <w:szCs w:val="20"/>
          <w:color w:val="auto"/>
        </w:rPr>
      </w:pPr>
      <w:r>
        <w:rPr>
          <w:rFonts w:ascii="Courier New" w:cs="Courier New" w:eastAsia="Courier New" w:hAnsi="Courier New"/>
          <w:sz w:val="15"/>
          <w:szCs w:val="15"/>
          <w:color w:val="auto"/>
        </w:rPr>
        <w:t>Page 5</w:t>
      </w:r>
    </w:p>
    <w:p>
      <w:pPr>
        <w:spacing w:after="0" w:line="343" w:lineRule="exact"/>
        <w:rPr>
          <w:sz w:val="20"/>
          <w:szCs w:val="20"/>
          <w:color w:val="auto"/>
        </w:rPr>
      </w:pPr>
    </w:p>
    <w:p>
      <w:pPr>
        <w:ind w:right="3179" w:firstLine="431"/>
        <w:spacing w:after="0" w:line="238" w:lineRule="auto"/>
        <w:tabs>
          <w:tab w:leader="none" w:pos="79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you nor the Company may make any assignment of this Agreement or any interest herein, by 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consolidation or merger or to whom the Company transfers all or substantially all of its properties or assets. This Agreement shall inure to the benefit of and be binding upon you and the Company and each of your respective successors, executors, administrators, heirs and permitted assigns.</w:t>
      </w:r>
    </w:p>
    <w:p>
      <w:pPr>
        <w:spacing w:after="0" w:line="179" w:lineRule="exact"/>
        <w:rPr>
          <w:rFonts w:ascii="Courier New" w:cs="Courier New" w:eastAsia="Courier New" w:hAnsi="Courier New"/>
          <w:sz w:val="15"/>
          <w:szCs w:val="15"/>
          <w:color w:val="auto"/>
        </w:rPr>
      </w:pPr>
    </w:p>
    <w:p>
      <w:pPr>
        <w:ind w:right="3259" w:firstLine="431"/>
        <w:spacing w:after="0" w:line="258" w:lineRule="auto"/>
        <w:tabs>
          <w:tab w:leader="none" w:pos="79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3" w:lineRule="exact"/>
        <w:rPr>
          <w:rFonts w:ascii="Courier New" w:cs="Courier New" w:eastAsia="Courier New" w:hAnsi="Courier New"/>
          <w:sz w:val="14"/>
          <w:szCs w:val="14"/>
          <w:color w:val="auto"/>
        </w:rPr>
      </w:pPr>
    </w:p>
    <w:p>
      <w:pPr>
        <w:ind w:right="3359" w:firstLine="431"/>
        <w:spacing w:after="0" w:line="238" w:lineRule="auto"/>
        <w:tabs>
          <w:tab w:leader="none" w:pos="79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179" w:firstLine="431"/>
        <w:spacing w:after="0" w:line="258" w:lineRule="auto"/>
        <w:tabs>
          <w:tab w:leader="none" w:pos="79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Except as otherwise expressly provided herein, any notices, requests, demands and other communications provided for by this Agreement shall be in writing and shall be effective when delivered in person or deposited in the United States mail, postage prepaid, registered or certified, and addressed to you at your last known address on the books of the Company or, in the case of the Company, at its main office, attention of the Chairman of the Board.</w:t>
      </w:r>
    </w:p>
    <w:p>
      <w:pPr>
        <w:spacing w:after="0" w:line="163" w:lineRule="exact"/>
        <w:rPr>
          <w:rFonts w:ascii="Courier New" w:cs="Courier New" w:eastAsia="Courier New" w:hAnsi="Courier New"/>
          <w:sz w:val="14"/>
          <w:szCs w:val="14"/>
          <w:color w:val="auto"/>
        </w:rPr>
      </w:pPr>
    </w:p>
    <w:p>
      <w:pPr>
        <w:ind w:right="3439" w:firstLine="431"/>
        <w:spacing w:after="0" w:line="237" w:lineRule="auto"/>
        <w:tabs>
          <w:tab w:leader="none" w:pos="79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and headings in this Agreement are for convenience only and in no way define or describe the scope or content of any provision of this Agreement.</w:t>
      </w:r>
    </w:p>
    <w:p>
      <w:pPr>
        <w:spacing w:after="0" w:line="174" w:lineRule="exact"/>
        <w:rPr>
          <w:rFonts w:ascii="Courier New" w:cs="Courier New" w:eastAsia="Courier New" w:hAnsi="Courier New"/>
          <w:sz w:val="15"/>
          <w:szCs w:val="15"/>
          <w:color w:val="auto"/>
        </w:rPr>
      </w:pPr>
    </w:p>
    <w:p>
      <w:pPr>
        <w:ind w:right="3179" w:firstLine="431"/>
        <w:spacing w:after="0" w:line="258" w:lineRule="auto"/>
        <w:tabs>
          <w:tab w:leader="none" w:pos="79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and understanding between you and the Company and supersedes all prior communications, agreements and understandings, written and oral, with respect to the terms and conditions of your employment. This Agreement may not be amended or modified, except by an agreement in writing signed by you and the Chairman of the Board or other specifically authorized representative of the Company.</w:t>
      </w:r>
    </w:p>
    <w:p>
      <w:pPr>
        <w:sectPr>
          <w:pgSz w:w="11900" w:h="16838" w:orient="portrait"/>
          <w:cols w:equalWidth="0" w:num="1">
            <w:col w:w="10219"/>
          </w:cols>
          <w:pgMar w:left="240" w:top="791" w:right="1440" w:bottom="1440" w:gutter="0" w:footer="0" w:header="0"/>
        </w:sectPr>
      </w:pPr>
    </w:p>
    <w:bookmarkStart w:id="102" w:name="page103"/>
    <w:bookmarkEnd w:id="102"/>
    <w:p>
      <w:pPr>
        <w:ind w:left="10"/>
        <w:spacing w:after="0"/>
        <w:rPr>
          <w:sz w:val="20"/>
          <w:szCs w:val="20"/>
          <w:color w:val="auto"/>
        </w:rPr>
      </w:pPr>
      <w:r>
        <w:rPr>
          <w:rFonts w:ascii="Courier New" w:cs="Courier New" w:eastAsia="Courier New" w:hAnsi="Courier New"/>
          <w:sz w:val="15"/>
          <w:szCs w:val="15"/>
          <w:color w:val="auto"/>
        </w:rPr>
        <w:t>Martin McGlynn</w:t>
      </w:r>
    </w:p>
    <w:p>
      <w:pPr>
        <w:ind w:left="10"/>
        <w:spacing w:after="0"/>
        <w:rPr>
          <w:sz w:val="20"/>
          <w:szCs w:val="20"/>
          <w:color w:val="auto"/>
        </w:rPr>
      </w:pPr>
      <w:r>
        <w:rPr>
          <w:rFonts w:ascii="Courier New" w:cs="Courier New" w:eastAsia="Courier New" w:hAnsi="Courier New"/>
          <w:sz w:val="15"/>
          <w:szCs w:val="15"/>
          <w:color w:val="auto"/>
        </w:rPr>
        <w:t>January 2, 2001</w:t>
      </w:r>
    </w:p>
    <w:p>
      <w:pPr>
        <w:ind w:left="10"/>
        <w:spacing w:after="0"/>
        <w:rPr>
          <w:sz w:val="20"/>
          <w:szCs w:val="20"/>
          <w:color w:val="auto"/>
        </w:rPr>
      </w:pPr>
      <w:r>
        <w:rPr>
          <w:rFonts w:ascii="Courier New" w:cs="Courier New" w:eastAsia="Courier New" w:hAnsi="Courier New"/>
          <w:sz w:val="15"/>
          <w:szCs w:val="15"/>
          <w:color w:val="auto"/>
        </w:rPr>
        <w:t>Page 6</w:t>
      </w:r>
    </w:p>
    <w:p>
      <w:pPr>
        <w:spacing w:after="0" w:line="343" w:lineRule="exact"/>
        <w:rPr>
          <w:sz w:val="20"/>
          <w:szCs w:val="20"/>
          <w:color w:val="auto"/>
        </w:rPr>
      </w:pPr>
    </w:p>
    <w:p>
      <w:pPr>
        <w:ind w:left="10" w:right="3179" w:firstLine="431"/>
        <w:spacing w:after="0" w:line="237" w:lineRule="auto"/>
        <w:tabs>
          <w:tab w:leader="none" w:pos="80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construed and enforced in accordance with the laws of California, without regard to the conflict of laws principles thereof.</w:t>
      </w:r>
    </w:p>
    <w:p>
      <w:pPr>
        <w:spacing w:after="0" w:line="174" w:lineRule="exact"/>
        <w:rPr>
          <w:rFonts w:ascii="Courier New" w:cs="Courier New" w:eastAsia="Courier New" w:hAnsi="Courier New"/>
          <w:sz w:val="15"/>
          <w:szCs w:val="15"/>
          <w:color w:val="auto"/>
        </w:rPr>
      </w:pPr>
    </w:p>
    <w:p>
      <w:pPr>
        <w:ind w:left="10" w:right="3259" w:firstLine="431"/>
        <w:spacing w:after="0" w:line="238" w:lineRule="auto"/>
        <w:tabs>
          <w:tab w:leader="none" w:pos="80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AGREEMENTS. You hereby represent to the Company that neither your execution and delivery of this Agreement nor your acceptance of employment with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76" w:lineRule="exact"/>
        <w:rPr>
          <w:rFonts w:ascii="Courier New" w:cs="Courier New" w:eastAsia="Courier New" w:hAnsi="Courier New"/>
          <w:sz w:val="15"/>
          <w:szCs w:val="15"/>
          <w:color w:val="auto"/>
        </w:rPr>
      </w:pPr>
    </w:p>
    <w:p>
      <w:pPr>
        <w:ind w:left="10" w:right="3439" w:firstLine="431"/>
        <w:spacing w:after="0" w:line="238" w:lineRule="auto"/>
        <w:tabs>
          <w:tab w:leader="none" w:pos="80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The Company's obligations under this Agreement and its obligation to deliver stock under the terms of the stock options granted pursuant to the terms of this Agreement (or otherwise granted you during the course of your employment) are conditioned on your compliance with the terms and conditions of this Agreement and the accuracy of the representations made to the Company by you herein.</w:t>
      </w:r>
    </w:p>
    <w:p>
      <w:pPr>
        <w:spacing w:after="0" w:line="176" w:lineRule="exact"/>
        <w:rPr>
          <w:sz w:val="20"/>
          <w:szCs w:val="20"/>
          <w:color w:val="auto"/>
        </w:rPr>
      </w:pPr>
    </w:p>
    <w:p>
      <w:pPr>
        <w:ind w:left="10" w:right="3539" w:firstLine="441"/>
        <w:spacing w:after="0" w:line="259"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Sincerely yours,</w:t>
      </w:r>
    </w:p>
    <w:p>
      <w:pPr>
        <w:ind w:left="3430"/>
        <w:spacing w:after="0"/>
        <w:rPr>
          <w:sz w:val="20"/>
          <w:szCs w:val="20"/>
          <w:color w:val="auto"/>
        </w:rPr>
      </w:pPr>
      <w:r>
        <w:rPr>
          <w:rFonts w:ascii="Courier New" w:cs="Courier New" w:eastAsia="Courier New" w:hAnsi="Courier New"/>
          <w:sz w:val="15"/>
          <w:szCs w:val="15"/>
          <w:color w:val="auto"/>
        </w:rPr>
        <w:t>STEMCELLS, INC.</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John J. Schwartz, Ph.D.</w:t>
      </w:r>
    </w:p>
    <w:p>
      <w:pPr>
        <w:ind w:left="4050"/>
        <w:spacing w:after="0"/>
        <w:rPr>
          <w:sz w:val="20"/>
          <w:szCs w:val="20"/>
          <w:color w:val="auto"/>
        </w:rPr>
      </w:pPr>
      <w:r>
        <w:rPr>
          <w:rFonts w:ascii="Courier New" w:cs="Courier New" w:eastAsia="Courier New" w:hAnsi="Courier New"/>
          <w:sz w:val="15"/>
          <w:szCs w:val="15"/>
          <w:color w:val="auto"/>
        </w:rPr>
        <w:t>Chairman</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339" w:lineRule="exact"/>
        <w:rPr>
          <w:sz w:val="20"/>
          <w:szCs w:val="20"/>
          <w:color w:val="auto"/>
        </w:rPr>
      </w:pPr>
    </w:p>
    <w:p>
      <w:pPr>
        <w:ind w:left="170" w:hanging="170"/>
        <w:spacing w:after="0"/>
        <w:tabs>
          <w:tab w:leader="none" w:pos="1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 McGlynn</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w:t>
      </w:r>
    </w:p>
    <w:p>
      <w:pPr>
        <w:ind w:left="53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791" w:right="1440" w:bottom="1440" w:gutter="0" w:footer="0" w:header="0"/>
        </w:sectPr>
      </w:pPr>
    </w:p>
    <w:bookmarkStart w:id="103" w:name="page104"/>
    <w:bookmarkEnd w:id="103"/>
    <w:p>
      <w:pPr>
        <w:jc w:val="right"/>
        <w:ind w:right="3359"/>
        <w:spacing w:after="0"/>
        <w:rPr>
          <w:sz w:val="20"/>
          <w:szCs w:val="20"/>
          <w:color w:val="auto"/>
        </w:rPr>
      </w:pPr>
      <w:r>
        <w:rPr>
          <w:rFonts w:ascii="Courier New" w:cs="Courier New" w:eastAsia="Courier New" w:hAnsi="Courier New"/>
          <w:sz w:val="15"/>
          <w:szCs w:val="15"/>
          <w:color w:val="auto"/>
        </w:rPr>
        <w:t>EXHIBIT 10.52</w:t>
      </w:r>
    </w:p>
    <w:p>
      <w:pPr>
        <w:spacing w:after="0" w:line="33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LEASE</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BETWEEN</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THE BOARD OF TRUSTEES</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OF THE LELAND STANFORD JUNIOR UNIVERSITY</w:t>
      </w:r>
    </w:p>
    <w:p>
      <w:pPr>
        <w:spacing w:after="0" w:line="17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(LANDLORD)</w:t>
      </w:r>
    </w:p>
    <w:p>
      <w:pPr>
        <w:spacing w:after="0" w:line="33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(TENANT)</w:t>
      </w: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FEBRUARY 1, 2001</w:t>
      </w:r>
    </w:p>
    <w:p>
      <w:pPr>
        <w:sectPr>
          <w:pgSz w:w="11900" w:h="16838" w:orient="portrait"/>
          <w:cols w:equalWidth="0" w:num="1">
            <w:col w:w="9019"/>
          </w:cols>
          <w:pgMar w:left="1440" w:top="644"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4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48"/>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50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1.</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BASIC LEASE INFORMATION..........................................</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2.</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PREMISES</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Premises................................................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Common Area.............................................</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2.3</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Parking.................................................</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3.</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TERM.............................................................</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3.1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Term....................................................</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3.2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Failure to Deliver Possession...........................</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4.</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RENT.............................................................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Base Rent...............................................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Prepayment of Base Rent; Rent Adjustments...............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4.3</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Additional Rent.........................................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4.4</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Late Payment............................................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4.5</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Security Deposit........................................</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5.</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OPERATING EXPENSES...............................................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Net Lease...............................................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Expenses......................................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5.3</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Payment of Operating Expenses...........................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5.4</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Proration...............................................</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5.5</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Normalization...........................................</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5.6</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Utility Costs...........................................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5.7</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Taxes on Tenant's Property and Business.................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6.</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USE OF PREMISES AND CONDUCT OF BUSINESS..........................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6.1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Permitted Use...........................................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6.2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Prohibited Uses.........................................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7.</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REPAIRS AND MAINTENANCE.........................................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7.1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9"/>
              </w:rPr>
              <w:t>Landlord's Obligations.................................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7.2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9"/>
              </w:rPr>
              <w:t>Tenant's Obligations...................................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7.3</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Security...............................................</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w:t>
            </w:r>
          </w:p>
        </w:tc>
      </w:tr>
      <w:tr>
        <w:trPr>
          <w:trHeight w:val="339"/>
        </w:trPr>
        <w:tc>
          <w:tcPr>
            <w:tcW w:w="4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7.4</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9"/>
              </w:rPr>
              <w:t>Special Services.......................................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11</w:t>
            </w:r>
          </w:p>
        </w:tc>
      </w:tr>
      <w:tr>
        <w:trPr>
          <w:trHeight w:val="339"/>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8.</w:t>
            </w:r>
          </w:p>
        </w:tc>
        <w:tc>
          <w:tcPr>
            <w:tcW w:w="59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ACCEPTANCE......................................................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11</w:t>
            </w:r>
          </w:p>
        </w:tc>
      </w:tr>
    </w:tbl>
    <w:p>
      <w:pPr>
        <w:sectPr>
          <w:pgSz w:w="11900" w:h="16838" w:orient="portrait"/>
          <w:cols w:equalWidth="0" w:num="1">
            <w:col w:w="10219"/>
          </w:cols>
          <w:pgMar w:left="240" w:top="791" w:right="1440"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48"/>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509"/>
        </w:trPr>
        <w:tc>
          <w:tcPr>
            <w:tcW w:w="5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ALTERATIONS.....................................................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11</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9.1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Alterations by Tenant..................................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11</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9.2</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Approved Project Requirements..........................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12</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9.3</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Ownership of Improvements..............................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13</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9.4</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Tenant's Personal Property.............................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w w:val="93"/>
              </w:rPr>
              <w:t>LIENS</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COMPLIANCE WITH LAWS AND INSURANCE REQUIREMENTS.................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11.1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Applicable Laws........................................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11.2</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Insurance Requirements.................................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15</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HAZARDOUS MATERIALS.............................................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15</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Definitions............................................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15</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12.2</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Environmental Release..................................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16</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12.3</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Use of Hazardous Materials.............................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16</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12.4</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Hazardous Materials Inventory..........................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17</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12.5</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Tenant Indemnity.......................................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17</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12.6</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Landlord Indemnity.....................................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17</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12.7</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No Lien................................................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12.8</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Investigation..........................................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12.9</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Notices................................................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w w:val="93"/>
              </w:rPr>
              <w:t>12.10</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Surrender..............................................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w w:val="93"/>
              </w:rPr>
              <w:t>12.11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Survival...............................................</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INDEMNITY; INSURANCE............................................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Indemnity..............................................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13.2</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Insurance..............................................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19</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13.3</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Policies...............................................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20</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13.4</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Landlord's Rights......................................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20</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13.5</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Waiver of Subrogation..................................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20</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13.6</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No Liability...........................................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20</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13.7</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Landlord's Insurance...................................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21</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ASSIGNMENT AND SUBLETTING.......................................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21</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14.1</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Consent Required.......................................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21</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14.2</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Notice.................................................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21</w:t>
            </w:r>
          </w:p>
        </w:tc>
      </w:tr>
      <w:tr>
        <w:trPr>
          <w:trHeight w:val="339"/>
        </w:trPr>
        <w:tc>
          <w:tcPr>
            <w:tcW w:w="5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14.3</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Terms of Approval......................................</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791"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2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48"/>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50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14.4</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Right of First Refusal.................................</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22</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14.5</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No Release.............................................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22</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14.6</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Corporate Transfers....................................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22</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14.7</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Assumption of Obligations..............................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23</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DEFAULT</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24</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15.1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Event of Default.......................................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24</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15.2</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Remedies...............................................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24</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15.3</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Cumulative Remedies....................................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26</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15.4</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Landlord's Right to Cure...............................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26</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15.5</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Landlord's Default.....................................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26</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16.</w:t>
            </w:r>
          </w:p>
        </w:tc>
        <w:tc>
          <w:tcPr>
            <w:tcW w:w="59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LANDLORD'S RESERVED RIGHTS......................................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27</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Control of Common Area.................................</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27</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16.2</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Access.................................................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27</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16.3</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Easements..............................................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27</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16.4</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Use of Additional Areas................................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27</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16.5</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Subordination..........................................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28</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17.</w:t>
            </w:r>
          </w:p>
        </w:tc>
        <w:tc>
          <w:tcPr>
            <w:tcW w:w="59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LIMITATION OF LANDLORD'S LIABILITY..............................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28</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Limitation.............................................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28</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17.2</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Sale of Property.......................................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29</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17.3</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No Personal Liability..................................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29</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18.</w:t>
            </w:r>
          </w:p>
        </w:tc>
        <w:tc>
          <w:tcPr>
            <w:tcW w:w="59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DESTRUCTION.....................................................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29</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Landlord's Repair Obligation...........................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29</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18.2</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Notice.................................................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29</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18.3</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Termination by Tenant..................................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18.4</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Rent Adjustment........................................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18.5</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Tenant Obligations.....................................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18.6</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No Claim...............................................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18.7</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No Damages.............................................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w:t>
            </w:r>
          </w:p>
        </w:tc>
        <w:tc>
          <w:tcPr>
            <w:tcW w:w="59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EMINENT DOMAIN..................................................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Taking.................................................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19.2</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Award..................................................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r>
      <w:tr>
        <w:trPr>
          <w:trHeight w:val="339"/>
        </w:trPr>
        <w:tc>
          <w:tcPr>
            <w:tcW w:w="5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19.3</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Partial Taking.........................................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79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4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48"/>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50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19.4</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Temporary Taking.......................................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19.5</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Sale in Lieu of Condemnation...........................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19.6</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Waiver.................................................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20.</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SURRENDER</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20.1</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Surrender..............................................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20.2</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Holding Over...........................................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20.3</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Quitclaim..............................................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21.</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STATEMENTS............................................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22.</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TENANT CERTIFICATES.............................................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23.</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RULES AND REGULATIONS...........................................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23.1</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Rules and Regulations..................................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23.2</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Signs..................................................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24.</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INABILITY TO PERFORM............................................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25.</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NOTICES.........................................................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34</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26.</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QUIET ENJOYMENT.................................................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34</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27.</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AUTHORITY</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34</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28.</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BROKERS.........................................................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35</w:t>
            </w:r>
          </w:p>
        </w:tc>
      </w:tr>
      <w:tr>
        <w:trPr>
          <w:trHeight w:val="339"/>
        </w:trPr>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29.</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MISCELLANEOUS...................................................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35</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Entire Agreement.......................................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35</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29.2</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No Waiver..............................................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35</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29.3</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Modification...........................................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35</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29.4</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Successors and Assigns.................................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29.5</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Validity...............................................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29.6</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Jurisdiction...........................................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29.7</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Attorneys' Fees........................................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29.8</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Waiver of Jury Trial...................................</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29.9</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Light and Air..........................................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29.10</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Lease Memorandum.......................................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29.11</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Confidentiality........................................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29.12</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Terms..................................................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36</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29.13</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Review and Approval....................................</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37</w:t>
            </w:r>
          </w:p>
        </w:tc>
      </w:tr>
      <w:tr>
        <w:trPr>
          <w:trHeight w:val="339"/>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29.14</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No Beneficiaries.......................................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37</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791" w:right="1440" w:bottom="1440" w:gutter="0" w:footer="0" w:header="0"/>
        </w:sectPr>
      </w:pPr>
    </w:p>
    <w:bookmarkStart w:id="108" w:name="page109"/>
    <w:bookmarkEnd w:id="108"/>
    <w:p>
      <w:pPr>
        <w:ind w:left="20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5"/>
          <w:szCs w:val="15"/>
          <w:color w:val="auto"/>
        </w:rPr>
        <w:t>PAGE</w:t>
      </w:r>
    </w:p>
    <w:p>
      <w:pPr>
        <w:spacing w:after="0" w:line="33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29.15</w:t>
      </w:r>
      <w:r>
        <w:rPr>
          <w:sz w:val="20"/>
          <w:szCs w:val="20"/>
          <w:color w:val="auto"/>
        </w:rPr>
        <w:tab/>
      </w:r>
      <w:r>
        <w:rPr>
          <w:rFonts w:ascii="Courier New" w:cs="Courier New" w:eastAsia="Courier New" w:hAnsi="Courier New"/>
          <w:sz w:val="15"/>
          <w:szCs w:val="15"/>
          <w:color w:val="auto"/>
        </w:rPr>
        <w:t>Time of the Essence</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29.16</w:t>
      </w:r>
      <w:r>
        <w:rPr>
          <w:sz w:val="20"/>
          <w:szCs w:val="20"/>
          <w:color w:val="auto"/>
        </w:rPr>
        <w:tab/>
      </w:r>
      <w:r>
        <w:rPr>
          <w:rFonts w:ascii="Courier New" w:cs="Courier New" w:eastAsia="Courier New" w:hAnsi="Courier New"/>
          <w:sz w:val="15"/>
          <w:szCs w:val="15"/>
          <w:color w:val="auto"/>
        </w:rPr>
        <w:t>Modification of Lease</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29.17</w:t>
      </w:r>
      <w:r>
        <w:rPr>
          <w:sz w:val="20"/>
          <w:szCs w:val="20"/>
          <w:color w:val="auto"/>
        </w:rPr>
        <w:tab/>
      </w:r>
      <w:r>
        <w:rPr>
          <w:rFonts w:ascii="Courier New" w:cs="Courier New" w:eastAsia="Courier New" w:hAnsi="Courier New"/>
          <w:sz w:val="15"/>
          <w:szCs w:val="15"/>
          <w:color w:val="auto"/>
        </w:rPr>
        <w:t>Construction</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29.18</w:t>
      </w:r>
      <w:r>
        <w:rPr>
          <w:sz w:val="20"/>
          <w:szCs w:val="20"/>
          <w:color w:val="auto"/>
        </w:rPr>
        <w:tab/>
      </w:r>
      <w:r>
        <w:rPr>
          <w:rFonts w:ascii="Courier New" w:cs="Courier New" w:eastAsia="Courier New" w:hAnsi="Courier New"/>
          <w:sz w:val="15"/>
          <w:szCs w:val="15"/>
          <w:color w:val="auto"/>
        </w:rPr>
        <w:t>Survival</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29.19</w:t>
      </w:r>
      <w:r>
        <w:rPr>
          <w:sz w:val="20"/>
          <w:szCs w:val="20"/>
          <w:color w:val="auto"/>
        </w:rPr>
        <w:tab/>
      </w:r>
      <w:r>
        <w:rPr>
          <w:rFonts w:ascii="Courier New" w:cs="Courier New" w:eastAsia="Courier New" w:hAnsi="Courier New"/>
          <w:sz w:val="15"/>
          <w:szCs w:val="15"/>
          <w:color w:val="auto"/>
        </w:rPr>
        <w:t>Reasonable Standard</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29.20</w:t>
      </w:r>
      <w:r>
        <w:rPr>
          <w:sz w:val="20"/>
          <w:szCs w:val="20"/>
          <w:color w:val="auto"/>
        </w:rPr>
        <w:tab/>
      </w:r>
      <w:r>
        <w:rPr>
          <w:rFonts w:ascii="Courier New" w:cs="Courier New" w:eastAsia="Courier New" w:hAnsi="Courier New"/>
          <w:sz w:val="15"/>
          <w:szCs w:val="15"/>
          <w:color w:val="auto"/>
        </w:rPr>
        <w:t>Business Days</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29.21</w:t>
      </w:r>
      <w:r>
        <w:rPr>
          <w:sz w:val="20"/>
          <w:szCs w:val="20"/>
          <w:color w:val="auto"/>
        </w:rPr>
        <w:tab/>
      </w:r>
      <w:r>
        <w:rPr>
          <w:rFonts w:ascii="Courier New" w:cs="Courier New" w:eastAsia="Courier New" w:hAnsi="Courier New"/>
          <w:sz w:val="15"/>
          <w:szCs w:val="15"/>
          <w:color w:val="auto"/>
        </w:rPr>
        <w:t>Landlord's Representations and Warranties</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29.22</w:t>
      </w:r>
      <w:r>
        <w:rPr>
          <w:sz w:val="20"/>
          <w:szCs w:val="20"/>
          <w:color w:val="auto"/>
        </w:rPr>
        <w:tab/>
      </w:r>
      <w:r>
        <w:rPr>
          <w:rFonts w:ascii="Courier New" w:cs="Courier New" w:eastAsia="Courier New" w:hAnsi="Courier New"/>
          <w:sz w:val="15"/>
          <w:szCs w:val="15"/>
          <w:color w:val="auto"/>
        </w:rPr>
        <w:t>Access</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780" w:val="left"/>
          <w:tab w:leader="dot" w:pos="5620" w:val="left"/>
        </w:tabs>
        <w:rPr>
          <w:sz w:val="20"/>
          <w:szCs w:val="20"/>
          <w:color w:val="auto"/>
        </w:rPr>
      </w:pPr>
      <w:r>
        <w:rPr>
          <w:rFonts w:ascii="Courier New" w:cs="Courier New" w:eastAsia="Courier New" w:hAnsi="Courier New"/>
          <w:sz w:val="15"/>
          <w:szCs w:val="15"/>
          <w:color w:val="auto"/>
        </w:rPr>
        <w:t>29.23</w:t>
      </w:r>
      <w:r>
        <w:rPr>
          <w:sz w:val="20"/>
          <w:szCs w:val="20"/>
          <w:color w:val="auto"/>
        </w:rPr>
        <w:tab/>
      </w:r>
      <w:r>
        <w:rPr>
          <w:rFonts w:ascii="Courier New" w:cs="Courier New" w:eastAsia="Courier New" w:hAnsi="Courier New"/>
          <w:sz w:val="15"/>
          <w:szCs w:val="15"/>
          <w:color w:val="auto"/>
        </w:rPr>
        <w:t>Use of Name</w:t>
      </w:r>
      <w:r>
        <w:rPr>
          <w:sz w:val="20"/>
          <w:szCs w:val="20"/>
          <w:color w:val="auto"/>
        </w:rPr>
        <w:tab/>
      </w: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439"/>
          </w:cols>
          <w:pgMar w:left="1020" w:top="791" w:right="1440" w:bottom="1440" w:gutter="0" w:footer="0" w:header="0"/>
        </w:sectPr>
      </w:pPr>
    </w:p>
    <w:bookmarkStart w:id="109" w:name="page110"/>
    <w:bookmarkEnd w:id="109"/>
    <w:p>
      <w:pPr>
        <w:ind w:left="3350"/>
        <w:spacing w:after="0"/>
        <w:rPr>
          <w:sz w:val="20"/>
          <w:szCs w:val="20"/>
          <w:color w:val="auto"/>
        </w:rPr>
      </w:pPr>
      <w:r>
        <w:rPr>
          <w:rFonts w:ascii="Courier New" w:cs="Courier New" w:eastAsia="Courier New" w:hAnsi="Courier New"/>
          <w:sz w:val="15"/>
          <w:szCs w:val="15"/>
          <w:color w:val="auto"/>
        </w:rPr>
        <w:t>LEASE</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THIS LEASE is entered into as of February 1, 2001 (the "COMMENCEMENT DATE"), by and between THE BOARD OF TRUSTEES OF THE LELAND STANFORD JUNIOR UNIVERSITY, a body having corporate powers under the laws of the State of California ("LANDLORD"), and STEMCELLS, INC., a Delaware corporation ("TENANT").</w:t>
      </w:r>
    </w:p>
    <w:p>
      <w:pPr>
        <w:spacing w:after="0" w:line="1" w:lineRule="exact"/>
        <w:rPr>
          <w:sz w:val="20"/>
          <w:szCs w:val="20"/>
          <w:color w:val="auto"/>
        </w:rPr>
      </w:pPr>
    </w:p>
    <w:p>
      <w:pPr>
        <w:ind w:left="10" w:right="3179" w:hanging="10"/>
        <w:spacing w:after="0" w:line="238" w:lineRule="auto"/>
        <w:tabs>
          <w:tab w:leader="none" w:pos="27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LEASE INFORMATION. The following is a summary of basic lease information. Each item in this Article 1 incorporates all of the terms set forth in this Lease pertaining to such item and to the extent there is any conflict between the provisions of this Article 1 and any more specific provisions of this Lease, the more specific provisions shall control. Any capitalized term not defined in this Lease shall have the meaning set forth in the Glossary which appears at the end of this Lease.</w:t>
      </w:r>
    </w:p>
    <w:p>
      <w:pPr>
        <w:spacing w:after="0" w:line="171"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Description of Premises:</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41,070 square feet of Rentable Area,</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as more particularly described</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on EXHIBIT A.</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Address of Premises:</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3155 Porter Drive</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Palo Alto, California 94304</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Rentable Area of Building:</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69,312 square feet of Rentable Area</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Five (5)</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Commencement Date:</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February</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1, 2001</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The last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day of the calendar month</w:t>
            </w:r>
          </w:p>
        </w:tc>
      </w:tr>
      <w:tr>
        <w:trPr>
          <w:trHeight w:val="170"/>
        </w:trPr>
        <w:tc>
          <w:tcPr>
            <w:tcW w:w="27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in which</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the fifth (5th)</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anniversary of the Commencement Date</w:t>
            </w:r>
          </w:p>
        </w:tc>
      </w:tr>
      <w:tr>
        <w:trPr>
          <w:trHeight w:val="170"/>
        </w:trPr>
        <w:tc>
          <w:tcPr>
            <w:tcW w:w="27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occurs</w:t>
            </w:r>
          </w:p>
        </w:tc>
        <w:tc>
          <w:tcPr>
            <w:tcW w:w="2420" w:type="dxa"/>
            <w:vAlign w:val="bottom"/>
          </w:tcPr>
          <w:p>
            <w:pPr>
              <w:spacing w:after="0"/>
              <w:rPr>
                <w:sz w:val="14"/>
                <w:szCs w:val="14"/>
                <w:color w:val="auto"/>
              </w:rPr>
            </w:pP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Initial Base Rent:</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$3.19 per sq. ft. of Rentable Area</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per month, subject to the provisions</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of Section 4.2</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Base Rent Adjustments:</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Three percent (3%) per year, subject</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 Section 4.2</w:t>
            </w:r>
          </w:p>
        </w:tc>
      </w:tr>
      <w:tr>
        <w:trPr>
          <w:trHeight w:val="339"/>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Tenant's Share of Operating Expenses: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59.25%</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Security Deposit:</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Equal to</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two (2) months Base Rent</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Parking:</w:t>
            </w: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3.3 spaces per 1,000 sq. ft. of</w:t>
            </w:r>
          </w:p>
        </w:tc>
      </w:tr>
      <w:tr>
        <w:trPr>
          <w:trHeight w:val="170"/>
        </w:trPr>
        <w:tc>
          <w:tcPr>
            <w:tcW w:w="27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Rentable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Area</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Use:</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Research</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and development, including</w:t>
            </w:r>
          </w:p>
        </w:tc>
      </w:tr>
      <w:tr>
        <w:trPr>
          <w:trHeight w:val="170"/>
        </w:trPr>
        <w:tc>
          <w:tcPr>
            <w:tcW w:w="27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research</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using animal facilities,</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and associated office and</w:t>
            </w:r>
          </w:p>
        </w:tc>
      </w:tr>
      <w:tr>
        <w:trPr>
          <w:trHeight w:val="170"/>
        </w:trPr>
        <w:tc>
          <w:tcPr>
            <w:tcW w:w="2700" w:type="dxa"/>
            <w:vAlign w:val="bottom"/>
          </w:tcPr>
          <w:p>
            <w:pPr>
              <w:spacing w:after="0"/>
              <w:rPr>
                <w:sz w:val="14"/>
                <w:szCs w:val="14"/>
                <w:color w:val="auto"/>
              </w:rPr>
            </w:pPr>
          </w:p>
        </w:tc>
        <w:tc>
          <w:tcPr>
            <w:tcW w:w="35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administrative use</w:t>
            </w:r>
          </w:p>
        </w:tc>
      </w:tr>
    </w:tbl>
    <w:p>
      <w:pPr>
        <w:sectPr>
          <w:pgSz w:w="11900" w:h="16838" w:orient="portrait"/>
          <w:cols w:equalWidth="0" w:num="1">
            <w:col w:w="10229"/>
          </w:cols>
          <w:pgMar w:left="230" w:top="79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Addresses for Notice: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Landlord: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Trustees of the</w:t>
      </w:r>
    </w:p>
    <w:p>
      <w:pPr>
        <w:spacing w:after="0"/>
        <w:rPr>
          <w:sz w:val="20"/>
          <w:szCs w:val="20"/>
          <w:color w:val="auto"/>
        </w:rPr>
      </w:pPr>
      <w:r>
        <w:rPr>
          <w:rFonts w:ascii="Courier New" w:cs="Courier New" w:eastAsia="Courier New" w:hAnsi="Courier New"/>
          <w:sz w:val="15"/>
          <w:szCs w:val="15"/>
          <w:color w:val="auto"/>
        </w:rPr>
        <w:t>Leland Stanford Junior University</w:t>
      </w:r>
    </w:p>
    <w:p>
      <w:pPr>
        <w:spacing w:after="0"/>
        <w:rPr>
          <w:sz w:val="20"/>
          <w:szCs w:val="20"/>
          <w:color w:val="auto"/>
        </w:rPr>
      </w:pPr>
      <w:r>
        <w:rPr>
          <w:rFonts w:ascii="Courier New" w:cs="Courier New" w:eastAsia="Courier New" w:hAnsi="Courier New"/>
          <w:sz w:val="15"/>
          <w:szCs w:val="15"/>
          <w:color w:val="auto"/>
        </w:rPr>
        <w:t>Stanford Management Company</w:t>
      </w:r>
    </w:p>
    <w:p>
      <w:pPr>
        <w:spacing w:after="0" w:line="238" w:lineRule="auto"/>
        <w:rPr>
          <w:sz w:val="20"/>
          <w:szCs w:val="20"/>
          <w:color w:val="auto"/>
        </w:rPr>
      </w:pPr>
      <w:r>
        <w:rPr>
          <w:rFonts w:ascii="Courier New" w:cs="Courier New" w:eastAsia="Courier New" w:hAnsi="Courier New"/>
          <w:sz w:val="15"/>
          <w:szCs w:val="15"/>
          <w:color w:val="auto"/>
        </w:rPr>
        <w:t>2770 Sand Hill Road</w:t>
      </w:r>
    </w:p>
    <w:p>
      <w:pPr>
        <w:spacing w:after="0"/>
        <w:rPr>
          <w:sz w:val="20"/>
          <w:szCs w:val="20"/>
          <w:color w:val="auto"/>
        </w:rPr>
      </w:pPr>
      <w:r>
        <w:rPr>
          <w:rFonts w:ascii="Courier New" w:cs="Courier New" w:eastAsia="Courier New" w:hAnsi="Courier New"/>
          <w:sz w:val="15"/>
          <w:szCs w:val="15"/>
          <w:color w:val="auto"/>
        </w:rPr>
        <w:t>Menlo Park, CA 94025</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Attention:</w:t>
        <w:tab/>
        <w:t>Research Park Director</w:t>
      </w:r>
    </w:p>
    <w:p>
      <w:pPr>
        <w:spacing w:after="0" w:line="200" w:lineRule="exact"/>
        <w:rPr>
          <w:sz w:val="20"/>
          <w:szCs w:val="20"/>
          <w:color w:val="auto"/>
        </w:rPr>
      </w:pPr>
    </w:p>
    <w:p>
      <w:pPr>
        <w:sectPr>
          <w:pgSz w:w="11900" w:h="16838" w:orient="portrait"/>
          <w:cols w:equalWidth="0" w:num="2">
            <w:col w:w="2360" w:space="720"/>
            <w:col w:w="6359"/>
          </w:cols>
          <w:pgMar w:left="1020" w:top="966" w:right="1440" w:bottom="1440" w:gutter="0" w:footer="0" w:header="0"/>
        </w:sectPr>
      </w:pPr>
    </w:p>
    <w:p>
      <w:pPr>
        <w:spacing w:after="0" w:line="31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Tenant: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Premises</w:t>
      </w:r>
    </w:p>
    <w:p>
      <w:pPr>
        <w:spacing w:after="0" w:line="175" w:lineRule="exact"/>
        <w:rPr>
          <w:sz w:val="20"/>
          <w:szCs w:val="20"/>
          <w:color w:val="auto"/>
        </w:rPr>
      </w:pPr>
    </w:p>
    <w:p>
      <w:pPr>
        <w:sectPr>
          <w:pgSz w:w="11900" w:h="16838" w:orient="portrait"/>
          <w:cols w:equalWidth="0" w:num="2">
            <w:col w:w="2360" w:space="720"/>
            <w:col w:w="6359"/>
          </w:cols>
          <w:pgMar w:left="1020" w:top="966" w:right="1440"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Brokers: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ectPr>
          <w:pgSz w:w="11900" w:h="16838" w:orient="portrait"/>
          <w:cols w:equalWidth="0" w:num="2">
            <w:col w:w="2360" w:space="720"/>
            <w:col w:w="6359"/>
          </w:cols>
          <w:pgMar w:left="1020" w:top="9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9"/>
          </w:cols>
          <w:pgMar w:left="1020" w:top="966" w:right="1440" w:bottom="1440" w:gutter="0" w:footer="0" w:header="0"/>
          <w:type w:val="continuous"/>
        </w:sectPr>
      </w:pPr>
    </w:p>
    <w:bookmarkStart w:id="111" w:name="page112"/>
    <w:bookmarkEnd w:id="111"/>
    <w:p>
      <w:pPr>
        <w:ind w:left="780" w:hanging="349"/>
        <w:spacing w:after="0"/>
        <w:tabs>
          <w:tab w:leader="none" w:pos="7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2.1 PREMISES. Subject to the terms, covenants and conditions set forth in this Lease, Landlord hereby leases to Tenant and Tenant hereby leases from Landlord those premises (the "PREMISES") shown on the building plan attached as EXHIBIT A, which are located within the building shown on EXHIBIT A and identified in Article 1 (the "BUILDING"). The approximate total Rentable Area of the Premises and the Building are specified in Article 1. Together, the Building, any other buildings located in the vicinity of the Building and operated as a common project with the Building, and all Common Areas for the joint operation of the Building and such other buildings, are referred to as the "PROPERTY".</w:t>
      </w:r>
    </w:p>
    <w:p>
      <w:pPr>
        <w:spacing w:after="0" w:line="180"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2.2 COMMON AREA. Landlord hereby grants to Tenant and its employees, agents, contractors and invitees (collectively, "TENANT'S AGENTS") a non-exclusive license during the Term in common with other tenants of the Property to use the lobbies, hallways, stairways, elevators, restrooms, sidewalks, driveways, parking areas and other public amenities (the "COMMON AREA"). Tenant's rights to the Common Area shall be subject to the Rules and Regulations described in Section 23.1 and to Landlord's reserved rights described in Article 16.</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2.3 PARKING. At no additional cost to Tenant, Landlord hereby grants to Tenant and Tenant's Agents a non-exclusive license in common with other tenants of the Property to use parking areas located on the Property for parking and for ingress to and egress from the Property. Tenant shall have the right to use the number of parking spaces specified in Article 1. Tenant's license shall not be assigned, sublet or otherwise transferred separately from the Premises. Tenant agrees that neither Tenant nor Tenant's Agents shall use parking spaces in excess of the number of spaces allocated to Tenant or in areas not designated for Tenant's use. Landlord shall have the right, at Landlord's sole discretion, to specifically designate the location of Tenant's parking spaces within the parking areas of the Common Area. Tenant's parking spaces (if any) may be relocated by Landlord within the Common Area from time to time upon written notice. Tenant shall not, at any time, park, or permit the parking of the trucks or vehicles of Tenant or Tenant's Agents in any portion of the Common Area not designated by Landlord for such use by Tenant. Tenant shall not park nor permit to be parked any inoperative vehicles or store any materials or equipment on any portion of the parking area or other areas of the Common Area. Tenant agrees to assume responsibility for compliance by Tenant's Agents with the parking provisions contained in this Section. Tenant hereby authorizes Landlord at Tenant's expense to attach violation stickers or notices to such vehicles not parked in compliance with this Section and to tow away any such vehicles. In addition, a specific section of the parking area may be set aside by Landlord for visitor parking for tenants of the Property.</w:t>
      </w:r>
    </w:p>
    <w:p>
      <w:pPr>
        <w:spacing w:after="0" w:line="341" w:lineRule="exact"/>
        <w:rPr>
          <w:sz w:val="20"/>
          <w:szCs w:val="20"/>
          <w:color w:val="auto"/>
        </w:rPr>
      </w:pPr>
    </w:p>
    <w:p>
      <w:pPr>
        <w:ind w:left="780" w:hanging="349"/>
        <w:spacing w:after="0"/>
        <w:tabs>
          <w:tab w:leader="none" w:pos="7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3.1 TERM. The Premises are leased for a term (the "TERM") commencing on the Commencement Date and expiring on the Expiration Date. The Term shall end on the Expiration Date, or such earlier date on which this Lease terminates pursuant to its terms. The date upon which this Lease actually terminates, whether by expiration of the Term or in the event of default or surrender of the Premises is sometimes referred to in this Lease as the "TERMINATION DATE".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1" w:right="1440" w:bottom="1440" w:gutter="0" w:footer="0" w:header="0"/>
        </w:sectPr>
      </w:pPr>
    </w:p>
    <w:bookmarkStart w:id="112" w:name="page113"/>
    <w:bookmarkEnd w:id="112"/>
    <w:p>
      <w:pPr>
        <w:ind w:right="3179" w:firstLine="793"/>
        <w:spacing w:after="0" w:line="238" w:lineRule="auto"/>
        <w:rPr>
          <w:sz w:val="20"/>
          <w:szCs w:val="20"/>
          <w:color w:val="auto"/>
        </w:rPr>
      </w:pPr>
      <w:r>
        <w:rPr>
          <w:rFonts w:ascii="Courier New" w:cs="Courier New" w:eastAsia="Courier New" w:hAnsi="Courier New"/>
          <w:sz w:val="15"/>
          <w:szCs w:val="15"/>
          <w:color w:val="auto"/>
        </w:rPr>
        <w:t>3.2 FAILURE TO DELIVER POSSESSION. In the event Landlord cannot deliver possession of the Premises to Tenant, Landlord shall have no liability to Tenant, the validity of this Lease and Tenant's obligations hereunder shall not be affected; provided, however, that if Landlord does not deliver possession within sixty (60) days after the Commencement Date, Tenant shall have the right to terminate this Lease by delivery to Landlord of a termination notice (the "TERMINATION NOTICE"). In the event Tenant elects to terminate this Lease, Tenant must deliver the Termination Notice to Landlord prior to the date the Premises are delivered to Tenant. Upon such termination, neither party shall have any further obligation or liability to the other under this Lease; provided that Landlord shall promptly return to Tenant all sums paid by Tenant pursuant to this Lease.</w:t>
      </w:r>
    </w:p>
    <w:p>
      <w:pPr>
        <w:spacing w:after="0" w:line="176" w:lineRule="exact"/>
        <w:rPr>
          <w:sz w:val="20"/>
          <w:szCs w:val="20"/>
          <w:color w:val="auto"/>
        </w:rPr>
      </w:pPr>
    </w:p>
    <w:p>
      <w:pPr>
        <w:ind w:left="780" w:hanging="349"/>
        <w:spacing w:after="0"/>
        <w:tabs>
          <w:tab w:leader="none" w:pos="7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4.1 BASE RENT. Commencing upon the Commencement Date, and thereafter during the Term, Tenant shall pay to Landlord the monthly Base Rent specified in Article 1 on or before the first day of each month, in advance, at the address specified for Landlord in Article 1, or at such other place as Landlord designates in writing, without any prior notice or demand and without any deductions or setoff whatsoever (except as provided in this Lease). If the Commencement Date occurs on a day other than the first day of a calendar month, or the Termination Date occurs on a day other than the last day of a calendar month, then the Base Rent for such fractional month will be prorated on the basis of the actual number of days in such month. The Rentable Area of the Premises and the Building shall be conclusively presumed to be as stated in Article 1, and shall not be subject to adjustment by either Landlord or Tenant during the Term.</w:t>
      </w:r>
    </w:p>
    <w:p>
      <w:pPr>
        <w:spacing w:after="0" w:line="18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4.2 PREPAYMENT OF BASE RENT; RENT ADJUSTMENTS. In addition to the payment of Base Rent described in Section 4.1, Tenant shall prepay a portion of the Base Rent (the "PREPAYMENT") for the period from the Commencement Date through December 31, 2002 (the "PREPAYMENT PERIOD"). Tenant shall deliver the prepayment in two installments of readily available funds, the first due no later than the Commencement Date in the amount of Five Hundred Ninety-Two Thousand Five Hundred Thirty-Eight Dollars ($592,538), and the second due no later than thirty (30) days after the Commencement Date in the amount of Five Hundred Ninety-Six Thousand Four Hundred Eighty-Eight Dollars ($596,488). The Base Rent due during the entire Prepayment Period shall be $3.19 per square foot of Rentable Area of the Premises. The Base Rent shall be adjusted to $7.43 per square foot of Rentable Area commencing January 1, 2003 and shall thereafter increase by three percent (3%) on January 1 of each calendar year throughout the remainder of the Term.</w:t>
      </w:r>
    </w:p>
    <w:p>
      <w:pPr>
        <w:spacing w:after="0" w:line="18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4.3 ADDITIONAL RENT. All sums due from Tenant to Landlord or to any third party under the terms of this Lease shall be additional rent ("ADDITIONAL RENT"), including without limitation the charges for Base Rent and Operating Expenses (described in Article 5) and all sums incurred by Landlord due to Tenant's failure to perform its obligations under this Lease. All Additional Rent which is payable to Landlord shall be paid at the time and place that Base Rent is paid. Landlord will have the same remedies for a default in the payment of any Additional Rent as for a default in the payment of Base Rent. Together, Base Rent and Additional Rent are sometimes referred to in this Lease as "RENT".</w:t>
      </w:r>
    </w:p>
    <w:p>
      <w:pPr>
        <w:spacing w:after="0" w:line="167"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4.4 LATE PAYMENT. Any unpaid Rent shall bear interest from the date due until paid at the maximum interest rate allowed by law (the "INTEREST RATE"). In addition, Tenant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7" w:right="1440" w:bottom="1440" w:gutter="0" w:footer="0" w:header="0"/>
        </w:sectPr>
      </w:pPr>
    </w:p>
    <w:bookmarkStart w:id="113" w:name="page114"/>
    <w:bookmarkEnd w:id="113"/>
    <w:p>
      <w:pPr>
        <w:ind w:left="10" w:right="3179"/>
        <w:spacing w:after="0" w:line="238" w:lineRule="auto"/>
        <w:rPr>
          <w:sz w:val="20"/>
          <w:szCs w:val="20"/>
          <w:color w:val="auto"/>
        </w:rPr>
      </w:pPr>
      <w:r>
        <w:rPr>
          <w:rFonts w:ascii="Courier New" w:cs="Courier New" w:eastAsia="Courier New" w:hAnsi="Courier New"/>
          <w:sz w:val="15"/>
          <w:szCs w:val="15"/>
          <w:color w:val="auto"/>
        </w:rPr>
        <w:t>recognizes that late payment of any Rent will result in administrative expense to Landlord, the extent of which expense is difficult and economically impracticable to determine. Therefore, Tenant agrees that if Tenant fails to pay any Rent within five (5) days after its due date, an additional one-time late charge of five percent (5%) of the sums so overdue shall become immediately due and payable. Tenant agrees that the late payment charge is a reasonable estimate of the additional administrative costs and detriment that will be incurred by Landlord as a result of such failure by Tenant. In the event of nonpayment of interest or late charges on overdue Rent, Landlord shall have, in addition to all other rights and remedies, the rights and remedies provided in this Lease and by law for nonpayment of rent.</w:t>
      </w:r>
    </w:p>
    <w:p>
      <w:pPr>
        <w:spacing w:after="0" w:line="181"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4.5 SECURITY DEPOSIT. On or before the Commencement Date, Tenant shall deliver to Landlord the Security Deposit described in Article 1 in the form of cash or a letter of credit in a form reasonably acceptable to Landlord and payable upon any default of Tenant under this Lease (the "LETTER OF CREDIT"). The Security Deposit shall be held by Landlord as security for the faithful performance of this Lease by Tenant of all of the terms, covenants and conditions of this Lease. If Tenant defaults with respect to any provisions of this Lease, including but not limited to the payment of Rent, Landlord may, without waiving any of Landlord's other rights and remedies under this Lease, apply the Security Deposit in whole or in part to remedy any failure by Tenant to pay any sums due under this Lease, to repair or maintain the Premises, to perform any other terms, covenants or conditions contained in this Lease, or to compensate Landlord for any loss or damages which Landlord may suffer due to Tenant's default. Should Landlord so apply any portion of the Security Deposit, Tenant shall replenish the Security Deposit to the original amount within ten</w:t>
      </w:r>
    </w:p>
    <w:p>
      <w:pPr>
        <w:spacing w:after="0" w:line="5" w:lineRule="exact"/>
        <w:rPr>
          <w:sz w:val="20"/>
          <w:szCs w:val="20"/>
          <w:color w:val="auto"/>
        </w:rPr>
      </w:pPr>
    </w:p>
    <w:p>
      <w:pPr>
        <w:ind w:left="10" w:right="3179" w:hanging="10"/>
        <w:spacing w:after="0" w:line="256" w:lineRule="auto"/>
        <w:tabs>
          <w:tab w:leader="none" w:pos="45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written demand by Landlord. Landlord shall not be required to keep the Security Deposit separate from its general funds, and Tenant shall not be entitled to interest on the Security Deposit. If Tenant elects to use a letter of credit as the Security Deposit, the Letter of Credit shall be issued by a bank (the "L-C BANK") approved by Landlord and shall be in a form that is reasonably acceptable to Landlord in Landlord's reasonable discretion. The L-C Bank shall be a bank that accepts deposits, maintains accounts, has a local Santa Clara County office that will negotiate the Letter of Credit or if no local office then the Letter of Credit shall provide for draws by Landlord upon delivery of the written draw request by courier or by fax (to be confirmed by telephone and with original to follow within three (3) business days) and payment to be made by wire transfer to Landlord's account as directed by Landlord upon receipt of the original or fax request. The deposits of the L-C Bank shall be insured by the Federal Deposit Insurance Corporation. Tenant shall pay all expenses, points, or fees incurred by Tenant in obtaining the Letter of Credit. The Letter of Credit shall be available by draft at sight, subject only to receipt by the bank of a notarized statement from Landlord requesting such draw. The Letter of Credit shall by its terms expire not less than one year from the date issued, and shall provide for automatic one (1) year extensions unless Landlord is notified in writing not less than ninety (90) days prior to such expiration from the L-C Bank that the Letter of Credit will not be extended. In any event, unless Tenant deposits with Landlord a comparable cash security deposit or a replacement letter of credit, said Letter of Credit shall be renewed by Tenant for successive periods of not less than one year throughout the Term. The bank's written renewal of the Letter of Credit shall in each case be delivered to Landlord not less than thirty (30) days prior to the expiration date of the then outstanding Letter of Credit. Tenant's failure to so deliver, renew (including specifically but not limited to the delivery to Landlord of such renewal not less than thirty (30) days prior to expiration of the Letter of Credit) and maintain such Letter of Credit, shall be a breach of this Lease.</w:t>
      </w:r>
    </w:p>
    <w:p>
      <w:pPr>
        <w:spacing w:after="0" w:line="200" w:lineRule="exact"/>
        <w:rPr>
          <w:sz w:val="20"/>
          <w:szCs w:val="20"/>
          <w:color w:val="auto"/>
        </w:rPr>
      </w:pPr>
    </w:p>
    <w:p>
      <w:pPr>
        <w:spacing w:after="0" w:line="31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797" w:right="1440" w:bottom="1440" w:gutter="0" w:footer="0" w:header="0"/>
        </w:sectPr>
      </w:pPr>
    </w:p>
    <w:bookmarkStart w:id="114" w:name="page115"/>
    <w:bookmarkEnd w:id="114"/>
    <w:p>
      <w:pPr>
        <w:ind w:left="780" w:hanging="349"/>
        <w:spacing w:after="0"/>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5.1 NET LEASE. This Lease is intended to be a net lease, and the Base Rent and all Additional Rent are to be paid by Tenant and other tenants of the Property absolutely net of all costs and expenses relating to Landlord's ownership and operation of the Property. The provisions of this Article 5 for the payment of Tenant's Share of Operating Expenses are intended to pass on to Tenant its share of all such costs and expenses. 5.2 OPERATING EXPENSES. For purposes of this Article 5, the following terms shall have the meanings described below:</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 "TENANT'S SHARE" means the percentage figure specified in</w:t>
      </w:r>
    </w:p>
    <w:p>
      <w:pPr>
        <w:spacing w:after="0"/>
        <w:tabs>
          <w:tab w:leader="none" w:pos="760" w:val="left"/>
        </w:tabs>
        <w:rPr>
          <w:sz w:val="20"/>
          <w:szCs w:val="20"/>
          <w:color w:val="auto"/>
        </w:rPr>
      </w:pPr>
      <w:r>
        <w:rPr>
          <w:rFonts w:ascii="Courier New" w:cs="Courier New" w:eastAsia="Courier New" w:hAnsi="Courier New"/>
          <w:sz w:val="15"/>
          <w:szCs w:val="15"/>
          <w:color w:val="auto"/>
        </w:rPr>
        <w:t>Article</w:t>
        <w:tab/>
        <w:t>1.</w:t>
      </w:r>
    </w:p>
    <w:p>
      <w:pPr>
        <w:spacing w:after="0" w:line="174" w:lineRule="exact"/>
        <w:rPr>
          <w:sz w:val="20"/>
          <w:szCs w:val="20"/>
          <w:color w:val="auto"/>
        </w:rPr>
      </w:pPr>
    </w:p>
    <w:p>
      <w:pPr>
        <w:ind w:right="3179" w:firstLine="1136"/>
        <w:spacing w:after="0" w:line="237" w:lineRule="auto"/>
        <w:tabs>
          <w:tab w:leader="none" w:pos="15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means the total costs and expenses paid or incurred by Landlord in connection with the ownership, management, operation, maintenance and repair of the Building and the Common Area, including, without limitation, all costs of:</w:t>
      </w:r>
    </w:p>
    <w:p>
      <w:pPr>
        <w:spacing w:after="0" w:line="176" w:lineRule="exact"/>
        <w:rPr>
          <w:rFonts w:ascii="Courier New" w:cs="Courier New" w:eastAsia="Courier New" w:hAnsi="Courier New"/>
          <w:sz w:val="15"/>
          <w:szCs w:val="15"/>
          <w:color w:val="auto"/>
        </w:rPr>
      </w:pPr>
    </w:p>
    <w:p>
      <w:pPr>
        <w:ind w:right="3179" w:firstLine="1489"/>
        <w:spacing w:after="0" w:line="256" w:lineRule="auto"/>
        <w:tabs>
          <w:tab w:leader="none" w:pos="185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assessments and charges levied upon or with respect to the Property or any personal property of Landlord used in the operation of the Property, or on Landlord's interest in the Property or its personal property ("REAL ESTATE TAXES"). Real Estate Taxes shall include, without limitation, all general real property taxes and general and special assessments, charges, fees, or assessments for transit, housing, police, fire, or other governmental services or purported benefits to the Property or the occupants thereof, service payments in lieu of taxes that are now or hereafter levied or assessed against Landlord by the United States of America, the State of California or any political subdivision thereof, or any other political or public entity, and shall also include any other tax, assessment or fee, however described, that may be levied or assessed as a substitute for, or as an addition to, in whole or in part, any other Real Estate Taxes, whether or not now customary or in the contemplation of the parties as of the Commencement Date. Real Estate Taxes shall also include reasonable legal fees, costs, and disbursements incurred in connection with proceedings to contest, determine, or reduce Real Estate Taxes; provided that Landlord shall promptly refund to Tenant its Share of any refund which Landlord receives as a result of such proceedings. Real Estate Taxes shall not include franchise, transfer, succession, gift, inheritance, excess profits, gross receipts or capital stock taxes or income taxes measured by the net income of Landlord unless, due to a change in the method of taxation, any of such taxes is levied or assessed against Landlord as a substitute for, or as an addition to, in whole or in part, any other tax that would otherwise constitute a Real Estate Tax, nor shall they include any penalties assessed against Landlord for late payment of Real Estate Taxes;</w:t>
      </w:r>
    </w:p>
    <w:p>
      <w:pPr>
        <w:spacing w:after="0" w:line="347" w:lineRule="exact"/>
        <w:rPr>
          <w:rFonts w:ascii="Courier New" w:cs="Courier New" w:eastAsia="Courier New" w:hAnsi="Courier New"/>
          <w:sz w:val="14"/>
          <w:szCs w:val="14"/>
          <w:color w:val="auto"/>
        </w:rPr>
      </w:pPr>
    </w:p>
    <w:p>
      <w:pPr>
        <w:ind w:right="3179" w:firstLine="1489"/>
        <w:spacing w:after="0" w:line="237" w:lineRule="auto"/>
        <w:tabs>
          <w:tab w:leader="none" w:pos="193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repair, maintenance, replacement and supply of HVAC, electricity, steam, water, mechanical, telephone and telecommunications systems, escalator and elevator systems, sanitary and storm drainage systems and all other utilities and mechanical systems which are commonly used by all Building tenants (collectively, the "BUILDING SYSTEMS");</w:t>
      </w:r>
    </w:p>
    <w:p>
      <w:pPr>
        <w:spacing w:after="0" w:line="172" w:lineRule="exact"/>
        <w:rPr>
          <w:rFonts w:ascii="Courier New" w:cs="Courier New" w:eastAsia="Courier New" w:hAnsi="Courier New"/>
          <w:sz w:val="15"/>
          <w:szCs w:val="15"/>
          <w:color w:val="auto"/>
        </w:rPr>
      </w:pPr>
    </w:p>
    <w:p>
      <w:pPr>
        <w:ind w:left="2020" w:hanging="531"/>
        <w:spacing w:after="0"/>
        <w:tabs>
          <w:tab w:leader="none" w:pos="202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landscaping and gardening of the Common Area;</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115" w:name="page116"/>
    <w:bookmarkEnd w:id="115"/>
    <w:p>
      <w:pPr>
        <w:jc w:val="both"/>
        <w:ind w:right="3259" w:firstLine="1489"/>
        <w:spacing w:after="0" w:line="260" w:lineRule="auto"/>
        <w:tabs>
          <w:tab w:leader="none" w:pos="193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repaving, repairing, maintaining and restriping of Common Area parking areas, including any shared costs reasonably allocated between the Property and the adjacent property owned by Landlord at 3145 Porter Drive;</w:t>
      </w:r>
    </w:p>
    <w:p>
      <w:pPr>
        <w:spacing w:after="0" w:line="162" w:lineRule="exact"/>
        <w:rPr>
          <w:rFonts w:ascii="Courier New" w:cs="Courier New" w:eastAsia="Courier New" w:hAnsi="Courier New"/>
          <w:sz w:val="14"/>
          <w:szCs w:val="14"/>
          <w:color w:val="auto"/>
        </w:rPr>
      </w:pPr>
    </w:p>
    <w:p>
      <w:pPr>
        <w:ind w:right="3979" w:firstLine="1489"/>
        <w:spacing w:after="0" w:line="265" w:lineRule="auto"/>
        <w:tabs>
          <w:tab w:leader="none" w:pos="185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repairs and maintenance to the Property, including janitorial services, and all labor and material costs related thereto;</w:t>
      </w:r>
    </w:p>
    <w:p>
      <w:pPr>
        <w:spacing w:after="0" w:line="152" w:lineRule="exact"/>
        <w:rPr>
          <w:rFonts w:ascii="Courier New" w:cs="Courier New" w:eastAsia="Courier New" w:hAnsi="Courier New"/>
          <w:sz w:val="14"/>
          <w:szCs w:val="14"/>
          <w:color w:val="auto"/>
        </w:rPr>
      </w:pPr>
    </w:p>
    <w:p>
      <w:pPr>
        <w:ind w:left="1920" w:hanging="431"/>
        <w:spacing w:after="0"/>
        <w:tabs>
          <w:tab w:leader="none" w:pos="19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and fire protection to the Building as a whole;</w:t>
      </w:r>
    </w:p>
    <w:p>
      <w:pPr>
        <w:spacing w:after="0" w:line="169" w:lineRule="exact"/>
        <w:rPr>
          <w:rFonts w:ascii="Courier New" w:cs="Courier New" w:eastAsia="Courier New" w:hAnsi="Courier New"/>
          <w:sz w:val="15"/>
          <w:szCs w:val="15"/>
          <w:color w:val="auto"/>
        </w:rPr>
      </w:pPr>
    </w:p>
    <w:p>
      <w:pPr>
        <w:ind w:left="2020" w:hanging="531"/>
        <w:spacing w:after="0"/>
        <w:tabs>
          <w:tab w:leader="none" w:pos="20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trash removal;</w:t>
      </w:r>
    </w:p>
    <w:p>
      <w:pPr>
        <w:spacing w:after="0" w:line="174" w:lineRule="exact"/>
        <w:rPr>
          <w:rFonts w:ascii="Courier New" w:cs="Courier New" w:eastAsia="Courier New" w:hAnsi="Courier New"/>
          <w:sz w:val="15"/>
          <w:szCs w:val="15"/>
          <w:color w:val="auto"/>
        </w:rPr>
      </w:pPr>
    </w:p>
    <w:p>
      <w:pPr>
        <w:ind w:right="3179" w:firstLine="1489"/>
        <w:spacing w:after="0" w:line="258" w:lineRule="auto"/>
        <w:tabs>
          <w:tab w:leader="none" w:pos="211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commercially reasonable insurance carried by Landlord on the Building, the Common Area and the Property, or in connection with the use or occupancy thereof, including fire and extended coverage, vandalism and malicious mischief, public liability and property damage, worker's compensation insurance, rental income insurance and any other insurance commonly carried by prudent owners of comparable buildings in the Palo Alto area;</w:t>
      </w:r>
    </w:p>
    <w:p>
      <w:pPr>
        <w:spacing w:after="0" w:line="163" w:lineRule="exact"/>
        <w:rPr>
          <w:rFonts w:ascii="Courier New" w:cs="Courier New" w:eastAsia="Courier New" w:hAnsi="Courier New"/>
          <w:sz w:val="14"/>
          <w:szCs w:val="14"/>
          <w:color w:val="auto"/>
        </w:rPr>
      </w:pPr>
    </w:p>
    <w:p>
      <w:pPr>
        <w:ind w:right="3359" w:firstLine="1489"/>
        <w:spacing w:after="0" w:line="237" w:lineRule="auto"/>
        <w:tabs>
          <w:tab w:leader="none" w:pos="193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salaries, payroll taxes and other labor costs and employee benefits for all persons engaged in the operation, management, maintenance and security of the Property;</w:t>
      </w:r>
    </w:p>
    <w:p>
      <w:pPr>
        <w:spacing w:after="0" w:line="174" w:lineRule="exact"/>
        <w:rPr>
          <w:rFonts w:ascii="Courier New" w:cs="Courier New" w:eastAsia="Courier New" w:hAnsi="Courier New"/>
          <w:sz w:val="15"/>
          <w:szCs w:val="15"/>
          <w:color w:val="auto"/>
        </w:rPr>
      </w:pPr>
    </w:p>
    <w:p>
      <w:pPr>
        <w:ind w:right="3179" w:firstLine="1489"/>
        <w:spacing w:after="0" w:line="235" w:lineRule="auto"/>
        <w:tabs>
          <w:tab w:leader="none" w:pos="185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fees at commercially reasonable rates, given the level of services being provided;</w:t>
      </w:r>
    </w:p>
    <w:p>
      <w:pPr>
        <w:spacing w:after="0" w:line="175" w:lineRule="exact"/>
        <w:rPr>
          <w:rFonts w:ascii="Courier New" w:cs="Courier New" w:eastAsia="Courier New" w:hAnsi="Courier New"/>
          <w:sz w:val="15"/>
          <w:szCs w:val="15"/>
          <w:color w:val="auto"/>
        </w:rPr>
      </w:pPr>
    </w:p>
    <w:p>
      <w:pPr>
        <w:ind w:right="4059" w:firstLine="1489"/>
        <w:spacing w:after="0" w:line="265" w:lineRule="auto"/>
        <w:tabs>
          <w:tab w:leader="none" w:pos="193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charges and other costs of all independent contractors engaged by Landlord to provide services to the Property;</w:t>
      </w:r>
    </w:p>
    <w:p>
      <w:pPr>
        <w:spacing w:after="0" w:line="152" w:lineRule="exact"/>
        <w:rPr>
          <w:rFonts w:ascii="Courier New" w:cs="Courier New" w:eastAsia="Courier New" w:hAnsi="Courier New"/>
          <w:sz w:val="14"/>
          <w:szCs w:val="14"/>
          <w:color w:val="auto"/>
        </w:rPr>
      </w:pPr>
    </w:p>
    <w:p>
      <w:pPr>
        <w:ind w:left="2020" w:hanging="531"/>
        <w:spacing w:after="0"/>
        <w:tabs>
          <w:tab w:leader="none" w:pos="20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permit and inspection fees for the Property;</w:t>
      </w:r>
    </w:p>
    <w:p>
      <w:pPr>
        <w:spacing w:after="0" w:line="174" w:lineRule="exact"/>
        <w:rPr>
          <w:rFonts w:ascii="Courier New" w:cs="Courier New" w:eastAsia="Courier New" w:hAnsi="Courier New"/>
          <w:sz w:val="15"/>
          <w:szCs w:val="15"/>
          <w:color w:val="auto"/>
        </w:rPr>
      </w:pPr>
    </w:p>
    <w:p>
      <w:pPr>
        <w:ind w:right="3539" w:firstLine="1489"/>
        <w:spacing w:after="0" w:line="237" w:lineRule="auto"/>
        <w:tabs>
          <w:tab w:leader="none" w:pos="211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on or surcharges imposed by any governmental agencies on or with respect to transit or automobile usage or parking facilities;</w:t>
      </w:r>
    </w:p>
    <w:p>
      <w:pPr>
        <w:spacing w:after="0" w:line="169" w:lineRule="exact"/>
        <w:rPr>
          <w:rFonts w:ascii="Courier New" w:cs="Courier New" w:eastAsia="Courier New" w:hAnsi="Courier New"/>
          <w:sz w:val="15"/>
          <w:szCs w:val="15"/>
          <w:color w:val="auto"/>
        </w:rPr>
      </w:pPr>
    </w:p>
    <w:p>
      <w:pPr>
        <w:ind w:left="2020" w:hanging="531"/>
        <w:spacing w:after="0"/>
        <w:tabs>
          <w:tab w:leader="none" w:pos="20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allocated cost of supplies, tools, machines and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used in operation and maintenance of the Common Area;</w:t>
      </w:r>
    </w:p>
    <w:p>
      <w:pPr>
        <w:spacing w:after="0" w:line="174" w:lineRule="exact"/>
        <w:rPr>
          <w:rFonts w:ascii="Courier New" w:cs="Courier New" w:eastAsia="Courier New" w:hAnsi="Courier New"/>
          <w:sz w:val="15"/>
          <w:szCs w:val="15"/>
          <w:color w:val="auto"/>
        </w:rPr>
      </w:pPr>
    </w:p>
    <w:p>
      <w:pPr>
        <w:ind w:right="3259" w:firstLine="1489"/>
        <w:spacing w:after="0" w:line="237" w:lineRule="auto"/>
        <w:tabs>
          <w:tab w:leader="none" w:pos="193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utility costs that are not separately metered to tenants of the Building, including a reasonable allocation of any utility costs that are shared by the Property and the adjacent property owned by Landlord at 3145 Porter Drive.</w:t>
      </w:r>
    </w:p>
    <w:p>
      <w:pPr>
        <w:spacing w:after="0" w:line="176" w:lineRule="exact"/>
        <w:rPr>
          <w:rFonts w:ascii="Courier New" w:cs="Courier New" w:eastAsia="Courier New" w:hAnsi="Courier New"/>
          <w:sz w:val="15"/>
          <w:szCs w:val="15"/>
          <w:color w:val="auto"/>
        </w:rPr>
      </w:pPr>
    </w:p>
    <w:p>
      <w:pPr>
        <w:ind w:right="3179" w:firstLine="1489"/>
        <w:spacing w:after="0" w:line="238" w:lineRule="auto"/>
        <w:tabs>
          <w:tab w:leader="none" w:pos="20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improvements to the Building and Common Area; provided that the cost of any such capital improvements shall be amortized over the useful life of the improvement in question, together with interest on the unamortized balance at the interest rate publicly announced from time to time by the largest (as measured by deposits) state chartered bank operating in California, as its prime rate or its reference rate or other similar benchmark, plus two percent (2%);</w:t>
      </w:r>
    </w:p>
    <w:p>
      <w:pPr>
        <w:spacing w:after="0" w:line="176" w:lineRule="exact"/>
        <w:rPr>
          <w:rFonts w:ascii="Courier New" w:cs="Courier New" w:eastAsia="Courier New" w:hAnsi="Courier New"/>
          <w:sz w:val="15"/>
          <w:szCs w:val="15"/>
          <w:color w:val="auto"/>
        </w:rPr>
      </w:pPr>
    </w:p>
    <w:p>
      <w:pPr>
        <w:ind w:right="3259" w:firstLine="1489"/>
        <w:spacing w:after="0" w:line="265" w:lineRule="auto"/>
        <w:tabs>
          <w:tab w:leader="none" w:pos="211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contesting the validity or applicability of any governmental enactments which may materially affect Operating Expenses;</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7" w:right="1440" w:bottom="1440" w:gutter="0" w:footer="0" w:header="0"/>
        </w:sectPr>
      </w:pPr>
    </w:p>
    <w:bookmarkStart w:id="116" w:name="page117"/>
    <w:bookmarkEnd w:id="116"/>
    <w:p>
      <w:pPr>
        <w:ind w:left="2200" w:hanging="711"/>
        <w:spacing w:after="0"/>
        <w:tabs>
          <w:tab w:leader="none" w:pos="22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and bookkeeping fees, legal fees and expenses,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expenses; and</w:t>
      </w:r>
    </w:p>
    <w:p>
      <w:pPr>
        <w:spacing w:after="0" w:line="174" w:lineRule="exact"/>
        <w:rPr>
          <w:rFonts w:ascii="Courier New" w:cs="Courier New" w:eastAsia="Courier New" w:hAnsi="Courier New"/>
          <w:sz w:val="15"/>
          <w:szCs w:val="15"/>
          <w:color w:val="auto"/>
        </w:rPr>
      </w:pPr>
    </w:p>
    <w:p>
      <w:pPr>
        <w:ind w:right="3359" w:firstLine="1489"/>
        <w:spacing w:after="0" w:line="237" w:lineRule="auto"/>
        <w:tabs>
          <w:tab w:leader="none" w:pos="220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expenses of any kind whatsoever reasonably incurred in connection with the management, operation, maintenance, repair and replacement of the Building and the Common Area which is not specifically excluded under this Section.</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Notwithstanding anything in the definition of Operating Expenses to the contrary, Operating Expenses shall not include the following:</w:t>
      </w:r>
    </w:p>
    <w:p>
      <w:pPr>
        <w:spacing w:after="0" w:line="176" w:lineRule="exact"/>
        <w:rPr>
          <w:sz w:val="20"/>
          <w:szCs w:val="20"/>
          <w:color w:val="auto"/>
        </w:rPr>
      </w:pPr>
    </w:p>
    <w:p>
      <w:pPr>
        <w:ind w:left="2540" w:hanging="346"/>
        <w:spacing w:after="0"/>
        <w:tabs>
          <w:tab w:leader="none" w:pos="25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actually reimbursed to Landlord by insurance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proceeds for the repair of damage to the Building;</w:t>
      </w:r>
    </w:p>
    <w:p>
      <w:pPr>
        <w:spacing w:after="0" w:line="168" w:lineRule="exact"/>
        <w:rPr>
          <w:rFonts w:ascii="Courier New" w:cs="Courier New" w:eastAsia="Courier New" w:hAnsi="Courier New"/>
          <w:sz w:val="14"/>
          <w:szCs w:val="14"/>
          <w:color w:val="auto"/>
        </w:rPr>
      </w:pPr>
    </w:p>
    <w:p>
      <w:pPr>
        <w:ind w:left="2540" w:hanging="346"/>
        <w:spacing w:after="0"/>
        <w:tabs>
          <w:tab w:leader="none" w:pos="2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costs, including without limitation,</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leasing commissions, attorneys' fees, tenant improvement costs, space planning costs, and other costs and expenses incurred in connection with lease, sublease and/or assignment negotiations and transactions with Tenant or present or prospective tenants of the Building;</w:t>
      </w:r>
    </w:p>
    <w:p>
      <w:pPr>
        <w:spacing w:after="0" w:line="170" w:lineRule="exact"/>
        <w:rPr>
          <w:rFonts w:ascii="Courier New" w:cs="Courier New" w:eastAsia="Courier New" w:hAnsi="Courier New"/>
          <w:sz w:val="15"/>
          <w:szCs w:val="15"/>
          <w:color w:val="auto"/>
        </w:rPr>
      </w:pPr>
    </w:p>
    <w:p>
      <w:pPr>
        <w:ind w:left="2540" w:hanging="346"/>
        <w:spacing w:after="0"/>
        <w:tabs>
          <w:tab w:leader="none" w:pos="2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Overhead and profit increment paid to Landlord or</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subsidiaries or affiliates of Landlord for goods and/or services in or to the Building to the extent the same exceeds the costs of such goods and/or services rendered by unaffiliated third parties on a competitive basis;</w:t>
      </w:r>
    </w:p>
    <w:p>
      <w:pPr>
        <w:spacing w:after="0" w:line="169" w:lineRule="exact"/>
        <w:rPr>
          <w:rFonts w:ascii="Courier New" w:cs="Courier New" w:eastAsia="Courier New" w:hAnsi="Courier New"/>
          <w:sz w:val="15"/>
          <w:szCs w:val="15"/>
          <w:color w:val="auto"/>
        </w:rPr>
      </w:pPr>
    </w:p>
    <w:p>
      <w:pPr>
        <w:ind w:left="2540" w:hanging="346"/>
        <w:spacing w:after="0"/>
        <w:tabs>
          <w:tab w:leader="none" w:pos="2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principal, points and fees on debts or</w:t>
      </w:r>
    </w:p>
    <w:p>
      <w:pPr>
        <w:spacing w:after="0" w:line="5" w:lineRule="exact"/>
        <w:rPr>
          <w:rFonts w:ascii="Courier New" w:cs="Courier New" w:eastAsia="Courier New" w:hAnsi="Courier New"/>
          <w:sz w:val="15"/>
          <w:szCs w:val="15"/>
          <w:color w:val="auto"/>
        </w:rPr>
      </w:pPr>
    </w:p>
    <w:p>
      <w:pPr>
        <w:ind w:right="40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on any mortgage or mortgages or any other debt instrument encumbering the Building or the Property;</w:t>
      </w:r>
    </w:p>
    <w:p>
      <w:pPr>
        <w:spacing w:after="0" w:line="170" w:lineRule="exact"/>
        <w:rPr>
          <w:rFonts w:ascii="Courier New" w:cs="Courier New" w:eastAsia="Courier New" w:hAnsi="Courier New"/>
          <w:sz w:val="15"/>
          <w:szCs w:val="15"/>
          <w:color w:val="auto"/>
        </w:rPr>
      </w:pPr>
    </w:p>
    <w:p>
      <w:pPr>
        <w:ind w:left="2540" w:hanging="346"/>
        <w:spacing w:after="0"/>
        <w:tabs>
          <w:tab w:leader="none" w:pos="2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paid directly by any tenant of the Building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services provided directly or exclusively to that tenant; and</w:t>
      </w:r>
    </w:p>
    <w:p>
      <w:pPr>
        <w:spacing w:after="0" w:line="168" w:lineRule="exact"/>
        <w:rPr>
          <w:rFonts w:ascii="Courier New" w:cs="Courier New" w:eastAsia="Courier New" w:hAnsi="Courier New"/>
          <w:sz w:val="15"/>
          <w:szCs w:val="15"/>
          <w:color w:val="auto"/>
        </w:rPr>
      </w:pPr>
    </w:p>
    <w:p>
      <w:pPr>
        <w:ind w:left="2540" w:hanging="346"/>
        <w:spacing w:after="0"/>
        <w:tabs>
          <w:tab w:leader="none" w:pos="2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general corporate overhead and general</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expenses;</w:t>
      </w:r>
    </w:p>
    <w:p>
      <w:pPr>
        <w:spacing w:after="0" w:line="17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5.3 PAYMENT OF OPERATING EXPENSES. Commencing on the Commencement Date, Tenant shall pay to Landlord as Additional Rent one twelfth (1/12) of Tenant's Share of Operating Expenses for each calendar year or portion thereof during the Term, in advance, on or before the first day of each month in an amount estimated by Landlord as stated in a written notice to Tenant. Landlord may by written notice to Tenant reasonably revise such estimates from time to time and Tenant shall thereafter make payments on the basis of such revised estimates. With reasonable promptness after the expiration of each calendar year, Landlord will furnish Tenant with a statement ("LANDLORD'S EXPENSE STATEMENT") setting forth in reasonable detail the actual Operating Expenses for such year and Tenant's Share. If Tenant's Share of the actual Operating Expenses for such year exceeds the estimated Operating Expenses paid by Tenant for such year, Tenant shall pay to Landlord (whether or not this Lease has terminated) the difference between the amount of estimated Operating Expenses paid by Tenant and Tenant's Share of the actual Operating Expenses within fifteen (15) days after the receipt of Landlord's Expense Statement. If the total amount paid by Tenant for any year exceeds Tenant's Share of the actual Operating Expenses for that year, the excess shall be credited against the next installments of Base Rent due from Tenant to Landlord, or, if after the Termination Date, the excess shall first be credited against any unpaid Base Rent or Additional Rent due and remaining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1" w:right="1440" w:bottom="1440" w:gutter="0" w:footer="0" w:header="0"/>
        </w:sectPr>
      </w:pPr>
    </w:p>
    <w:bookmarkStart w:id="117" w:name="page118"/>
    <w:bookmarkEnd w:id="117"/>
    <w:p>
      <w:pPr>
        <w:ind w:right="3699"/>
        <w:spacing w:after="0" w:line="235" w:lineRule="auto"/>
        <w:rPr>
          <w:sz w:val="20"/>
          <w:szCs w:val="20"/>
          <w:color w:val="auto"/>
        </w:rPr>
      </w:pPr>
      <w:r>
        <w:rPr>
          <w:rFonts w:ascii="Courier New" w:cs="Courier New" w:eastAsia="Courier New" w:hAnsi="Courier New"/>
          <w:sz w:val="15"/>
          <w:szCs w:val="15"/>
          <w:color w:val="auto"/>
        </w:rPr>
        <w:t>any excess shall be refunded to Tenant concurrently with the furnishing of Landlord's Expense Statement.</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5.4 PRORATION. If either the Commencement Date or the Termination Date occurs on a date other than the first or last day, respectively, of a calendar year, Tenant's Share of Operating Expenses for the year in which the Commencement Date or Termination Date occurs shall be prorated based on a 365-day year.</w:t>
      </w:r>
    </w:p>
    <w:p>
      <w:pPr>
        <w:spacing w:after="0" w:line="178"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5.5 NORMALIZATION. For the purpose of determining Operating Expenses for any partial year, Operating Expenses shall be deemed to accrue uniformly during the entire calendar year. If any part of the Building is not fully occupied and used during a calendar year, Operating Expenses shall be adjusted to add amounts and items of Operating Expenses which would normally have been incurred if the Building had been fully occupied during such calendar year and Tenant's Share of Operating Expenses (both for the purposes of the initial estimate and year-end reconciliation) shall be based on an assumed full occupancy of the Building.</w:t>
      </w:r>
    </w:p>
    <w:p>
      <w:pPr>
        <w:spacing w:after="0" w:line="179"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5.6 UTILITY COSTS. Tenant shall be solely responsible for and shall make all arrangements for all utilities and services which are exclusively furnished to or used at the Premises, including, without limitation, all water, gas, telephone and other electronic communications service, sewer service, waste pick-up and any other utilities, materials or services.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5.7 TAXES ON TENANT'S PROPERTY AND BUSINESS. At least ten (10) days prior to delinquency, Tenant shall pay all taxes levied or assessed by any local, state or federal authority upon the conduct of Tenant's business in the Premises or upon Tenant's Property (as defined in Section 9.4) and shall deliver satisfactory evidence of such payment to Landlord. If the assessed value of the Property is increased by the inclusion of a value placed upon Tenant's Property, Tenant shall pay to Landlord, upon written demand, the taxes so levied against Landlord, or the portion of Landlord's taxes resulting from said increase in assessment, as determined from time to time by Landlord.</w:t>
      </w:r>
    </w:p>
    <w:p>
      <w:pPr>
        <w:spacing w:after="0" w:line="173" w:lineRule="exact"/>
        <w:rPr>
          <w:sz w:val="20"/>
          <w:szCs w:val="20"/>
          <w:color w:val="auto"/>
        </w:rPr>
      </w:pPr>
    </w:p>
    <w:p>
      <w:pPr>
        <w:ind w:left="780" w:hanging="349"/>
        <w:spacing w:after="0"/>
        <w:tabs>
          <w:tab w:leader="none" w:pos="7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PREMISES AND CONDUCT OF BUSINESS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6.1 PERMITTED USE. Tenant may use and occupy the Premises during the Term solely for the uses specified and permitted in Article 1 and for no other purpose without the prior written consent of Landlord, such consent to be granted or withheld in Landlord's sole discretion. Tenant's use of the Premises shall in all respects comply with all Applicable Laws (as defined in Section 11.1).</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6.2 PROHIBITED USES. Tenant shall not use the Premises or allow the Premises to be used for any illegal or immoral purpose, or so as to create waste, constitute a private or public nuisance, or disturb other occupants of the Property. Tenant shall not place any loads upon the floors, walls, or ceiling which endanger the structure, or place any harmful fluids or other materials in the drainage system of the Building, or overload existing electrical or other mechanical systems. No waste materials or refuse shall be dumped upon or permitted to remain upon any part of the Premises or outside of the Premises except in trash containers placed inside exterior enclosures designated by Landlord for that purpose or inside of the Premises where approved by Landlord. No materials, supplies, equipment, finished products or semi-finished products, raw materials or articles of any nature shall be stored upon or permitted to remain</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7" w:right="1440" w:bottom="1440" w:gutter="0" w:footer="0" w:header="0"/>
        </w:sectPr>
      </w:pPr>
    </w:p>
    <w:bookmarkStart w:id="118" w:name="page119"/>
    <w:bookmarkEnd w:id="118"/>
    <w:p>
      <w:pPr>
        <w:ind w:right="3259"/>
        <w:spacing w:after="0" w:line="238" w:lineRule="auto"/>
        <w:rPr>
          <w:sz w:val="20"/>
          <w:szCs w:val="20"/>
          <w:color w:val="auto"/>
        </w:rPr>
      </w:pPr>
      <w:r>
        <w:rPr>
          <w:rFonts w:ascii="Courier New" w:cs="Courier New" w:eastAsia="Courier New" w:hAnsi="Courier New"/>
          <w:sz w:val="15"/>
          <w:szCs w:val="15"/>
          <w:color w:val="auto"/>
        </w:rPr>
        <w:t>outside the Premises or on any portion of the Common Area unless otherwise approved by Landlord in its sole discretion. No loudspeaker or other device, system or apparatus which can be heard outside the Premises, other than burglar and fire alarms, shall be used in or at the Premises without the prior written consent of Landlord. No explosives or firearms shall be brought into the Premises.</w:t>
      </w:r>
    </w:p>
    <w:p>
      <w:pPr>
        <w:spacing w:after="0" w:line="170" w:lineRule="exact"/>
        <w:rPr>
          <w:sz w:val="20"/>
          <w:szCs w:val="20"/>
          <w:color w:val="auto"/>
        </w:rPr>
      </w:pPr>
    </w:p>
    <w:p>
      <w:pPr>
        <w:ind w:left="780" w:hanging="349"/>
        <w:spacing w:after="0"/>
        <w:tabs>
          <w:tab w:leader="none" w:pos="7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REPAIRS AND MAINTENANCE</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7.1 LANDLORD'S OBLIGATIONS. Except as specifically provided in this Lease, Landlord shall not be required to furnish any services, facilities or utilities to the Premises or to Tenant, and Tenant assumes full responsibility for obtaining and paying for all services, facilities and utilities to the Premises. Landlord will repair and maintain the Building Systems, the Common Area, and the structural portions of the Building, including the foundation, floor/ceiling slabs, roof, curtain wall, exterior glass and mullions, columns, beams, shafts (including elevator shafts), stairs, stairwells, escalators, elevators (collectively, the "BUILDING STRUCTURE"). Landlord shall take good care of the Common Area, Building Structure and Building Systems which are the responsibility of Landlord and keep them in good working order and in a clean, safe and sanitary condition. Landlord shall use commercially reasonable efforts to minimize any interference to Tenant's businesses caused by such maintenance and repairs, and shall diligently and expeditiously pursue completion of same. Tenant shall notify Landlord in writing of the need for any repair or maintenance which is Landlord's responsibility under this Section. The costs of such repair and maintenance shall be included in Operating Expenses to the extent provided in Article 5; provided that Tenant shall reimburse Landlord upon written demand for the cost of any repair to the Building, Building Structure, Building Systems or Common Area which is attributable to the conduct or misuse of Tenant or Tenant's Agents. The reimbursement and the administrative fee shall be Additional Rent. Tenant hereby waives and releases any right it may have under any law, statute or ordinance now or hereafter in effect to make any repairs which are Landlord's obligation under this Section.</w:t>
      </w:r>
    </w:p>
    <w:p>
      <w:pPr>
        <w:spacing w:after="0" w:line="34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7.2 TENANT'S OBLIGATIONS. Except as provided in Section 7.1, Tenant assumes full responsibility for the repair and maintenance of the Premises. Tenant shall take good care of the Premises and keep the Premises (other than the Common Area, Building Structure and Building Systems which are the responsibility of Landlord) in good working order and in a clean, safe and sanitary condition. All repairs and replacements by Tenant shall be made and performed: (a) at Tenant's cost and expense, (b) by contractors or mechanics reasonably approved by Landlord where the work will exceed Fifty Thousand Dollars ($50,000) in cost, (c) so that same shall be at least equal in quality, value and utility to the original work or installation, (d) in a manner and using equipment and materials that will not interfere with or impair the operations, use or occupation of the Building, the Building Systems or the activities of other tenants in the Building, and (e) in accordance with Article 9 (if applicable), the Rules and Regulations, and all Applicable Laws.</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7.3 SECURITY. Tenant shall be solely responsible for the security of the Premises and Tenant's Agents while in or about the Premises. Any security services provided to the Property by Landlord shall be at Landlord's sole discretion and Landlord shall not be liable to Tenant or Tenant's Agents for any failure to provide security services or any loss, injury or damage suffered as a result of a failure to provide security services.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7" w:right="1440" w:bottom="1440" w:gutter="0" w:footer="0" w:header="0"/>
        </w:sectPr>
      </w:pPr>
    </w:p>
    <w:bookmarkStart w:id="119" w:name="page120"/>
    <w:bookmarkEnd w:id="119"/>
    <w:p>
      <w:pPr>
        <w:ind w:left="10" w:right="3259" w:firstLine="793"/>
        <w:spacing w:after="0" w:line="256" w:lineRule="auto"/>
        <w:rPr>
          <w:sz w:val="20"/>
          <w:szCs w:val="20"/>
          <w:color w:val="auto"/>
        </w:rPr>
      </w:pPr>
      <w:r>
        <w:rPr>
          <w:rFonts w:ascii="Courier New" w:cs="Courier New" w:eastAsia="Courier New" w:hAnsi="Courier New"/>
          <w:sz w:val="14"/>
          <w:szCs w:val="14"/>
          <w:color w:val="auto"/>
        </w:rPr>
        <w:t>7.4 SPECIAL SERVICES. If Tenant requests any services from Landlord other than those for which Landlord is obligated under this Lease, Tenant shall make its request in writing and Landlord may elect in its sole discretion whether to provide the requested services. If Landlord provides any special services to Tenant, Landlord shall charge Tenant for such services at the prevailing rate being charged for such services by other property owners and property managers of comparable buildings in the area of the Property, and Tenant shall pay the cost of such services as Additional Rent within fifteen</w:t>
      </w:r>
    </w:p>
    <w:p>
      <w:pPr>
        <w:ind w:left="450" w:hanging="450"/>
        <w:spacing w:after="0" w:line="235" w:lineRule="auto"/>
        <w:tabs>
          <w:tab w:leader="none" w:pos="4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receipt of Landlord's invoice.</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  ACCEPTANCE</w:t>
      </w:r>
    </w:p>
    <w:p>
      <w:pPr>
        <w:spacing w:after="0" w:line="175"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The Premises as furnished by Landlord consist of the improvements as they exist as of the Commencement Date and Landlord shall have no obligation for construction work or improvements on or to the Premises. Prior to entering into this Lease, Tenant has made a thorough and independent examination of the Premises and all matters related to Tenant's decision to enter into this Lease. Tenant is thoroughly familiar with all aspects of the Premises and is satisfied that they are in an acceptable condition and meet Tenant's needs. Tenant does not rely on, and Landlord does not make, any express or implied representations or warranties as to any matters including, without limitation, (a) the physical condition of the Premises, the Building, the Building Structure, Building Systems, or the Common Area, (b) the existence, quality, adequacy or availability of utilities serving the Premises, (c) the use, habitability, merchantability, fitness or suitability of the Premises for Tenant's intended use, (d) the likelihood of deriving business from Tenant's location or the economic feasibility of Tenant's business, (e) Hazardous Materials in the Premises, the Building, or on, in under or around the Property, (f) zoning, entitlements or any laws, ordinances or regulations which may apply to Tenant's use of the Premises or business operations, or (g) any other matter. Tenant has satisfied itself as to such suitability and other pertinent matters by Tenant's own inquiries and tests into all matters relevant in determining whether to enter into this Lease. Tenant accepts the Premises in their existing "as-is" condition. Tenant shall, by entering into and occupying the Premises, be deemed to have accepted the Premises and to have acknowledged that the same are in good order, condition and repair.</w:t>
      </w:r>
    </w:p>
    <w:p>
      <w:pPr>
        <w:spacing w:after="0" w:line="171" w:lineRule="exact"/>
        <w:rPr>
          <w:sz w:val="20"/>
          <w:szCs w:val="20"/>
          <w:color w:val="auto"/>
        </w:rPr>
      </w:pPr>
    </w:p>
    <w:p>
      <w:pPr>
        <w:ind w:left="790" w:hanging="349"/>
        <w:spacing w:after="0"/>
        <w:tabs>
          <w:tab w:leader="none" w:pos="79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9.1 ALTERATIONS BY TENANT. Tenant shall not make or permit any alterations to the Building Systems, and shall not make or permit any alterations, installations, additions or improvements, structural or otherwise (collectively, "ALTERATIONS") in or to the Premises or the Building without Landlord's prior written consent, which Landlord shall not unreasonably withhold or delay. Landlord shall respond to any request by Tenant to make any Alteration within ten (10) business days after receipt of such request for consent from Tenant. Notwithstanding the foregoing, Landlord's consent shall not be required</w:t>
      </w:r>
    </w:p>
    <w:p>
      <w:pPr>
        <w:spacing w:after="0" w:line="3" w:lineRule="exact"/>
        <w:rPr>
          <w:sz w:val="20"/>
          <w:szCs w:val="20"/>
          <w:color w:val="auto"/>
        </w:rPr>
      </w:pPr>
    </w:p>
    <w:p>
      <w:pPr>
        <w:ind w:left="10" w:right="3259" w:hanging="10"/>
        <w:spacing w:after="0" w:line="238" w:lineRule="auto"/>
        <w:tabs>
          <w:tab w:leader="none" w:pos="36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interior, cosmetic non-structural Alterations that do not require a permit, or affect the Building Systems, or affect the entryways or elevators or any other premises in the Building, or (b) in the case of other Alterations that do not exceed a cost of Fifty Thousand Dollars ($50,000). All Alterations shall be done at Tenant's expense, and subject to all other conditions which Landlord may in its reasonable discretion impose which are not inconsistent with this Lease. Tenant shall be solely responsible for obtaining at its sole cost and expense all permits and approvals required for any Alterations.</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797" w:right="1440" w:bottom="1440" w:gutter="0" w:footer="0" w:header="0"/>
        </w:sectPr>
      </w:pPr>
    </w:p>
    <w:bookmarkStart w:id="120" w:name="page121"/>
    <w:bookmarkEnd w:id="120"/>
    <w:p>
      <w:pPr>
        <w:ind w:left="780"/>
        <w:spacing w:after="0"/>
        <w:rPr>
          <w:sz w:val="20"/>
          <w:szCs w:val="20"/>
          <w:color w:val="auto"/>
        </w:rPr>
      </w:pPr>
      <w:r>
        <w:rPr>
          <w:rFonts w:ascii="Courier New" w:cs="Courier New" w:eastAsia="Courier New" w:hAnsi="Courier New"/>
          <w:sz w:val="15"/>
          <w:szCs w:val="15"/>
          <w:color w:val="auto"/>
        </w:rPr>
        <w:t>9.2 APPROVED PROJECT REQUIREMENTS. The following provisions of this</w:t>
      </w:r>
    </w:p>
    <w:p>
      <w:pPr>
        <w:spacing w:after="0"/>
        <w:rPr>
          <w:sz w:val="20"/>
          <w:szCs w:val="20"/>
          <w:color w:val="auto"/>
        </w:rPr>
      </w:pPr>
      <w:r>
        <w:rPr>
          <w:rFonts w:ascii="Courier New" w:cs="Courier New" w:eastAsia="Courier New" w:hAnsi="Courier New"/>
          <w:sz w:val="15"/>
          <w:szCs w:val="15"/>
          <w:color w:val="auto"/>
        </w:rPr>
        <w:t>Section 9.2 shall apply to all Alterations, unless otherwise noted below:</w:t>
      </w:r>
    </w:p>
    <w:p>
      <w:pPr>
        <w:spacing w:after="0" w:line="174" w:lineRule="exact"/>
        <w:rPr>
          <w:sz w:val="20"/>
          <w:szCs w:val="20"/>
          <w:color w:val="auto"/>
        </w:rPr>
      </w:pPr>
    </w:p>
    <w:p>
      <w:pPr>
        <w:ind w:right="3539" w:firstLine="1136"/>
        <w:spacing w:after="0" w:line="237" w:lineRule="auto"/>
        <w:tabs>
          <w:tab w:leader="none" w:pos="149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entering into a contract for Alterations requiring Landlords' consent, Tenant shall obtain Landlord's written approval, which approval shall not be unreasonably withheld, of the identity of each of the design architect and the general contractor.</w:t>
      </w:r>
    </w:p>
    <w:p>
      <w:pPr>
        <w:spacing w:after="0" w:line="176" w:lineRule="exact"/>
        <w:rPr>
          <w:rFonts w:ascii="Courier New" w:cs="Courier New" w:eastAsia="Courier New" w:hAnsi="Courier New"/>
          <w:sz w:val="15"/>
          <w:szCs w:val="15"/>
          <w:color w:val="auto"/>
        </w:rPr>
      </w:pPr>
    </w:p>
    <w:p>
      <w:pPr>
        <w:ind w:right="3179" w:firstLine="1136"/>
        <w:spacing w:after="0" w:line="237" w:lineRule="auto"/>
        <w:tabs>
          <w:tab w:leader="none" w:pos="149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commencing the construction of any Alterations, Tenant shall procure or cause to be procured the insurance coverage described below and provide Landlord with certificates of such insurance in form reasonably satisfactory to Landlord. All such insurance shall comply with the following requirements of this Section and of Section 13.2.</w:t>
      </w:r>
    </w:p>
    <w:p>
      <w:pPr>
        <w:spacing w:after="0" w:line="178" w:lineRule="exact"/>
        <w:rPr>
          <w:rFonts w:ascii="Courier New" w:cs="Courier New" w:eastAsia="Courier New" w:hAnsi="Courier New"/>
          <w:sz w:val="15"/>
          <w:szCs w:val="15"/>
          <w:color w:val="auto"/>
        </w:rPr>
      </w:pPr>
    </w:p>
    <w:p>
      <w:pPr>
        <w:ind w:right="3179" w:firstLine="1489"/>
        <w:spacing w:after="0" w:line="238" w:lineRule="auto"/>
        <w:tabs>
          <w:tab w:leader="none" w:pos="1851"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course of construction, to the extent not covered by property insurance maintained by Tenant pursuant to Section 13.2, comprehensive "all risk" builder's risk insurance, including vandalism and malicious mischief, excluding earthquake and flood, covering all improvements in place on the Premises, all materials and equipment stored at the site and furnished under contract, and all materials and equipment that are in the process of fabrication at the premises of any third party or that have been placed in transit to the Premises when such fabrication or transit is at the risk of, or when title to or an insurable interest in such materials or equipment has passed to, Tenant or its construction manager, contractors or subcontractors (excluding any contractors', subcontractors' and construction managers' tools and equipment, and property owned by the employees of the construction manager, any contractor or any subcontractor), such insurance to be written on a completed value basis in an amount not less than the full estimated replacement value of Alterations.</w:t>
      </w:r>
    </w:p>
    <w:p>
      <w:pPr>
        <w:spacing w:after="0" w:line="184" w:lineRule="exact"/>
        <w:rPr>
          <w:rFonts w:ascii="Courier New" w:cs="Courier New" w:eastAsia="Courier New" w:hAnsi="Courier New"/>
          <w:sz w:val="15"/>
          <w:szCs w:val="15"/>
          <w:color w:val="auto"/>
        </w:rPr>
      </w:pPr>
    </w:p>
    <w:p>
      <w:pPr>
        <w:ind w:right="3179" w:firstLine="1489"/>
        <w:spacing w:after="0" w:line="238" w:lineRule="auto"/>
        <w:tabs>
          <w:tab w:leader="none" w:pos="193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general liability insurance covering Tenant, Landlord and each construction manager, contractor and subcontractor engaged in any work on the Premises, which insurance may be effected by endorsement, if obtainable, on the policy required to be carried pursuant to Section 13.2, including insurance for completed operations, elevators, owner's, construction manager's and contractor's protective liability, products completed operations for one (1) year after the date of acceptance of the work by Tenant, broad form blanket contractual liability, broad form property damage and full form personal injury (including but not limited to bodily injury), covering the performance of all work at or from the Premises by Tenant, its construction manager, contractors and subcontractors, and in a liability amount not less than the amount at the time carried by prudent owners of comparable construction projects, but in any event not less than Three Million Dollars ($3,000,000) combined single limit, which policy shall include thereunder for the mutual benefit of Landlord and Tenant, bodily injury liability and property damage liability, and automobile insurance on any non-owned, hired or leased automotive equipment used in the construction of any work.</w:t>
      </w:r>
    </w:p>
    <w:p>
      <w:pPr>
        <w:spacing w:after="0" w:line="186" w:lineRule="exact"/>
        <w:rPr>
          <w:rFonts w:ascii="Courier New" w:cs="Courier New" w:eastAsia="Courier New" w:hAnsi="Courier New"/>
          <w:sz w:val="15"/>
          <w:szCs w:val="15"/>
          <w:color w:val="auto"/>
        </w:rPr>
      </w:pPr>
    </w:p>
    <w:p>
      <w:pPr>
        <w:ind w:right="3259" w:firstLine="1489"/>
        <w:spacing w:after="0" w:line="258" w:lineRule="auto"/>
        <w:tabs>
          <w:tab w:leader="none" w:pos="202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approved by the State of California, in the amounts and coverages required under workers' compensation, disability and similar employee benefit laws applicable to the Premises, and Employer's Liability Insurance with limits not less than One Million Dollars ($1,000,000) or such higher amounts as may be required by law.</w:t>
      </w:r>
    </w:p>
    <w:p>
      <w:pPr>
        <w:spacing w:after="0" w:line="164" w:lineRule="exact"/>
        <w:rPr>
          <w:rFonts w:ascii="Courier New" w:cs="Courier New" w:eastAsia="Courier New" w:hAnsi="Courier New"/>
          <w:sz w:val="14"/>
          <w:szCs w:val="14"/>
          <w:color w:val="auto"/>
        </w:rPr>
      </w:pPr>
    </w:p>
    <w:p>
      <w:pPr>
        <w:ind w:right="3179" w:firstLine="1136"/>
        <w:spacing w:after="0" w:line="237" w:lineRule="auto"/>
        <w:tabs>
          <w:tab w:leader="none" w:pos="149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construction and other work in connection with any Alterations shall be done at Tenant's sole cost and expense and in a prudent and first class manner. Tenant shall construct the Alterations in accordance with all Applicable Laws, and with plans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121" w:name="page122"/>
    <w:bookmarkEnd w:id="121"/>
    <w:p>
      <w:pPr>
        <w:ind w:left="10" w:right="3259"/>
        <w:spacing w:after="0" w:line="235" w:lineRule="auto"/>
        <w:rPr>
          <w:sz w:val="20"/>
          <w:szCs w:val="20"/>
          <w:color w:val="auto"/>
        </w:rPr>
      </w:pPr>
      <w:r>
        <w:rPr>
          <w:rFonts w:ascii="Courier New" w:cs="Courier New" w:eastAsia="Courier New" w:hAnsi="Courier New"/>
          <w:sz w:val="15"/>
          <w:szCs w:val="15"/>
          <w:color w:val="auto"/>
        </w:rPr>
        <w:t>specifications that are in accordance with the provisions of this Article 9 and all other provisions of this Lease.</w:t>
      </w:r>
    </w:p>
    <w:p>
      <w:pPr>
        <w:spacing w:after="0" w:line="176" w:lineRule="exact"/>
        <w:rPr>
          <w:sz w:val="20"/>
          <w:szCs w:val="20"/>
          <w:color w:val="auto"/>
        </w:rPr>
      </w:pPr>
    </w:p>
    <w:p>
      <w:pPr>
        <w:ind w:left="10" w:right="3259" w:firstLine="1136"/>
        <w:spacing w:after="0" w:line="256" w:lineRule="auto"/>
        <w:tabs>
          <w:tab w:leader="none" w:pos="150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commencement of any construction, alteration, addition, improvements, repair or landscaping in excess of Ten Thousand Dollars ($10,000), Landlord shall have the right to post in a conspicuous location on the Premises and to record in the public records a notice of Landlord's nonresponsibility. Tenant covenants and agrees to give Landlord at least ten</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of the commencement of any such construction, alteration, addition, improvement, repair or landscaping in order that Landlord shall have sufficient time to post such notice.</w:t>
      </w:r>
    </w:p>
    <w:p>
      <w:pPr>
        <w:spacing w:after="0" w:line="169" w:lineRule="exact"/>
        <w:rPr>
          <w:rFonts w:ascii="Courier New" w:cs="Courier New" w:eastAsia="Courier New" w:hAnsi="Courier New"/>
          <w:sz w:val="15"/>
          <w:szCs w:val="15"/>
          <w:color w:val="auto"/>
        </w:rPr>
      </w:pPr>
    </w:p>
    <w:p>
      <w:pPr>
        <w:ind w:left="1490" w:hanging="344"/>
        <w:spacing w:after="0"/>
        <w:tabs>
          <w:tab w:leader="none" w:pos="149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take all necessary safety precautions during any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w:t>
      </w:r>
    </w:p>
    <w:p>
      <w:pPr>
        <w:spacing w:after="0" w:line="174" w:lineRule="exact"/>
        <w:rPr>
          <w:rFonts w:ascii="Courier New" w:cs="Courier New" w:eastAsia="Courier New" w:hAnsi="Courier New"/>
          <w:sz w:val="15"/>
          <w:szCs w:val="15"/>
          <w:color w:val="auto"/>
        </w:rPr>
      </w:pPr>
    </w:p>
    <w:p>
      <w:pPr>
        <w:ind w:left="10" w:right="3179" w:firstLine="1136"/>
        <w:spacing w:after="0" w:line="257" w:lineRule="auto"/>
        <w:tabs>
          <w:tab w:leader="none" w:pos="150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prepare and maintain (i) on a current basis during construction, annotated plans and specifications showing clearly all changes, revisions and substitutions during construction, and (ii) upon completion of construction, as-built drawings showing clearly all changes, revisions and substitutions during construction, including, without limitation, field changes and the final location of all mechanical equipment, utility lines, ducts, outlets, structural members, walls, partitions and other significant features. These as-built drawings and annotated plans and specifications shall be kept at the Premises and Tenant shall update them as often as necessary to keep them current. The as-built drawings and annotated plans and specifications shall be made available for copying and inspection by Landlord at all reasonable times.</w:t>
      </w:r>
    </w:p>
    <w:p>
      <w:pPr>
        <w:spacing w:after="0" w:line="165" w:lineRule="exact"/>
        <w:rPr>
          <w:rFonts w:ascii="Courier New" w:cs="Courier New" w:eastAsia="Courier New" w:hAnsi="Courier New"/>
          <w:sz w:val="14"/>
          <w:szCs w:val="14"/>
          <w:color w:val="auto"/>
        </w:rPr>
      </w:pPr>
    </w:p>
    <w:p>
      <w:pPr>
        <w:ind w:left="10" w:right="3259" w:firstLine="1136"/>
        <w:spacing w:after="0" w:line="238" w:lineRule="auto"/>
        <w:tabs>
          <w:tab w:leader="none" w:pos="1508"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the construction of any Alterations in excess of Ten Thousand Dollars ($10,000) during the Term, Tenant shall file for recordation, or cause to be filed for recordation, a notice of completion and shall deliver to Landlord evidence satisfactory to Landlord of payment of all costs, expenses, liabilities and liens arising out of or in any way connected with such construction (except for liens that are contested in the manner provided herein).</w:t>
      </w:r>
    </w:p>
    <w:p>
      <w:pPr>
        <w:spacing w:after="0" w:line="177"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9.3 OWNERSHIP OF IMPROVEMENTS. Except as provided in Section 9.4, all Alterations, and any other appurtenances, fixtures, improvements, equipment, additions and property permanently attached to or installed in the Premises at the commencement of or during the Term, shall at the end of the Term become Landlord's property without compensation to Tenant, or be removed in accordance with this Section. Landlord shall notify Tenant in writing at the time of Landlord's approval of any Alterations whether or not the proposed Alterations will be required to be removed by Tenant at the end of the Term. Tenant shall have no obligation to remove any Alterations that Landlord has not designated in writing for removal. Tenant shall repair or pay the cost of repairing any damage to the Premises or to the Building caused by the removal of Alterations. If Tenant fails to perform its repair obligations, without limiting any other right or remedy, Landlord may on five (5) business days prior written notice to Tenant perform such obligations at Tenant's expense and Tenant shall promptly reimburse Landlord upon demand for all out-of-pocket costs and expenses incurred by Landlord in connection with such repair. The reimbursement shall be Additional Rent. Tenant's obligations under this Section shall survive the termination of this Lease.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797" w:right="1440" w:bottom="1440" w:gutter="0" w:footer="0" w:header="0"/>
        </w:sectPr>
      </w:pPr>
    </w:p>
    <w:bookmarkStart w:id="122" w:name="page123"/>
    <w:bookmarkEnd w:id="122"/>
    <w:p>
      <w:pPr>
        <w:ind w:right="3179" w:firstLine="793"/>
        <w:spacing w:after="0" w:line="257" w:lineRule="auto"/>
        <w:rPr>
          <w:sz w:val="20"/>
          <w:szCs w:val="20"/>
          <w:color w:val="auto"/>
        </w:rPr>
      </w:pPr>
      <w:r>
        <w:rPr>
          <w:rFonts w:ascii="Courier New" w:cs="Courier New" w:eastAsia="Courier New" w:hAnsi="Courier New"/>
          <w:sz w:val="14"/>
          <w:szCs w:val="14"/>
          <w:color w:val="auto"/>
        </w:rPr>
        <w:t>9.4 TENANT'S PERSONAL PROPERTY. All furniture, trade fixtures, furnishings, equipment and articles of movable personal property installed in the Premises by or for the account of Tenant (except for ceiling and related fixtures, HVAC equipment and floor coverings), and which can be removed without structural or other material damage to the Building (collectively, "TENANT'S PROPERTY") shall be and remain the property of Tenant and may be removed by it at any time during the Term. Tenant shall remove from the Premises all Tenant's Property on or before the Termination Date, except such items as the parties have agreed pursuant to the provisions of this Lease or by separate agreement are to remain and to become the property of Landlord. Tenant shall repair or pay the cost of repairing any damage to the Premises or to the Building resulting from such removal, and the provisions of Section 9.4 above shall apply in the event Tenant fails to do so. Any items of Tenant's Property which remain in the Premises after the Termination Date may, on five (5) business days prior written notice to Tenant, at the option of Landlord, be deemed abandoned and in such case may either be retained by Landlord as its property (if permitted by Applicable Laws) or be disposed of, without accountability, at Tenant's expense in such manner as is required by Applicable Laws.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LIENS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Tenant shall keep the Premises free from any liens arising out of any work performed, material furnished or obligations incurred by or for Tenant. If Tenant shall not, within twenty (20) days following notice of the imposition of any such lien, cause the lien to be released of record by payment or posting of a proper bond, Landlord shall have, in addition to all other remedies provided in this Lease and by law, the right but not the obligation to cause any such lien to be released by such means as it shall deem proper, including payment of the claim giving rise to such lien. All such sums paid by Landlord and all expenses incurred by it in connection therewith (including, without limitation, reasonable counsel fees) shall be payable to Landlord by Tenant upon demand with interest from the date incurred at the Interest Rate. Landlord shall have the right at all times to post and keep posted on the Premises any notices permitted or required by law or that Landlord shall deem proper for the protection of Landlord, the Premises, and the Building from mechanics' and materialmen's liens, as more specifically provided in Section 9.3(b).</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COMPLIANCE WITH LAWS AND INSURANCE REQUIREMENTS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11.1 APPLICABLE LAWS. Tenant, at Tenant's cost and expense, shall comply with all applicable laws, statutes, codes, ordinances, orders, rules, regulations, conditions of approval, and requirements, of all federal, state, county, municipal and other governmental authorities and the departments, commissions, boards, bureaus, instrumentalities, and officers thereof, and all administrative or judicial orders or decrees and all permits, licenses, approvals and other entitlements issued by governmental entities, and rules of common law, relating to or affecting the Building or the use, operation or occupancy of the Premises, whether now existing or hereafter enacted (collectively, "APPLICABLE LAWS") relating to its use or occupancy of the Premises, its repair and maintenance obligations, or any Alterations. Without limiting the foregoing, Tenant shall be solely responsible for compliance with and shall make or cause to be made all improvements and alterations to the Premises (including, without limitation, removing barriers and providing alternative services) as shall be required to comply with all applicable building codes, laws and ordinances relating to public accommodations, including the Americans with Disabilities Act of 1990, 42 U.S.C. Sections 12111 et seq. (the "ADA"), and the ADA Accessibility Guidelines promulgated by the Architectural and Transportation Barriers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7" w:right="1440" w:bottom="1440" w:gutter="0" w:footer="0" w:header="0"/>
        </w:sectPr>
      </w:pPr>
    </w:p>
    <w:bookmarkStart w:id="123" w:name="page124"/>
    <w:bookmarkEnd w:id="123"/>
    <w:p>
      <w:pPr>
        <w:ind w:right="3179"/>
        <w:spacing w:after="0" w:line="257" w:lineRule="auto"/>
        <w:rPr>
          <w:sz w:val="20"/>
          <w:szCs w:val="20"/>
          <w:color w:val="auto"/>
        </w:rPr>
      </w:pPr>
      <w:r>
        <w:rPr>
          <w:rFonts w:ascii="Courier New" w:cs="Courier New" w:eastAsia="Courier New" w:hAnsi="Courier New"/>
          <w:sz w:val="14"/>
          <w:szCs w:val="14"/>
          <w:color w:val="auto"/>
        </w:rPr>
        <w:t>Compliance Board, the public accommodations title of the Civil Rights Act of 1964, 42 U.S.C. Sections 2000a et. seq., the Architectural Barriers Act of 1968, 42 U.S.C. Sections 4151 et. seq., as amended, Title V of the Rehabilitation Act of 1973, 29 U.S.C. Sections 790 et. seq., the Minimum Guidelines and Requirements for Accessible Design, 36 C.F.R. Part 1190, the Uniform Federal Accessibility Standards, and Title 24 of the California Code of Regulations, as the same may be amended from time to time, or any similar or successor laws, ordinances and regulations, now or hereafter adopted. Tenant's liability shall be primary and Tenant shall indemnify Landlord in accordance with Section 13.1 in the event of any failure or alleged failure of Tenant to comply with Applicable Laws. Any work or installations made or performed by or on behalf of Tenant or any person or entity claiming through or under Tenant pursuant to the provisions of this Section shall be made in conformity with and subject to the provisions of Article 9. Landlord shall comply with all Applicable Laws relating to its obligations set forth in Section 7.1.</w:t>
      </w:r>
    </w:p>
    <w:p>
      <w:pPr>
        <w:spacing w:after="0" w:line="16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11.2 INSURANCE REQUIREMENTS. Tenant shall not do anything, or permit anything to be done, in or about the Premises that would: (a) invalidate or be in conflict with the provisions of or cause any increase in the applicable rates for any fire or other insurance policies covering the Building or any property located therein (unless Tenant pays for such increased costs), or (b) result in a refusal by fire insurance companies of good standing to insure the Building or any such property in amounts reasonably satisfactory to Landlord (which amounts shall be comparable to the amounts required by comparable landlords of comparable buildings, or (c) subject Landlord to any liability or responsibility for injury to any person or property by reason of any business operation being conducted in the Premises. Tenant, at Tenant's expense, shall comply with all rules, orders, regulations or requirements of the American Insurance Association (formerly the National Board of Fire Underwriters) and with any similar body that shall hereafter perform the function of such Association.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 HAZARDOUS MATERIALS</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12.1 DEFINITIONS. As used in this Lease, the following terms shall have the following meanings:</w:t>
      </w:r>
    </w:p>
    <w:p>
      <w:pPr>
        <w:spacing w:after="0" w:line="176" w:lineRule="exact"/>
        <w:rPr>
          <w:sz w:val="20"/>
          <w:szCs w:val="20"/>
          <w:color w:val="auto"/>
        </w:rPr>
      </w:pPr>
    </w:p>
    <w:p>
      <w:pPr>
        <w:ind w:right="3179" w:firstLine="1136"/>
        <w:spacing w:after="0" w:line="237" w:lineRule="auto"/>
        <w:tabs>
          <w:tab w:leader="none" w:pos="149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ACTIVITY" means any use, storage, holding, release, emission, discharge, manufacturing, generation, processing, abatement, removal, disposition, handling, transportation, discharge or release of any Hazardous Materials from, into, on or under the Building, the Common Area or the Property.</w:t>
      </w:r>
    </w:p>
    <w:p>
      <w:pPr>
        <w:spacing w:after="0" w:line="178" w:lineRule="exact"/>
        <w:rPr>
          <w:rFonts w:ascii="Courier New" w:cs="Courier New" w:eastAsia="Courier New" w:hAnsi="Courier New"/>
          <w:sz w:val="15"/>
          <w:szCs w:val="15"/>
          <w:color w:val="auto"/>
        </w:rPr>
      </w:pPr>
    </w:p>
    <w:p>
      <w:pPr>
        <w:ind w:right="3179" w:firstLine="1136"/>
        <w:spacing w:after="0" w:line="238" w:lineRule="auto"/>
        <w:tabs>
          <w:tab w:leader="none" w:pos="149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mean all Applicable Laws, now or hereafter in effect, relating to environmental conditions, industrial hygiene or Hazardous Materials on, under or about the Property, including without limitation the comprehensive environmental Response, Compensation and Liability Act of 1980, as amended, 42 U.S.C. Section 9601, et seq., the Hazardous Materials Transportation Act, 49 U.S.C. Section 1801, et seq., the Solid Waste Disposal Act, 42 U.S.C. Section 6901, et seq., the Clean Water Act, 33 U.S.C. Section 1251, et seq., the Clean Air Act, 42 U.S.C. Section 7401, et seq., the Toxic Substances Control Act, 15 U.S.C. Section 2601 through 2629, the Safe Drinking Water Act, 42 U.S.C. Sections 300f through 300j, and any similar state and local laws and ordinances and the regulations now or hereafter adopted and published and/or promulgated pursuant thereto.</w:t>
      </w:r>
    </w:p>
    <w:p>
      <w:pPr>
        <w:spacing w:after="0" w:line="181" w:lineRule="exact"/>
        <w:rPr>
          <w:rFonts w:ascii="Courier New" w:cs="Courier New" w:eastAsia="Courier New" w:hAnsi="Courier New"/>
          <w:sz w:val="15"/>
          <w:szCs w:val="15"/>
          <w:color w:val="auto"/>
        </w:rPr>
      </w:pPr>
    </w:p>
    <w:p>
      <w:pPr>
        <w:ind w:right="3179" w:firstLine="1136"/>
        <w:spacing w:after="0" w:line="237" w:lineRule="auto"/>
        <w:tabs>
          <w:tab w:leader="none" w:pos="149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means any chemical, substance, medical or other waste, living organism or combination thereof which is or may be hazardous to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124" w:name="page125"/>
    <w:bookmarkEnd w:id="124"/>
    <w:p>
      <w:pPr>
        <w:ind w:right="3179"/>
        <w:spacing w:after="0" w:line="238" w:lineRule="auto"/>
        <w:rPr>
          <w:sz w:val="20"/>
          <w:szCs w:val="20"/>
          <w:color w:val="auto"/>
        </w:rPr>
      </w:pPr>
      <w:r>
        <w:rPr>
          <w:rFonts w:ascii="Courier New" w:cs="Courier New" w:eastAsia="Courier New" w:hAnsi="Courier New"/>
          <w:sz w:val="15"/>
          <w:szCs w:val="15"/>
          <w:color w:val="auto"/>
        </w:rPr>
        <w:t>environment or human or animal health or safety due to its radioactivity, ignitability, corrosivity, reactivity, explosivity, toxicity, carcinogenicity, mutagenicity, phytotoxicity, infectiousness or other harmful or potentially harmful properties or effects as they relate to human health or the environment. Hazardous Materials shall include, without limitation, petroleum hydrocarbons, including crude oil or any fraction thereof, asbestos, radon, polychlorinated biphenyls (PCBs), methane and all substances which now or in the future may be defined or regulated as "hazardous substances," "hazardous wastes," "extremely hazardous wastes," "hazardous materials," "toxic substances," "infectious wastes," "biohazardous wastes," "medical wastes," "radioactive wastes" or which are otherwise listed, defined or regulated in any manner pursuant to any Environmental Laws.</w:t>
      </w:r>
    </w:p>
    <w:p>
      <w:pPr>
        <w:spacing w:after="0" w:line="182" w:lineRule="exact"/>
        <w:rPr>
          <w:sz w:val="20"/>
          <w:szCs w:val="20"/>
          <w:color w:val="auto"/>
        </w:rPr>
      </w:pPr>
    </w:p>
    <w:p>
      <w:pPr>
        <w:ind w:right="3359" w:firstLine="1136"/>
        <w:spacing w:after="0" w:line="265" w:lineRule="auto"/>
        <w:tabs>
          <w:tab w:leader="none" w:pos="149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HAZARDOUS MATERIALS" means any Hazardous Materials resulting from the Environmental Activity by Tenant or any of Tenant's Agents.</w:t>
      </w:r>
    </w:p>
    <w:p>
      <w:pPr>
        <w:spacing w:after="0" w:line="15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12.2 ENVIRONMENTAL RELEASE. Tenant represents to Landlord that Tenant is aware that detectable amounts of Hazardous Materials have come to be located on, beneath and/or in the vicinity of the Premises. (See, for example, Department of Toxic Substances Control Order No. HSA 90/91-007 (dated 10-25-90), Regional Water Quality Control Board Order No. 94/99 (dated 8-17-94), and Department of Toxic Substances Control Order No HSA 90/91-004 (dated 8-6-90)). Tenant has made such investigations and inquiries as it deems appropriate to ascertain the effects, if any, of such substances and contaminants on its operations and persons using the Building and the Common Area. Landlord makes no representation or warranty with regard to the environmental condition of the Building, the Common Area or the Property. Tenant hereby releases Landlord and Landlord's officers, directors, trustees, agents and employees from any and all claims, demands, debts, liabilities, and causes of action of whatever kind or nature, whether known or unknown or suspected or unsuspected which Tenant or any of Tenant's Agents may have, claim to have, or which may hereafter accrue against the released parties or any of them, arising out of or relating to or in any way connected with Hazardous Materials presently in, on or under, or now or hereafter emanating from or migrating onto the Building or the Property. In connection with such release, Tenant hereby waives any and all rights conferred upon it by the provisions of Section 1542 of the California Civil Code, which reads as follows:</w:t>
      </w:r>
    </w:p>
    <w:p>
      <w:pPr>
        <w:spacing w:after="0" w:line="176"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12.3 USE OF HAZARDOUS MATERIALS. Tenant shall not be responsible, and it is not the intent of this Article 12 to make Tenant responsible for any preexisting Hazardous Materials which may be located on, under, in or about the Property. Tenant shall not cause or permit any Hazardous Materials to be used, stored, discharged, released or disposed of in the Premises or cause any Hazardous Materials to be used, stored, discharged, released or disposed of in, from, under or about, the Property, or any other land or improvements in the vicinity of the Property excepting only the types and quantities of Hazardous Materials which are normally used in Tenant's research and development activities and then only in strict accordance with all Applicable Laws, including all Environmental Laws. Tenant shall, at its own expense, procure, maintain in effect and comply with all conditions of any and all permits, licenses, and other</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97" w:right="1440" w:bottom="1440" w:gutter="0" w:footer="0" w:header="0"/>
        </w:sectPr>
      </w:pPr>
    </w:p>
    <w:bookmarkStart w:id="125" w:name="page126"/>
    <w:bookmarkEnd w:id="125"/>
    <w:p>
      <w:pPr>
        <w:ind w:right="3179"/>
        <w:spacing w:after="0" w:line="239" w:lineRule="auto"/>
        <w:rPr>
          <w:sz w:val="20"/>
          <w:szCs w:val="20"/>
          <w:color w:val="auto"/>
        </w:rPr>
      </w:pPr>
      <w:r>
        <w:rPr>
          <w:rFonts w:ascii="Courier New" w:cs="Courier New" w:eastAsia="Courier New" w:hAnsi="Courier New"/>
          <w:sz w:val="15"/>
          <w:szCs w:val="15"/>
          <w:color w:val="auto"/>
        </w:rPr>
        <w:t>governmental and regulatory approvals required for Tenant's use of Hazardous Materials at the Premises, including, without limitation, discharge of appropriately treated materials or wastes into or through any sanitary sewer serving the Building. Tenant shall in all respects handle, treat, deal with and manage any and all Tenant's Hazardous Materials in total conformity with all Environmental Laws and prudent industry practices regarding management of such Hazardous Materials. Without limiting the foregoing, if any Tenant's Hazardous Materials result in contamination of the Building, or any soil or groundwater in, under or about the Property, Tenant, at its expense, shall promptly take all actions necessary to return the Building and/or the Property, to the condition existing prior to the appearance of the Tenant's Hazardous Material, subject to Landlord's right to reasonably approve Tenant's proposed remediation method. On or prior to the Termination Date, Tenant shall cause all Tenant's Hazardous Materials in, on, under or about the Building to be removed in accordance with and in compliance with all Applicable Laws. Tenant shall promptly notify Landlord and, except in the case of an emergency, obtain Landlord's written approval before taking any remedial action in response to the presence of any Tenant's Hazardous Materials or entering into any settlement agreement, consent decree or other compromise with respect to any claims relating to Tenant's Hazardous Materials, which consent shall not be unreasonably withheld, delayed or denied.</w:t>
      </w:r>
    </w:p>
    <w:p>
      <w:pPr>
        <w:spacing w:after="0" w:line="17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12.4 HAZARDOUS MATERIALS INVENTORY. Upon or prior to the Commencement Date, Tenant shall provide to Landlord a complete list of any and all Hazardous Materials (excluding normal office and janitorial supplies) expected to be employed by Tenant at the Premises. Throughout the Term, Tenant shall regularly and periodically update the list to reflect its current inventory of Hazardous Materials at the Premises to the extent such current inventory changes.</w:t>
      </w:r>
    </w:p>
    <w:p>
      <w:pPr>
        <w:spacing w:after="0" w:line="16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12.5 TENANT INDEMNITY. Tenant shall indemnify, defend (by counsel reasonably acceptable to Landlord), protect and hold Landlord and Landlord's trustees, directors, officers, agents and employees and their respective successors and assigns (collectively, "LANDLORD'S AGENTS"), free and harmless from and against any and all claims, liabilities, penalties, forfeitures, losses or expenses (including reasonable attorneys' and consultants' fees and oversight and response costs) to the extent arising from events occurring during the Term and arising from (a) Environmental Activity by Tenant or Tenant's Agents; or (b) failure of Tenant or Tenant's Agents to comply with any Environmental Law with respect to Tenant's Environmental Activity; or (c) Tenant's failure to remove Tenant's Hazardous Materials as required in Section 12.3.</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12.6 LANDLORD INDEMNITY. Landlord shall indemnify, defend (by counsel reasonably acceptable to Tenant), protect and hold Tenant harmless from and against any remediation costs incurred by Tenant (and Tenant's Agents, permitted Transferees under Article 14, and affiliates who acquire rights to the Premises under Section 14.6), and all penalties and other actual expenses (including reasonable attorneys' and consultants' fees) associated with such remediation costs, to the extent resulting from or arising out of the release, treatment, storage, use or disposal of Hazardous Materials in, on, under or from the Property prior to the Commencement Date of this Lease, including, without limitation, groundwater contamination migrating onto or under the Property from other properties. Landlord's indemnification obligations hereunder shall extend only to Tenant's actual "out of pocket" costs but shall not include consequential damages or incidental damages such as lost profits or any loss of rental value of the Premises suffered or allegedly suffered by Tenant or any of Tenant's Agents.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7" w:right="1440" w:bottom="1440" w:gutter="0" w:footer="0" w:header="0"/>
        </w:sectPr>
      </w:pPr>
    </w:p>
    <w:bookmarkStart w:id="126" w:name="page127"/>
    <w:bookmarkEnd w:id="126"/>
    <w:p>
      <w:pPr>
        <w:ind w:right="3359" w:firstLine="793"/>
        <w:spacing w:after="0" w:line="237" w:lineRule="auto"/>
        <w:rPr>
          <w:sz w:val="20"/>
          <w:szCs w:val="20"/>
          <w:color w:val="auto"/>
        </w:rPr>
      </w:pPr>
      <w:r>
        <w:rPr>
          <w:rFonts w:ascii="Courier New" w:cs="Courier New" w:eastAsia="Courier New" w:hAnsi="Courier New"/>
          <w:sz w:val="15"/>
          <w:szCs w:val="15"/>
          <w:color w:val="auto"/>
        </w:rPr>
        <w:t>12.7 NO LIEN. Tenant shall not suffer any lien to be recorded against the Building or the Property as a consequence of any Tenant's Hazardous Materials, including any so called state, federal or local "super fund" lien related to the remediation of any Tenant's Hazardous Materials in, on or about the Building or the Property.</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12.8 INVESTIGATION. In the event Hazardous Materials are discovered in or about the Building or the Property, and Landlord reasonably believes that such Hazardous Materials are Tenant's Hazardous Materials, then Landlord shall have the right to appoint a consultant to conduct an investigation to determine the nature and extent of such Hazardous Materials, whether such Hazardous Materials are Tenant's Hazardous Materials, and the corrective measures, if any, required by Environmental Law to remove such Hazardous Materials. If such Hazardous Materials are determined to be Tenant's Hazardous Materials, Tenant, at its expense, shall comply with all investigation, remediation or other actions required by any applicable governmental authority and reasonably approved by Landlord. If Tenant fails to promptly commence and diligently prosecute the investigation, remediation or other required action, then upon thirty (30) days prior written notice from Landlord to Tenant, Landlord shall undertake such investigation, remediation or other required action for Tenant's account, and Tenant shall promptly reimburse Landlord as Additional Rent for all costs incurred by Landlord in connection therewith.</w:t>
      </w:r>
    </w:p>
    <w:p>
      <w:pPr>
        <w:spacing w:after="0" w:line="18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12.9 NOTICES. Tenant shall promptly notify Landlord of any inquiry, test, claim, investigation or enforcement proceeding by or against Tenant (except to the extent unrelated to this Lease) or the Premises or the Property known to Tenant concerning any Hazardous Materials. Tenant shall promptly notify Landlord of any release or discharge of Hazardous Materials on, in under or about the Property which was caused or permitted by Tenant or anyone within Tenant's reasonable control. Tenant acknowledges that Landlord, as the owner of the Property, shall have the sole right at its election and at Tenant's expense, to negotiate, defend, approve and appeal any action taken or order issued with regard to Tenant's Hazardous Materials by any applicable governmental authority; provided, however, that Landlord agrees to cooperate and consult with Tenant in the course of any dealings with such governmental authorities.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12.10 SURRENDER. Tenant shall surrender the Premises to Landlord, upon the expiration or earlier termination of the Lease, free of Tenant's Hazardous Materials. If Tenant fails to so surrender the Premises, Tenant shall indemnify and hold Landlord harmless from all losses, costs, claims, damages and liabilities resulting from Tenant's failure to surrender the Premises as required by this Section 12.10, including, without limitation, (a) any claims or damages arising in connection with the condition of the Premises, and (b) damages occasioned by Landlord's inability to relet the Premises or a reduction in the fair market and/or rental value of the Building or any portion thereof, by reason of the existence of any Tenant's Hazardous Materials. 12.11 SURVIVAL. The provisions of this Article 12 shall survive the expiration or earlier termination of this Lease.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INDEMNITY; INSURANCE</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13.1 INDEMNITY. Tenant shall indemnify, protect, defend and save and hold Landlord and Landlord's Agents harmless from and against any and all losses, costs, liabilities,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7" w:right="1440" w:bottom="1440" w:gutter="0" w:footer="0" w:header="0"/>
        </w:sectPr>
      </w:pPr>
    </w:p>
    <w:bookmarkStart w:id="127" w:name="page128"/>
    <w:bookmarkEnd w:id="127"/>
    <w:p>
      <w:pPr>
        <w:ind w:right="3179"/>
        <w:spacing w:after="0" w:line="256" w:lineRule="auto"/>
        <w:rPr>
          <w:sz w:val="20"/>
          <w:szCs w:val="20"/>
          <w:color w:val="auto"/>
        </w:rPr>
      </w:pPr>
      <w:r>
        <w:rPr>
          <w:rFonts w:ascii="Courier New" w:cs="Courier New" w:eastAsia="Courier New" w:hAnsi="Courier New"/>
          <w:sz w:val="14"/>
          <w:szCs w:val="14"/>
          <w:color w:val="auto"/>
        </w:rPr>
        <w:t>claims, judgments, liens, damages (including consequential damages) and expenses, including, without limitation, reasonable attorneys' fees and costs (including Landlord's in-house counsel), and reasonable investigation costs, incurred in connection with or arising from: (a) any default by Tenant in the observance or performance of any of the terms, covenants or conditions of this Lease on Tenant's part to be observed or performed, or (b) the use or occupancy or manner of use or occupancy of the Premises, the Building and the Property by Tenant and Tenant's Agents, (c) the condition of the Premises, and any occurrence on the Premises, the Building or the Property from any cause whatsoever, except to the extent caused by the gross negligence, willful misconduct or breach of this Lease by Landlord, and (d) any acts or omissions or negligence of Tenant or of Tenant's Agents, in, on or about the Premises, the Building or the Common Area. In case any action or proceeding be brought, made or initiated against Landlord relating to any matter covered by Tenant's indemnification obligations under this Section or under Section 12.5, Tenant, upon notice from Landlord, shall at its sole cost and expense, resist or defend such claim, action or proceeding by counsel approved by Landlord. Notwithstanding the foregoing, Landlord may retain its own counsel to defend or assist in defending any claim, action or proceeding involving potential liability of Five Million Dollars ($5,000,000) or more, and Tenant shall pay the reasonable fees and disbursements of such counsel. Tenant's obligations under this Section shall survive the expiration or earlier termination of this Lease.</w:t>
      </w:r>
    </w:p>
    <w:p>
      <w:pPr>
        <w:spacing w:after="0" w:line="34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13.2 INSURANCE. Tenant shall procure at its sole cost and expense and keep in effect during the Term:</w:t>
      </w:r>
    </w:p>
    <w:p>
      <w:pPr>
        <w:spacing w:after="0" w:line="176" w:lineRule="exact"/>
        <w:rPr>
          <w:sz w:val="20"/>
          <w:szCs w:val="20"/>
          <w:color w:val="auto"/>
        </w:rPr>
      </w:pPr>
    </w:p>
    <w:p>
      <w:pPr>
        <w:ind w:right="3179" w:firstLine="1224"/>
        <w:spacing w:after="0" w:line="256" w:lineRule="auto"/>
        <w:tabs>
          <w:tab w:leader="none" w:pos="158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covering Tenant's operations in the Premises and the use and occupancy of the Premises and the Building and any part thereof by Tenant. Such insurance shall include broad form contractual liability insurance coverage insuring Tenant's obligations under this Lease. Such coverage shall be written on an "occurrence" form and shall have a minimum combined single limit of liability of not less than three million dollars ($3,000,000.00). Tenant's policy shall be written to apply to all bodily injury, property damage, personal injury and other covered loss (however occasioned) occurring during the policy term, with at least the following endorsements to the extent such endorsements are generally available: (i) deleting any employee exclusion on personal injury coverage, (ii) including employees as additional insureds, (iii) providing broad form property damage coverage and products completed operations coverage (where applicable), (iv) deleting any liquor liability exclusions, and (v) providing for coverage of owned and non-owned automobile liability, if applicable. Such insurance shall name Landlord and any other party reasonably designated by Landlord as an additional insured, shall specifically include the liability assumed hereunder by Tenant, shall provide that it is primary insurance, shall provide for severability of interests, shall further provide that an act or omission of one of the named insureds which would void or otherwise reduce coverage shall not reduce or void the coverage as to any insured, shall afford coverage for claims based on acts, omissions, injury or damage which occurred or arose (or the onset of which occurred or arose in whole or in part during the policy period);</w:t>
      </w:r>
    </w:p>
    <w:p>
      <w:pPr>
        <w:spacing w:after="0" w:line="177" w:lineRule="exact"/>
        <w:rPr>
          <w:rFonts w:ascii="Courier New" w:cs="Courier New" w:eastAsia="Courier New" w:hAnsi="Courier New"/>
          <w:sz w:val="14"/>
          <w:szCs w:val="14"/>
          <w:color w:val="auto"/>
        </w:rPr>
      </w:pPr>
    </w:p>
    <w:p>
      <w:pPr>
        <w:ind w:right="3259" w:firstLine="1224"/>
        <w:spacing w:after="0" w:line="238" w:lineRule="auto"/>
        <w:tabs>
          <w:tab w:leader="none" w:pos="158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property insurance, including sprinkler leakages, vandalism and malicious mischief and plate glass damage covering all the items specified as Tenant's Property and all other property of every description including stock-in-trade, furniture, fittings, installations, alterations, additions, partitions and fixtures or anything in the nature of a leasehold improvement made or installed by or on behalf of the Tenant in an amount of not less than one hundred percent (100%) of the full replacement cost thereof as shall from time to time be determined by Tenant in form reasonably satisfactory to Landlord; and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7" w:right="1440" w:bottom="1440" w:gutter="0" w:footer="0" w:header="0"/>
        </w:sectPr>
      </w:pPr>
    </w:p>
    <w:bookmarkStart w:id="128" w:name="page129"/>
    <w:bookmarkEnd w:id="128"/>
    <w:p>
      <w:pPr>
        <w:ind w:right="3259" w:firstLine="1224"/>
        <w:spacing w:after="0" w:line="237" w:lineRule="auto"/>
        <w:tabs>
          <w:tab w:leader="none" w:pos="15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Insurance in the amounts and coverages required under worker's compensation, disability and similar employee benefit laws applicable to Tenant and/or the Premises from time to time, and Employer's Liability Insurance, with limits of not less than one million dollars ($1,000,000) such higher amounts as may be required by law.</w:t>
      </w:r>
    </w:p>
    <w:p>
      <w:pPr>
        <w:spacing w:after="0" w:line="17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13.3 POLICIES. All policies of insurance provided for herein shall be issued by insurance companies with general policyholders' rating of not less than A, as rated in the most current available "Best's Insurance Reports," and not prohibited from doing business in the State of California, and shall, with the exception of Workers Compensation Insurance, include as additional insureds Landlord, and such other persons or entities as Landlord reasonably specifies from time to time. Such policies shall be for the mutual and joint benefit and protection of Landlord, Tenant and others reasonably specified by Landlord. Executed copies of Tenant's policies of insurance or certificates thereof shall be delivered to Landlord prior to the delivery of possession of the Premises to Tenant and thereafter within thirty (30) days prior to the expiration of the term of each such policy. All commercial general liability and property damage policies shall contain a provision that Landlord and any other additional insured, although named as additional insureds, shall nevertheless be entitled to recover under said policies for a covered loss occasioned by it, its servants, agents and employees, by reason of Tenant's negligence. As often as any policy shall expire or terminate, renewal or additional policies shall be procured and maintained by Tenant in like manner and to like extent. All such policies of insurance shall provide that the company writing said policy will give to Landlord fifteen (15) days notice in writing in advance of any cancellation or lapse or of the effective date of any reduction in the amounts of insurance. All commercial general liability, property damage and other casualty policies shall be written on an occurrence basis. Landlord's coverage shall not be contributory. No policy shall have a deductible in excess of $5,000 for any one occurrence.</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13.4 LANDLORD'S RIGHTS. Should Tenant fail to take out and keep in force each insurance policy required under this Article 13, or should such insurance not be approved by Landlord and should the Tenant not rectify the situation within five (5) business days after written notice from Landlord to Tenant, Landlord shall have the right, without assuming any obligation in connection therewith, to purchase such insurance at the sole cost of Tenant, and all costs incurred by Landlord shall be immediately payable to Landlord by Tenant as Additional Rent and without prejudice to any other rights and remedies of Landlord under this Lease.</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13.5 WAIVER OF SUBROGATION. Notwithstanding anything to the contrary contained herein, Landlord and Tenant each hereby waive any right of recovery against the other party and against any other party maintaining a policy of insurance or required to maintain a policy of insurance under this Lease with respect to the Property or any portion thereof or the contents of the Premises or the Building, for any loss or damage sustained by such other party with respect to the Premises, the Building or the Property, or any portion thereof, or the contents of the same or any operation therein, whether or not such loss is caused by the fault or negligence of such other party. Either party shall notify the other party if the policy of insurance carried by it does not permit the foregoing waiver.</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13.6 NO LIABILITY. No approval by Landlord of any insurer, or the terms or conditions of any policy, or any coverage or amount of insurance, or any deductible amount shall be construed as a representation by Landlord of the solvency of the insurer or the sufficiency of any policy or any coverage or amount of insurance or deductible and Tenant assumes full risk and responsibility for any inadequacy of insurance coverage or any failure of insurers.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97" w:right="1440" w:bottom="1440" w:gutter="0" w:footer="0" w:header="0"/>
        </w:sectPr>
      </w:pPr>
    </w:p>
    <w:bookmarkStart w:id="129" w:name="page130"/>
    <w:bookmarkEnd w:id="129"/>
    <w:p>
      <w:pPr>
        <w:ind w:left="10" w:right="3179" w:firstLine="793"/>
        <w:spacing w:after="0" w:line="238" w:lineRule="auto"/>
        <w:rPr>
          <w:sz w:val="20"/>
          <w:szCs w:val="20"/>
          <w:color w:val="auto"/>
        </w:rPr>
      </w:pPr>
      <w:r>
        <w:rPr>
          <w:rFonts w:ascii="Courier New" w:cs="Courier New" w:eastAsia="Courier New" w:hAnsi="Courier New"/>
          <w:sz w:val="15"/>
          <w:szCs w:val="15"/>
          <w:color w:val="auto"/>
        </w:rPr>
        <w:t>13.7 LANDLORD'S INSURANCE. During the Term, Landlord shall keep the Building (excluding Tenant's improvements, alterations, trade fixtures, equipment, furniture and other personal property) insured through a funded program of self-insurance or through reputable insurance underwriters against perils covered by a standard "all risk" insurance policy or policies, with deductible limits that do not materially exceed those carried by prudent operators of comparable buildings in the Palo Alto area, and in an amount equal to not less than one hundred percent (100%) of the full replacement value of the Building. Further, Landlord shall carry commercial general liability insurance or self-insurance with amounts of coverage that Landlord deems appropriate in its good faith business judgment.</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14. ASSIGNMENT AND SUBLETTING</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14.1 CONSENT REQUIRED. Except as provided in Section 14.6 below, Tenant shall not directly or indirectly, voluntarily or by operation of law, sell, assign, encumber, pledge or otherwise transfer or hypothecate all or any part of its interest in or rights with respect to the Premises or its leasehold estate (collectively, "ASSIGNMENT"), or permit all or any portion of the Premises to be occupied by anyone other than itself or sublet all or any portion of the Premises (collectively, "SUBLEASE") without Landlord's prior written consent, such consent not to be unreasonably withheld.</w:t>
      </w:r>
    </w:p>
    <w:p>
      <w:pPr>
        <w:spacing w:after="0" w:line="178"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14.2 NOTICE. If Tenant desires to enter into a Sublease of the Premises or Assignment of this Lease, it shall give written notice (the "TRANSFER NOTICE") to Landlord of its intention to do so, which notice shall contain (a) the name and address of the proposed assignee, subtenant or occupant (the "TRANSFEREE"), (b) the nature of the proposed Transferee's business to be carried on in the Premises, (c) the terms and provisions of the proposed Assignment or Sublease, and (d) such financial information as Landlord may reasonably request concerning the proposed Transferee. Without limitation of any other provision hereof, it shall not be unreasonable for Landlord to withhold its consent if (i) an Event of Default has occurred and is continuing (as defined in Section 15.1), (ii) the use of the Premises would not comply with the provisions of this Lease, (iii) the base rent to be paid by the Transferee is not at substantially the prevailing market rent then being charged by landlords of comparable buildings in the Palo Alto Area (taking into consideration all of the terms of the transaction and the creditworthiness of the Transferee), or</w:t>
      </w:r>
    </w:p>
    <w:p>
      <w:pPr>
        <w:spacing w:after="0" w:line="5" w:lineRule="exact"/>
        <w:rPr>
          <w:sz w:val="20"/>
          <w:szCs w:val="20"/>
          <w:color w:val="auto"/>
        </w:rPr>
      </w:pPr>
    </w:p>
    <w:p>
      <w:pPr>
        <w:ind w:left="10" w:right="3439" w:hanging="10"/>
        <w:spacing w:after="0" w:line="260" w:lineRule="auto"/>
        <w:tabs>
          <w:tab w:leader="none" w:pos="45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Landlord's reasonable judgment, the proposed Transferee does not have the financial capability to perform its obligations under this Lease with respect to the Premises which are the subject of the Assignment or Sublease.</w:t>
      </w:r>
    </w:p>
    <w:p>
      <w:pPr>
        <w:spacing w:after="0" w:line="163"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14.3 TERMS OF APPROVAL. Landlord shall respond to Tenant's request for approval within fifteen (15) business days after receipt of the Transfer Notice. If Landlord approves the proposed Assignment or Sublease, Tenant may, not later than thirty (30) days thereafter, enter into the Assignment or Sublease with the proposed Transferee upon the terms and conditions set forth in the Transfer Notice, and fifty percent (50%) of the Excess Rent received by Tenant shall be paid to Landlord as and when received by Tenant. "EXCESS RENT" means the gross revenue received from the Transferee during the Sublease term or with respect to the Assignment, less (a) the gross revenue paid to Landlord by Tenant during the period of the Sublease term or during the Assignment; (b) any reasonably documented tenant improvement allowance or other economic concession (free rent, planning allowance, moving expenses, etc.), paid by Tenant to the Transferee or spent on the Premises by Tenant in connection with the Sublease or Assignment;</w:t>
      </w:r>
    </w:p>
    <w:p>
      <w:pPr>
        <w:spacing w:after="0" w:line="4" w:lineRule="exact"/>
        <w:rPr>
          <w:sz w:val="20"/>
          <w:szCs w:val="20"/>
          <w:color w:val="auto"/>
        </w:rPr>
      </w:pPr>
    </w:p>
    <w:p>
      <w:pPr>
        <w:ind w:left="10" w:right="3439" w:hanging="10"/>
        <w:spacing w:after="0" w:line="265" w:lineRule="auto"/>
        <w:tabs>
          <w:tab w:leader="none" w:pos="36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customary and reasonable external brokers' commissions to the extent paid and documented; (d) reasonable attorneys' fees; and (e) reasonable costs of</w:t>
      </w:r>
    </w:p>
    <w:p>
      <w:pPr>
        <w:spacing w:after="0" w:line="3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797" w:right="1440" w:bottom="1440" w:gutter="0" w:footer="0" w:header="0"/>
        </w:sectPr>
      </w:pPr>
    </w:p>
    <w:bookmarkStart w:id="130" w:name="page131"/>
    <w:bookmarkEnd w:id="130"/>
    <w:p>
      <w:pPr>
        <w:ind w:right="3359"/>
        <w:spacing w:after="0" w:line="237" w:lineRule="auto"/>
        <w:rPr>
          <w:sz w:val="20"/>
          <w:szCs w:val="20"/>
          <w:color w:val="auto"/>
        </w:rPr>
      </w:pPr>
      <w:r>
        <w:rPr>
          <w:rFonts w:ascii="Courier New" w:cs="Courier New" w:eastAsia="Courier New" w:hAnsi="Courier New"/>
          <w:sz w:val="15"/>
          <w:szCs w:val="15"/>
          <w:color w:val="auto"/>
        </w:rPr>
        <w:t>advertising the space for Sublease or Assignment (collectively, "TRANSFER COSTS"). Tenant shall not have to pay to Landlord any Excess Rent until Tenant has recovered its Transfer Costs.</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14.4 RIGHT OF FIRST REFUSAL. Except as provided in Section 14.6, if Tenant desires to assign Tenant's interest in the Premises or to sublease twenty-five percent (25%) or more of the Premises for more than three (3) years or for the balance of the Term (collectively, a "TRANSFER"), the Transfer Notice shall also include a written offer (the "OFFER") that describes all of the substantial business terms that Tenant has offered to a Transferee which Tenant would execute if Landlord does not accept Tenant's offer, and shall offer to Transfer Tenant's interest in the Premises to Landlord on such terms and conditions. Landlord shall have fifteen (15) business days from Landlord's receipt of the Offer to accept the Offer by written notice to Tenant, or to respond as provided in Section 14.3. If Landlord does not give Tenant written notice accepting the Offer within said fifteen (15) business day period, Tenant may at any time within the six (6) month period after the expiration of the fifteen (15) business day period, subject to all of the conditions, restrictions and terms of this Article 14, Transfer its interest to a Transferee without reoffering the interest to Landlord, provided that the terms and conditions of such Transfer shall not be more favorable to the Transferee than those set forth in the Offer. If Tenant proposes to Transfer its interest in the Premises under this Lease at any time after the expiration of the aforesaid six (6) month period to the Transferee or any other third party, or at any time within the aforesaid six (6) month period on terms more favorable to the Transferee than those contained in the Offer, Tenant shall again deliver to Landlord an Offer in accordance with this Section and offering the interest to Landlord on such more favorable terms. Landlord shall have another period of fifteen (15) business days after receipt of such Offer to accept such Offer. If Landlord accepts the Offer, Landlord and Tenant shall consummate the Transfer within fifteen (15) days after Landlord's written notice of acceptance. The Transfer shall be consummated by Tenant's delivery to Landlord of a good and sufficient assignment of lease or sublease.</w:t>
      </w:r>
    </w:p>
    <w:p>
      <w:pPr>
        <w:spacing w:after="0" w:line="34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14.5 NO RELEASE. No Sublease or Assignment by Tenant nor any consent by Landlord thereto shall relieve Tenant of any obligation to be performed by Tenant under this Lease, unless this Lease is terminated pursuant to Section 14.4. Any Sublease or Assignment that is not in compliance with this Article shall be null and void and, at the option of Landlord, shall constitute an Event of Default by Tenant under this Lease, and Landlord shall be entitled to pursue any right or remedy available to Landlord under the terms of this Lease or under the laws of the State of California. The acceptance of any Rent or other payments by Landlord from a proposed Transferee shall not constitute consent to such Sublease or Assignment by Landlord or a recognition of any Transferee, or a waiver by Landlord of any failure of Tenant or other Transferor to comply with this Article.</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14.6 CORPORATE TRANSFERS. Except as provided in this Section, the term "Assignment" shall include one or more sales or transfers by operation of law or otherwise by which (a) an aggregate of more than fifty percent (50%) of (i) the total capital stock of a corporate Tenant, (ii) the total partnership interests of a general partnership Tenant, (iii) the total membership interests of a limited liability company Tenant, or (iv) the total beneficial interests of a trust Tenant, or (b) if the Tenant is a limited partnership, fifty percent (50%) of the interest in the general partner of such limited partnership or, if there is more than one general partner, fifty percent (50%) of the interests in all such general partners in the aggregate, or (c) if the Tenant is a limited liability company that is manager-managed, fifty percent (50%) of the interest in the manager of such limited liability company or, if there is more than one manager, fifty</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7" w:right="1440" w:bottom="1440" w:gutter="0" w:footer="0" w:header="0"/>
        </w:sectPr>
      </w:pPr>
    </w:p>
    <w:bookmarkStart w:id="131" w:name="page132"/>
    <w:bookmarkEnd w:id="131"/>
    <w:p>
      <w:pPr>
        <w:ind w:right="3179"/>
        <w:spacing w:after="0" w:line="238" w:lineRule="auto"/>
        <w:rPr>
          <w:sz w:val="20"/>
          <w:szCs w:val="20"/>
          <w:color w:val="auto"/>
        </w:rPr>
      </w:pPr>
      <w:r>
        <w:rPr>
          <w:rFonts w:ascii="Courier New" w:cs="Courier New" w:eastAsia="Courier New" w:hAnsi="Courier New"/>
          <w:sz w:val="15"/>
          <w:szCs w:val="15"/>
          <w:color w:val="auto"/>
        </w:rPr>
        <w:t>percent (50%) of the interest in all such managers in the aggregate, shall become vested in one or more individuals, firms or corporations who or which are not stockholders, partners, members, or beneficiaries thereof, either legally or equitably, as of the Commencement Date or of Tenant's subsequent acquisition of this Lease by assignment, it being understood that ownership of such capital stock, partnership interests and beneficial interest shall be determined in accordance with the principles enunciated in Section 544 of the IRS Code. Notwithstanding the foregoing, the following shall not be deemed an Assignment or Sublease for the purposes of this Lease, and the provisions of Sections 14.1, 14.2 and 14.3 shall not apply to:</w:t>
      </w:r>
    </w:p>
    <w:p>
      <w:pPr>
        <w:spacing w:after="0" w:line="180" w:lineRule="exact"/>
        <w:rPr>
          <w:sz w:val="20"/>
          <w:szCs w:val="20"/>
          <w:color w:val="auto"/>
        </w:rPr>
      </w:pPr>
    </w:p>
    <w:p>
      <w:pPr>
        <w:ind w:right="3539" w:firstLine="1224"/>
        <w:spacing w:after="0" w:line="238" w:lineRule="auto"/>
        <w:tabs>
          <w:tab w:leader="none" w:pos="15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stock of Tenant, or of Celtrans LLC, a Delaware limited liability company ("CELTRANS"), or of a limited liability company whose members consist of Celtrans and Tenant ("NEW LLC") (or any permitted Transferee, including Celtrans and New LLC), if such party is a corporation whose capital stock is listed on the New York or American Stock exchanges or the NASDAQ, or any public offering of capital stock on any such exchange;</w:t>
      </w:r>
    </w:p>
    <w:p>
      <w:pPr>
        <w:spacing w:after="0" w:line="176" w:lineRule="exact"/>
        <w:rPr>
          <w:rFonts w:ascii="Courier New" w:cs="Courier New" w:eastAsia="Courier New" w:hAnsi="Courier New"/>
          <w:sz w:val="15"/>
          <w:szCs w:val="15"/>
          <w:color w:val="auto"/>
        </w:rPr>
      </w:pPr>
    </w:p>
    <w:p>
      <w:pPr>
        <w:jc w:val="both"/>
        <w:ind w:right="3259" w:firstLine="1224"/>
        <w:spacing w:after="0" w:line="237" w:lineRule="auto"/>
        <w:tabs>
          <w:tab w:leader="none" w:pos="15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financing which affects the ownership of Tenant, Celtrans or New LLC (or any permitted Transferee, including Celtrans and New LLC) due to its effect on capital stock;</w:t>
      </w:r>
    </w:p>
    <w:p>
      <w:pPr>
        <w:spacing w:after="0" w:line="174" w:lineRule="exact"/>
        <w:rPr>
          <w:rFonts w:ascii="Courier New" w:cs="Courier New" w:eastAsia="Courier New" w:hAnsi="Courier New"/>
          <w:sz w:val="15"/>
          <w:szCs w:val="15"/>
          <w:color w:val="auto"/>
        </w:rPr>
      </w:pPr>
    </w:p>
    <w:p>
      <w:pPr>
        <w:ind w:right="3259" w:firstLine="1224"/>
        <w:spacing w:after="0" w:line="259" w:lineRule="auto"/>
        <w:tabs>
          <w:tab w:leader="none" w:pos="158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of substantially all of the assets of Tenant, Celtrans or New LLC (or any permitted Transferee, including Celtrans and New LLC) where the surviving company has a net worth which is equal to or greater than that of Tenant (or the Transferee, or Celtrans or New LLC) as of the Commencement Date;</w:t>
      </w:r>
    </w:p>
    <w:p>
      <w:pPr>
        <w:spacing w:after="0" w:line="162" w:lineRule="exact"/>
        <w:rPr>
          <w:rFonts w:ascii="Courier New" w:cs="Courier New" w:eastAsia="Courier New" w:hAnsi="Courier New"/>
          <w:sz w:val="14"/>
          <w:szCs w:val="14"/>
          <w:color w:val="auto"/>
        </w:rPr>
      </w:pPr>
    </w:p>
    <w:p>
      <w:pPr>
        <w:ind w:right="3179" w:firstLine="1224"/>
        <w:spacing w:after="0" w:line="265" w:lineRule="auto"/>
        <w:tabs>
          <w:tab w:leader="none" w:pos="158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Sublease or any license or other agreement granting use of any portion of the Premises to any department or school of Stanford University;</w:t>
      </w:r>
    </w:p>
    <w:p>
      <w:pPr>
        <w:spacing w:after="0" w:line="158" w:lineRule="exact"/>
        <w:rPr>
          <w:rFonts w:ascii="Courier New" w:cs="Courier New" w:eastAsia="Courier New" w:hAnsi="Courier New"/>
          <w:sz w:val="14"/>
          <w:szCs w:val="14"/>
          <w:color w:val="auto"/>
        </w:rPr>
      </w:pPr>
    </w:p>
    <w:p>
      <w:pPr>
        <w:ind w:right="3179" w:firstLine="1224"/>
        <w:spacing w:after="0" w:line="238" w:lineRule="auto"/>
        <w:tabs>
          <w:tab w:leader="none" w:pos="15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Sublease or Assignment to Celtrans, it being the understanding of the parties that either Tenant and/or Celtrans may occupy the Premises, but only so long as the party exercising such rights is an occupant of the Premises pursuant to this Lease or a written Sublease or Assignment. In addition, Landlord agrees that Celtrans may, so long as it is a subtenant of Tenant occupying space in the Premises, cure any default by Tenant within any applicable cure period provided in this Lease, and Landlord agrees to provide written notice to Celtrans of any default by Tenant;</w:t>
      </w:r>
    </w:p>
    <w:p>
      <w:pPr>
        <w:spacing w:after="0" w:line="177" w:lineRule="exact"/>
        <w:rPr>
          <w:rFonts w:ascii="Courier New" w:cs="Courier New" w:eastAsia="Courier New" w:hAnsi="Courier New"/>
          <w:sz w:val="15"/>
          <w:szCs w:val="15"/>
          <w:color w:val="auto"/>
        </w:rPr>
      </w:pPr>
    </w:p>
    <w:p>
      <w:pPr>
        <w:ind w:right="3179" w:firstLine="1224"/>
        <w:spacing w:after="0" w:line="237" w:lineRule="auto"/>
        <w:tabs>
          <w:tab w:leader="none" w:pos="15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Sublease or Assignment to New LLC, so long as Tenant either increases the Security Deposit to the equivalent of six (6) months worth of Base Rent or provides a guaranty of Tenant's obligations under this Lease in form reasonably satisfactory to Landlord;</w:t>
      </w:r>
    </w:p>
    <w:p>
      <w:pPr>
        <w:spacing w:after="0" w:line="176" w:lineRule="exact"/>
        <w:rPr>
          <w:rFonts w:ascii="Courier New" w:cs="Courier New" w:eastAsia="Courier New" w:hAnsi="Courier New"/>
          <w:sz w:val="15"/>
          <w:szCs w:val="15"/>
          <w:color w:val="auto"/>
        </w:rPr>
      </w:pPr>
    </w:p>
    <w:p>
      <w:pPr>
        <w:ind w:right="3439" w:firstLine="1224"/>
        <w:spacing w:after="0" w:line="235" w:lineRule="auto"/>
        <w:tabs>
          <w:tab w:leader="none" w:pos="15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sublease of any portion of the Premises back to Tenant if this Lease is assigned to New LLC and</w:t>
      </w:r>
    </w:p>
    <w:p>
      <w:pPr>
        <w:spacing w:after="0" w:line="175" w:lineRule="exact"/>
        <w:rPr>
          <w:rFonts w:ascii="Courier New" w:cs="Courier New" w:eastAsia="Courier New" w:hAnsi="Courier New"/>
          <w:sz w:val="15"/>
          <w:szCs w:val="15"/>
          <w:color w:val="auto"/>
        </w:rPr>
      </w:pPr>
    </w:p>
    <w:p>
      <w:pPr>
        <w:ind w:left="1580" w:hanging="356"/>
        <w:spacing w:after="0"/>
        <w:tabs>
          <w:tab w:leader="none" w:pos="15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the member interests in New LLC between Celtrans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Tenant.</w:t>
      </w:r>
    </w:p>
    <w:p>
      <w:pPr>
        <w:spacing w:after="0" w:line="174"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14.7 ASSUMPTION OF OBLIGATIONS. Any Transferee shall, from and after the effective date of the Assignment or Sublease, assume all obligations of Tenant under this Lease with respect to the Premises or the portion subleased to such Transferee, and shall be and remain liable jointly and severally with Tenant for the payment of Rent and Additional Rent (to the extent of the space which is transferred in the case of a Sublease), and for the performance of all</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97" w:right="1440" w:bottom="1440" w:gutter="0" w:footer="0" w:header="0"/>
        </w:sectPr>
      </w:pPr>
    </w:p>
    <w:bookmarkStart w:id="132" w:name="page133"/>
    <w:bookmarkEnd w:id="132"/>
    <w:p>
      <w:pPr>
        <w:ind w:right="3259"/>
        <w:spacing w:after="0" w:line="258" w:lineRule="auto"/>
        <w:rPr>
          <w:sz w:val="20"/>
          <w:szCs w:val="20"/>
          <w:color w:val="auto"/>
        </w:rPr>
      </w:pPr>
      <w:r>
        <w:rPr>
          <w:rFonts w:ascii="Courier New" w:cs="Courier New" w:eastAsia="Courier New" w:hAnsi="Courier New"/>
          <w:sz w:val="14"/>
          <w:szCs w:val="14"/>
          <w:color w:val="auto"/>
        </w:rPr>
        <w:t>of the terms, covenants, conditions and agreements herein contained on Tenant's part to be performed for the Term. No Assignment shall be binding on Landlord unless Tenant delivers to Landlord a counterpart of the Assignment and an instrument that contains a covenant of assumption satisfactory in substance and form to Landlord, and consistent with the requirements of this Section.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DEFAULT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15.1 EVENT OF DEFAULT. The occurrence of any of the following after the expiration of any applicable grace period shall be an "EVENT OF DEFAULT" on the part of Tenant:</w:t>
      </w:r>
    </w:p>
    <w:p>
      <w:pPr>
        <w:spacing w:after="0" w:line="175" w:lineRule="exact"/>
        <w:rPr>
          <w:sz w:val="20"/>
          <w:szCs w:val="20"/>
          <w:color w:val="auto"/>
        </w:rPr>
      </w:pPr>
    </w:p>
    <w:p>
      <w:pPr>
        <w:ind w:right="3179" w:firstLine="1224"/>
        <w:spacing w:after="0" w:line="238" w:lineRule="auto"/>
        <w:tabs>
          <w:tab w:leader="none" w:pos="158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part of the Base Rent or Additional Rent, or any other sums of money that Tenant is required to pay under this Lease where such failure continues for a period of five (5) days after written notice of default from Landlord to Tenant. Landlord's notice to Tenant pursuant to this subsection shall be deemed to be the notice required under California Code of Civil Procedure Section 1161.</w:t>
      </w:r>
    </w:p>
    <w:p>
      <w:pPr>
        <w:spacing w:after="0" w:line="175" w:lineRule="exact"/>
        <w:rPr>
          <w:rFonts w:ascii="Courier New" w:cs="Courier New" w:eastAsia="Courier New" w:hAnsi="Courier New"/>
          <w:sz w:val="15"/>
          <w:szCs w:val="15"/>
          <w:color w:val="auto"/>
        </w:rPr>
      </w:pPr>
    </w:p>
    <w:p>
      <w:pPr>
        <w:ind w:right="3259" w:firstLine="1224"/>
        <w:spacing w:after="0" w:line="238" w:lineRule="auto"/>
        <w:tabs>
          <w:tab w:leader="none" w:pos="158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perform any other covenant, condition or requirement of this Lease when such failure shall continue for a period of thirty (30) days after written notice thereof from Landlord to Tenant; provided that if the nature of the default is such that more than thirty (30) days are reasonably required for its cure, then an Event of Default shall not be deemed to have occurred if Tenant shall commence such cure within said thirty (30) day period and thereafter diligently and continuously prosecute such cure to completion. Landlord's notice to Tenant pursuant to this subsection shall be deemed to be the notice required under California Code of Civil Procedure Section 1161.</w:t>
      </w:r>
    </w:p>
    <w:p>
      <w:pPr>
        <w:spacing w:after="0" w:line="173" w:lineRule="exact"/>
        <w:rPr>
          <w:rFonts w:ascii="Courier New" w:cs="Courier New" w:eastAsia="Courier New" w:hAnsi="Courier New"/>
          <w:sz w:val="15"/>
          <w:szCs w:val="15"/>
          <w:color w:val="auto"/>
        </w:rPr>
      </w:pPr>
    </w:p>
    <w:p>
      <w:pPr>
        <w:ind w:left="1580" w:hanging="356"/>
        <w:spacing w:after="0"/>
        <w:tabs>
          <w:tab w:leader="none" w:pos="15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abandonment of the Premises by Tenant.</w:t>
      </w:r>
    </w:p>
    <w:p>
      <w:pPr>
        <w:spacing w:after="0" w:line="174" w:lineRule="exact"/>
        <w:rPr>
          <w:rFonts w:ascii="Courier New" w:cs="Courier New" w:eastAsia="Courier New" w:hAnsi="Courier New"/>
          <w:sz w:val="15"/>
          <w:szCs w:val="15"/>
          <w:color w:val="auto"/>
        </w:rPr>
      </w:pPr>
    </w:p>
    <w:p>
      <w:pPr>
        <w:ind w:right="3179" w:firstLine="1224"/>
        <w:spacing w:after="0" w:line="238" w:lineRule="auto"/>
        <w:tabs>
          <w:tab w:leader="none" w:pos="158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admit in writing its inability to pay its debts generally as they become due, file a petition in bankruptcy, insolvency, reorganization, dissolution or liquidation under any law or statute of any government or any subdivision thereof either now or hereafter in effect, make an assignment for the benefit of its creditors, consent to or acquiesce in the appointment of a receiver of itself or of the whole or any substantial part of the Premises.</w:t>
      </w:r>
    </w:p>
    <w:p>
      <w:pPr>
        <w:spacing w:after="0" w:line="176" w:lineRule="exact"/>
        <w:rPr>
          <w:rFonts w:ascii="Courier New" w:cs="Courier New" w:eastAsia="Courier New" w:hAnsi="Courier New"/>
          <w:sz w:val="15"/>
          <w:szCs w:val="15"/>
          <w:color w:val="auto"/>
        </w:rPr>
      </w:pPr>
    </w:p>
    <w:p>
      <w:pPr>
        <w:ind w:right="3179" w:firstLine="1224"/>
        <w:spacing w:after="0" w:line="238" w:lineRule="auto"/>
        <w:tabs>
          <w:tab w:leader="none" w:pos="158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shall enter an order, judgment or decree appointing a receiver of Tenant or of the whole or any substantial part of the Premises and such order, judgment or decree shall not be vacated, set aside or stayed within thirty (30) days after the date of entry of such order, judgment, or decree, or a stay thereof shall be thereafter set aside.</w:t>
      </w:r>
    </w:p>
    <w:p>
      <w:pPr>
        <w:spacing w:after="0" w:line="175" w:lineRule="exact"/>
        <w:rPr>
          <w:rFonts w:ascii="Courier New" w:cs="Courier New" w:eastAsia="Courier New" w:hAnsi="Courier New"/>
          <w:sz w:val="15"/>
          <w:szCs w:val="15"/>
          <w:color w:val="auto"/>
        </w:rPr>
      </w:pPr>
    </w:p>
    <w:p>
      <w:pPr>
        <w:ind w:right="3359" w:firstLine="1224"/>
        <w:spacing w:after="0" w:line="257" w:lineRule="auto"/>
        <w:tabs>
          <w:tab w:leader="none" w:pos="158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of competent jurisdiction shall enter an order, judgment or decree approving a petition filed against Tenant under any bankruptcy, insolvency, reorganization, dissolution or liquidation law or statute of the federal or state government or any subdivision of either now or hereafter in effect, and such order, judgment or decree shall not be vacated, set aside or stayed within thirty (30) days from the date of entry of such order, judgment or decree, or a stay thereof shall be thereafter set aside.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15.2 REMEDIES. Upon the occurrence and during the continuance of an</w:t>
      </w:r>
    </w:p>
    <w:p>
      <w:pPr>
        <w:spacing w:after="0"/>
        <w:rPr>
          <w:sz w:val="20"/>
          <w:szCs w:val="20"/>
          <w:color w:val="auto"/>
        </w:rPr>
      </w:pPr>
      <w:r>
        <w:rPr>
          <w:rFonts w:ascii="Courier New" w:cs="Courier New" w:eastAsia="Courier New" w:hAnsi="Courier New"/>
          <w:sz w:val="15"/>
          <w:szCs w:val="15"/>
          <w:color w:val="auto"/>
        </w:rPr>
        <w:t>Event of Default, Landlord shall have the following rights and remedies: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97" w:right="1440" w:bottom="1440" w:gutter="0" w:footer="0" w:header="0"/>
        </w:sectPr>
      </w:pPr>
    </w:p>
    <w:bookmarkStart w:id="133" w:name="page134"/>
    <w:bookmarkEnd w:id="133"/>
    <w:p>
      <w:pPr>
        <w:ind w:right="3619" w:firstLine="1224"/>
        <w:spacing w:after="0" w:line="237" w:lineRule="auto"/>
        <w:tabs>
          <w:tab w:leader="none" w:pos="15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terminate this Lease upon written notice to Tenant, in which event Tenant shall immediately surrender possession of the Premises in accordance with Article 20.</w:t>
      </w:r>
    </w:p>
    <w:p>
      <w:pPr>
        <w:spacing w:after="0" w:line="169" w:lineRule="exact"/>
        <w:rPr>
          <w:rFonts w:ascii="Courier New" w:cs="Courier New" w:eastAsia="Courier New" w:hAnsi="Courier New"/>
          <w:sz w:val="15"/>
          <w:szCs w:val="15"/>
          <w:color w:val="auto"/>
        </w:rPr>
      </w:pPr>
    </w:p>
    <w:p>
      <w:pPr>
        <w:ind w:left="1580" w:hanging="356"/>
        <w:spacing w:after="0"/>
        <w:tabs>
          <w:tab w:leader="none" w:pos="15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bring a summary action for possession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Premises.</w:t>
      </w:r>
    </w:p>
    <w:p>
      <w:pPr>
        <w:spacing w:after="0" w:line="174" w:lineRule="exact"/>
        <w:rPr>
          <w:rFonts w:ascii="Courier New" w:cs="Courier New" w:eastAsia="Courier New" w:hAnsi="Courier New"/>
          <w:sz w:val="15"/>
          <w:szCs w:val="15"/>
          <w:color w:val="auto"/>
        </w:rPr>
      </w:pPr>
    </w:p>
    <w:p>
      <w:pPr>
        <w:ind w:right="3179" w:firstLine="1224"/>
        <w:spacing w:after="0" w:line="239" w:lineRule="auto"/>
        <w:tabs>
          <w:tab w:leader="none" w:pos="15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described in California Civil Code Section 1951.2, including without limitation the right to recover from Tenant all Rent due through the date this Lease terminates (with interest at the Interest Rate until paid), plus the present worth of the Rent payable hereunder for the balance of the Term, plus any amount necessary to compensate Landlord for the detriment proximately caused by Tenant's failure to perform its obligations under this Lease or which in the ordinary course of things would be likely to result therefrom which includes, without limitation, (i) the unamortized portion of any brokerage or real estate agent's commissions paid in connection with the execution of this Lease, (ii) any direct costs or expenses incurred by Landlord in recovering possession of the Premises, maintaining or preserving the Premises after such default, (iii) preparing the Premises for reletting to a new tenant, (iv) any repairs or alterations to the Premises for such reletting, (v) leasing commissions, architect's fees and any other costs necessary or appropriate either to relet the Premises or, if reasonably necessary in order to relet the Premises, to adapt them to another beneficial use by Landlord and (vi) such amounts in addition to or in lieu of the foregoing as may be permitted from time to time by Applicable Law to the extent that such payment would not result in a duplicative recovery.</w:t>
      </w:r>
    </w:p>
    <w:p>
      <w:pPr>
        <w:spacing w:after="0" w:line="175" w:lineRule="exact"/>
        <w:rPr>
          <w:rFonts w:ascii="Courier New" w:cs="Courier New" w:eastAsia="Courier New" w:hAnsi="Courier New"/>
          <w:sz w:val="15"/>
          <w:szCs w:val="15"/>
          <w:color w:val="auto"/>
        </w:rPr>
      </w:pPr>
    </w:p>
    <w:p>
      <w:pPr>
        <w:ind w:right="3259" w:firstLine="1224"/>
        <w:spacing w:after="0" w:line="238" w:lineRule="auto"/>
        <w:tabs>
          <w:tab w:leader="none" w:pos="15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described in California Civil Code Section 1951.4 which allow Landlord to continue this Lease in effect and to enforce all of Landlord's rights and remedies under this Lease, including the right to recover Base Rent, Additional Rent and other charges payable hereunder as they become due. Acts of maintenance or preservation, efforts to relet the Premises or the appointment of a receiver upon Landlord's initiative to protect its interest under this Lease shall not constitute a termination of Tenant's right to possession.</w:t>
      </w:r>
    </w:p>
    <w:p>
      <w:pPr>
        <w:spacing w:after="0" w:line="177" w:lineRule="exact"/>
        <w:rPr>
          <w:rFonts w:ascii="Courier New" w:cs="Courier New" w:eastAsia="Courier New" w:hAnsi="Courier New"/>
          <w:sz w:val="15"/>
          <w:szCs w:val="15"/>
          <w:color w:val="auto"/>
        </w:rPr>
      </w:pPr>
    </w:p>
    <w:p>
      <w:pPr>
        <w:ind w:right="3179" w:firstLine="1224"/>
        <w:spacing w:after="0" w:line="256" w:lineRule="auto"/>
        <w:tabs>
          <w:tab w:leader="none" w:pos="158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collect rents from all subtenants and to provide or arrange for the provision of all services and fulfill all obligations of Tenant under any permitted subleases. Landlord is hereby authorized on behalf of Tenant, but shall have absolutely no obligation, to provide such services and fulfill such obligations and to incur all such expenses and costs as Landlord deems reasonably necessary. Landlord is hereby authorized, but not obligated, to relet the Premises or any part thereof on behalf of Tenant, to incur such expenses as may be necessary to effect a relet and make said relet for such term or terms, upon such conditions and at such rental as Landlord in its reasonable discretion may deem proper. Tenant shall be liable immediately to Landlord for all reasonable costs and expenses Landlord incurs in reletting the Premises including, without limitation, brokers' commissions, expenses of remodeling the Premises required by the reletting, and the cost of collecting rents and fulfilling the obligations of Tenant to any subtenant. If Landlord relets the Premises or any portion thereof, such reletting shall not relieve Tenant of any obligation hereunder, except that Landlord shall apply the rent or other proceeds actually collected by it as a result of such reletting against any amounts due from Tenant hereunder to the extent that such rent or other proceeds compensate Landlord for the nonperformance of any obligation of Tenant hereunder. Such payments by Tenant shall be due at such times as are provided elsewhere in this Lease, and Landlord need not wait until the termination of this Lease, by expiration of the Term or</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7" w:right="1440" w:bottom="1440" w:gutter="0" w:footer="0" w:header="0"/>
        </w:sectPr>
      </w:pPr>
    </w:p>
    <w:bookmarkStart w:id="134" w:name="page135"/>
    <w:bookmarkEnd w:id="134"/>
    <w:p>
      <w:pPr>
        <w:ind w:right="3359"/>
        <w:spacing w:after="0" w:line="238" w:lineRule="auto"/>
        <w:rPr>
          <w:sz w:val="20"/>
          <w:szCs w:val="20"/>
          <w:color w:val="auto"/>
        </w:rPr>
      </w:pPr>
      <w:r>
        <w:rPr>
          <w:rFonts w:ascii="Courier New" w:cs="Courier New" w:eastAsia="Courier New" w:hAnsi="Courier New"/>
          <w:sz w:val="15"/>
          <w:szCs w:val="15"/>
          <w:color w:val="auto"/>
        </w:rPr>
        <w:t>otherwise, to recover them by legal action or in any other manner. Landlord shall not by any reentry or other act be deemed to have accepted any surrender by Tenant of the Premises or Tenant's interest therein, or be deemed to have otherwise terminated this Lease, or to have relieved Tenant of any obligation hereunder, unless Landlord shall have given Tenant express written notice of Landlord's election to do so as set forth herein.</w:t>
      </w:r>
    </w:p>
    <w:p>
      <w:pPr>
        <w:spacing w:after="0" w:line="176" w:lineRule="exact"/>
        <w:rPr>
          <w:sz w:val="20"/>
          <w:szCs w:val="20"/>
          <w:color w:val="auto"/>
        </w:rPr>
      </w:pPr>
    </w:p>
    <w:p>
      <w:pPr>
        <w:ind w:right="3179" w:firstLine="1224"/>
        <w:spacing w:after="0" w:line="237" w:lineRule="auto"/>
        <w:tabs>
          <w:tab w:leader="none" w:pos="158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enjoin, and any other remedy or right now or hereafter available to a Landlord against a defaulting tenant under the laws of the State of California or the equitable powers of its courts, and not otherwise specifically reserved herein.</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15.3 CUMULATIVE REMEDIES. The various rights and remedies reserved to Landlord, including those not specifically described herein, shall, to the extent that the exercise of such right and/or remedy does not result in a duplicative recovery, be cumulative and shall be in addition to every other right or remedy provided for in this Lease or now or hereafter existing at law or in equity and the exercise of the rights or remedies provided for in this Lease or now or hereafter existing at law or in equity shall not preclude the simultaneous or later exercise by Landlord of any or all other rights and remedies.</w:t>
      </w:r>
    </w:p>
    <w:p>
      <w:pPr>
        <w:spacing w:after="0" w:line="179"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15.4 LANDLORD'S RIGHT TO CURE. If Tenant shall fail or neglect to do or perform any covenant or condition required under this Lease and such failure shall not be cured within any applicable grace period, Landlord may, on five (5) days notice to Tenant, but shall not be required to, make any payment payable by Tenant hereunder, discharge any lien, take out, pay for and maintain any insurance required hereunder, or do or perform or cause to be done or performed any such other act or thing (entering upon the Premises for such purposes, if Landlord shall so elect), and Landlord shall not be or be held liable or in any way responsible for any loss, disturbance, inconvenience, annoyance or damage resulting to Tenant on account thereof. Tenant shall repay to Landlord upon demand the entire out-of-pocket cost and expense incurred by Landlord in connection with the cure, including, without limitation, compensation to the agents, consultants and contractors of Landlord and reasonable attorneys' fees and expenses. Landlord may act upon shorter notice or no notice at all if necessary in Landlord's reasonable judgment to meet an emergency situation or governmental or municipal time limitation or to protect Landlord's interest in the Premises. Landlord shall not be required to inquire into the correctness of the amount of validity or any tax or lien that may be paid by Landlord and Landlord shall be duly protected in paying the amount of any such tax or lien claimed and in such event Landlord also shall have the full authority, in Landlord's sole judgment and discretion and without prior notice to or approval by Tenant, to settle or compromise any such lien or tax. Any act or thing done by Landlord pursuant to the provisions of this Section shall not be or be construed as a waiver of any such failure by Tenant, or as a waiver of any term, covenant, agreement or condition herein contained or of the performance thereof.</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15.5 LANDLORD'S DEFAULT. Landlord shall be in default under this Lease if Landlord fails to perform obligations required of Landlord within thirty (30) days after written notice by Tenant to Landlord and to the holder of any first mortgage or deed of trust covering the Premises whose name and address shall have heretofore been furnished to Tenant in writing, specifying wherein Landlord has failed to perform such obligations; provided, however, that if the nature of Landlord's obligations is such that more than thirty (30) days are required for performance, then Landlord shall not be in default if Landlord commences performance within such thirty (30) day period and thereafter diligently prosecutes the same to completion. Tenant</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7" w:right="1440" w:bottom="1440" w:gutter="0" w:footer="0" w:header="0"/>
        </w:sectPr>
      </w:pPr>
    </w:p>
    <w:bookmarkStart w:id="135" w:name="page136"/>
    <w:bookmarkEnd w:id="135"/>
    <w:p>
      <w:pPr>
        <w:ind w:right="3179"/>
        <w:spacing w:after="0" w:line="237" w:lineRule="auto"/>
        <w:rPr>
          <w:sz w:val="20"/>
          <w:szCs w:val="20"/>
          <w:color w:val="auto"/>
        </w:rPr>
      </w:pPr>
      <w:r>
        <w:rPr>
          <w:rFonts w:ascii="Courier New" w:cs="Courier New" w:eastAsia="Courier New" w:hAnsi="Courier New"/>
          <w:sz w:val="15"/>
          <w:szCs w:val="15"/>
          <w:color w:val="auto"/>
        </w:rPr>
        <w:t>shall be entitled to actual (but not consequential) damages in the event of an uncured default by Landlord, but the provisions of Article 17 shall apply to any Landlord default.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LANDLORD'S RESERVED RIGHTS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16.1 CONTROL OF COMMON AREA. Landlord reserves the right, at any time and from time to time, to make alterations, additions, repairs or improvements to all or any part of the Building (including the Building Structure and Building Systems), the Common Area and the Property. As long as there is no material reduction in the amenities offered in the Common Area, Landlord may make changes at any time and from time to time in the size, shape, location, use and extent of the Common Area, and no such change shall entitle Tenant to any abatement of rent or damages. Landlord shall at all times during the Term have the sole and exclusive control of the Building Structure and the Common Area, and may at any time and from time to time during the Term restrain any use or occupancy of the Common Area except as authorized by the Rules and Regulations. Landlord may temporarily close any portion of the Common Area for repairs or alterations, to prevent a dedication or the accrual of prescriptive rights, or for any other reason deemed sufficient by Landlord; provided, however, that Landlord shall use reasonable efforts not to materially adversely affect Tenant's use of the Premises. Tenant's rights in and to the Common Area shall at all times be subject to the rights of Landlord and Tenant shall keep the Common Area free and clear of any obstructions created or permitted by Tenant or resulting from Tenant's operations.</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16.2 ACCESS. Landlord reserves (for itself and its agents, consultants, contractors and employees) the right to enter the Premises at all reasonable times and, except in cases of emergency, after giving Tenant at least twenty-four (24) hours prior telephonic notice, to inspect the Premises, to supply any service to be provided by Landlord hereunder, to show the Premises to prospective purchasers, mortgagees or tenants (during the last six (6) months of the Term), to post notices of nonresponsibility, and to alter, improve or repair the Premises and any portion of the Building, without abatement of Rent, and may for that purpose erect, use and maintain necessary structures in and through the Premises and the Building where reasonably required by the character of the work to be performed. Tenant hereby waives any claim for damages for any injury or inconvenience to or interference with Tenant's business, any loss of occupancy or quiet enjoyment of the Premises or any other loss occasioned thereby which results from Landlord's actions done in accordance with this Section. All locks for all of the doors in, upon and about the Premises, excluding Tenant's vaults and safes or special security areas (designated in advance in writing by Tenant) shall at all times be keyed to the Building master system and Landlord shall at all times have and retain a key with which to unlock all of said doors. Landlord shall have the right to use any and all means that Landlord may deem necessary or proper to open said doors in an emergency in order to obtain entry to any portion of the Premises, and any entry to the Premises or portions thereof obtained by Landlord by any of said means, or otherwise, shall not under any circumstances be construed or deemed to be a forcible or unlawful entry into, or a detainer of, the Premises, or an eviction, actual or constructive, of Tenant from the Premises or any portion thereof.</w:t>
      </w:r>
    </w:p>
    <w:p>
      <w:pPr>
        <w:spacing w:after="0" w:line="347"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16.3 EASEMENTS. Landlord reserves the right to grant or relocate all easements and rights of way which Landlord in its sole discretion may deem necessary or appropriate.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16.4 USE OF ADDITIONAL AREAS. Landlord reserves the exclusive right to use any air space above the Building and the Property, the roof and exterior walls of the Building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7" w:right="1440" w:bottom="1440" w:gutter="0" w:footer="0" w:header="0"/>
        </w:sectPr>
      </w:pPr>
    </w:p>
    <w:bookmarkStart w:id="136" w:name="page137"/>
    <w:bookmarkEnd w:id="136"/>
    <w:p>
      <w:pPr>
        <w:ind w:left="10" w:right="3359"/>
        <w:spacing w:after="0" w:line="235" w:lineRule="auto"/>
        <w:rPr>
          <w:sz w:val="20"/>
          <w:szCs w:val="20"/>
          <w:color w:val="auto"/>
        </w:rPr>
      </w:pPr>
      <w:r>
        <w:rPr>
          <w:rFonts w:ascii="Courier New" w:cs="Courier New" w:eastAsia="Courier New" w:hAnsi="Courier New"/>
          <w:sz w:val="15"/>
          <w:szCs w:val="15"/>
          <w:color w:val="auto"/>
        </w:rPr>
        <w:t>and the land beneath the Building; provided that such use shall not materially impede Tenant's use of and access to the Premises.</w:t>
      </w:r>
    </w:p>
    <w:p>
      <w:pPr>
        <w:spacing w:after="0" w:line="176"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16.5 SUBORDINATION. Landlord represents to Tenant that there are currently no loans, mortgages, deeds of trust or ground leases affecting the Property. Without the necessity of any additional documentation, except as set forth below, this Lease shall be subject and subordinate at all times to: (a) all reciprocal easement agreements, and any ground leases or underlying leases which may hereafter be executed affecting any or all of the Building, and (b) the lien of any mortgage or deed of trust which may hereafter be executed in any amount for which the Building, or any ground leases or underlying leases, or Landlord's interest or estate in any of said items, is specified as security. Notwithstanding the foregoing, Landlord shall have the right to subordinate or cause to be subordinated to this Lease any of the items referred to in clause</w:t>
      </w:r>
    </w:p>
    <w:p>
      <w:pPr>
        <w:spacing w:after="0" w:line="4" w:lineRule="exact"/>
        <w:rPr>
          <w:sz w:val="20"/>
          <w:szCs w:val="20"/>
          <w:color w:val="auto"/>
        </w:rPr>
      </w:pPr>
    </w:p>
    <w:p>
      <w:pPr>
        <w:ind w:left="10" w:right="3179" w:hanging="10"/>
        <w:spacing w:after="0" w:line="239" w:lineRule="auto"/>
        <w:tabs>
          <w:tab w:leader="none" w:pos="36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above, subject to compliance with the condition precedent set forth below. In the event that any ground lease or underlying lease terminates for any reason or any mortgage or deed of trust is foreclosed or a conveyance in lieu of foreclosure is made for any reason, (i) no person or entity which as a result of the foregoing succeeds to the interest of Landlord under this Lease, (a "SUCCESSOR") shall be liable for any default by Landlord or any other matter that occurred prior to the date the Successor succeeded to Landlord's interest in this Lease, and (ii) Tenant shall, notwithstanding any subordination, attorn to and become the tenant of the Successor. Tenant covenants and agrees, however, to execute and deliver, upon demand by Landlord and in the form reasonably requested by Landlord, any additional documents evidencing the priority or subordination of this Lease with respect to any such ground leases, underlying leases, reciprocal easement agreements or similar documents or instruments, or with respect to the lien of any such mortgage or deed of trust and Tenant's failure to execute and deliver any such document within ten (10) business days after such demand by Landlord shall constitute an Event of Default without further notice. Landlord shall obtain the written agreement of the mortgagee or trustee named in any mortgage, deed of trust or other encumbrance that so long as an Event of Default by Tenant is not in existence, neither this Lease nor any of Tenant's rights hereunder shall be terminated or modified, nor shall Tenant's possession of the Premises be disturbed or interfered with, by any trustee's sale or by an action or proceeding to foreclose said mortgage, deed of trust or other encumbrance.</w:t>
      </w:r>
    </w:p>
    <w:p>
      <w:pPr>
        <w:spacing w:after="0" w:line="170"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LANDLORD'S LIABILITY</w:t>
      </w:r>
    </w:p>
    <w:p>
      <w:pPr>
        <w:spacing w:after="0" w:line="175"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17.1 LIMITATION. Landlord shall not be responsible for or liable to Tenant and Tenant hereby releases Landlord, waives all claims against Landlord and assumes the risk for any injury, loss or damage to any person or property in or about the Premises, the Building or the Property by or from any cause whatsoever (other than Landlord's gross negligence or willful misconduct) including, without limitation, (a) acts or omissions of persons occupying adjoining premises, (b) theft or vandalism, (c) burst, stopped or leaking water, gas, sewer or steam pipes, (d) loss of utility service, (e) accident, fire or casualty, (f) nuisance, and (g) work done by Landlord in the Building or the Common Area. There shall be no abatement of Rent and no liability of Landlord by reason of any injury to or interference with Tenant's business arising from the making of any repairs, alterations or improvements to any portion of the Building or to fixtures, appurtenances and equipment therein; provided, however, that in the event Landlord's repair, alterations or improvements are performed in a negligent manner which results in Tenant being unable to operate its business at the Premises for a period of more than five (5) days, then Tenant shall be entitled to an abatement of Rent commencing on the sixth business day Tenant is unable to operate and continuing until the Premises are again available for operation of Tenant's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797" w:right="1440" w:bottom="1440" w:gutter="0" w:footer="0" w:header="0"/>
        </w:sectPr>
      </w:pPr>
    </w:p>
    <w:bookmarkStart w:id="137" w:name="page138"/>
    <w:bookmarkEnd w:id="137"/>
    <w:p>
      <w:pPr>
        <w:ind w:right="3259"/>
        <w:spacing w:after="0" w:line="257" w:lineRule="auto"/>
        <w:rPr>
          <w:sz w:val="20"/>
          <w:szCs w:val="20"/>
          <w:color w:val="auto"/>
        </w:rPr>
      </w:pPr>
      <w:r>
        <w:rPr>
          <w:rFonts w:ascii="Courier New" w:cs="Courier New" w:eastAsia="Courier New" w:hAnsi="Courier New"/>
          <w:sz w:val="14"/>
          <w:szCs w:val="14"/>
          <w:color w:val="auto"/>
        </w:rPr>
        <w:t>business. Such Rent abatement shall be Tenant's only remedy in the event of a negligent interference with Tenant's business and Tenant shall not be entitled to damages or to termination of this Lease arising from Landlord's repairs, alterations or improvements. No interference with Tenant's operations in the Premises shall constitute a constructive or other eviction if Tenant. Tenant hereby waives and releases any right it may have to make repairs at Landlord's expense under Sections 1941 and 1942 of the California Civil Code, or under any similar law, statute or ordinance now or hereafter in effect.</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17.2 SALE OF PROPERTY. It is agreed that Landlord may at any time sell, assign or transfer its interest as landlord in and to this Lease, and may at any time sell, assign or transfer its interest in and to the Property. In the event of any transfer of Landlord's interest in the Property, the transferor shall be automatically relieved of any and all of Landlord's obligations and liabilities accruing from and after the date of such transfer; provided that the transferee assumes all of Landlord's obligations under this Lease. Tenant hereby agrees to attorn to Landlord's assignee, transferee, or purchaser from and after the date of notice to Tenant of such assignment, transfer or sale, in the same manner and with the same force and effect as though this Lease were made in the first instance by and between Tenant and the assignee, transferee or purchaser.</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17.3 NO PERSONAL LIABILITY. In the event of any default by Landlord hereunder, Tenant shall look only to Landlord's interest in the Property and rents therefrom and any available insurance proceeds for the satisfaction of Tenant's remedies, and no other property or assets of Landlord or any trustee, partner, member, officer or director thereof, disclosed or undisclosed, shall be subject to levy, execution or other enforcement procedure for the satisfaction of Tenant's remedies under or with respect to this Lease.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DESTRUCTION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18.1 LANDLORD'S REPAIR OBLIGATION. If the Premises or the Building or any portion thereof (whether or not the Premises are affected) are damaged by fire or other casualty, Landlord shall repair the same (not including any Tenant Alterations); provided that (a) such repairs can be made under the laws and regulations of the federal, state and local governmental authorities having jurisdiction within twelve (12) months after the date of such damage (or in the case of damage occurring during the last twenty-four (24) months of the Term, provided that such repairs can be made within ninety (90) days after the date of such damage), (b) such repairs are fully covered (except for any deductible) by the proceeds of insurance maintained or required to be maintained by Landlord, and (c) the damage does not affect more than fifty percent (50%) of the assessed value of the Building.</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18.2 NOTICE. Landlord shall notify Tenant within sixty (60) days after the date of damage whether or not the requirements for reconstruction and repair described in Section 18.1 are met. If such requirements are not met, Landlord shall have the option, exercisable within sixty (60) days after the date of such damage either to: (a) notify Tenant of Landlord's intention to repair such damage, in which event this Lease shall continue in full force and effect (unless terminated by Tenant pursuant to Section 18.3 below), or (b) notify Tenant of Landlord's election to terminate this Lease as of the date of the damage. If such notice to terminate is given by Landlord, this Lease shall terminate as of the date of such damage. If within fifteen (15) days after receipt of a notice from Landlord electing to terminate this Lease because of the unavailability of insurance proceeds, Tenant sends Landlord a notice electing to reimburse</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97" w:right="1440" w:bottom="1440" w:gutter="0" w:footer="0" w:header="0"/>
        </w:sectPr>
      </w:pPr>
    </w:p>
    <w:bookmarkStart w:id="138" w:name="page139"/>
    <w:bookmarkEnd w:id="138"/>
    <w:p>
      <w:pPr>
        <w:ind w:right="3359"/>
        <w:spacing w:after="0" w:line="237" w:lineRule="auto"/>
        <w:rPr>
          <w:sz w:val="20"/>
          <w:szCs w:val="20"/>
          <w:color w:val="auto"/>
        </w:rPr>
      </w:pPr>
      <w:r>
        <w:rPr>
          <w:rFonts w:ascii="Courier New" w:cs="Courier New" w:eastAsia="Courier New" w:hAnsi="Courier New"/>
          <w:sz w:val="15"/>
          <w:szCs w:val="15"/>
          <w:color w:val="auto"/>
        </w:rPr>
        <w:t>Landlord for the cost of such repairs in excess of five percent (5%) of the replacement cost of the Building, this Lease shall not terminate, and Landlord shall complete such repairs.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18.3 TERMINATION BY TENANT. If Landlord elects to repair or is required to repair the damage and any such repair is not commenced by Landlord within one hundred twenty (120) days after the occurrence of such damage or destruction or is not or cannot practicably be substantially completed by Landlord within twelve (12) months after the occurrence of such damage or destruction (or in the case of damage occurring in the last twelve (12) months of the Term, within ninety (90) days), then in either such event Tenant may, at its option, upon written notice to Landlord to be delivered after the expiration of the 120-day commencement period (so long as repairs have not actually commenced), elect to terminate this Lease as of the date of the occurrence of such damage or destruction.</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18.4 RENT ADJUSTMENT. In case of termination pursuant to Sections 18.2 or 18.3 above, the Base Rent and Operating Expenses shall be reduced by a proportionate amount based upon the extent to which such damage interfered with the business carried on by Tenant in the Premises, and Tenant shall pay such reduced Base Rent and Operating Expenses up to the date of termination. If Landlord is required or elects to make repairs, this Lease shall remain in full force and effect except that Tenant shall be entitled to a proportionate reduction of Base Rent and Operating Expenses from the date of such casualty and during the period such repairs are being made by a proportionate amount based upon the extent of interference with Tenant's operations in the Premises. The full amount of Base Rent and Operating Expenses shall again become payable immediately upon the completion of such work of repair, reconstruction or restoration. Landlord shall restore the improvements which were in the Premises as of the Commencement Date, but shall not be required to repair any casualty damage to Tenant's Property or any Alterations.</w:t>
      </w:r>
    </w:p>
    <w:p>
      <w:pPr>
        <w:spacing w:after="0" w:line="18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18.5 TENANT OBLIGATIONS. If Landlord elects or is required to repair, reconstruct or restore the Premises after any damage or destruction, Tenant shall be responsible at its own expense for the repair and replacement of Tenant's Property and any Alterations which Tenant elects to replace. Tenant hereby waives the provisions of any statute or law that may be in effect at the time of the occurrence of any such damage or destruction, under which a lease is automatically terminated or a tenant is given the right to terminate a lease upon such an occurrence.</w:t>
      </w:r>
    </w:p>
    <w:p>
      <w:pPr>
        <w:spacing w:after="0" w:line="178"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18.6 NO CLAIM. Tenant shall have no interest in or claim to any portion of the proceeds of any insurance or self-insurance maintained by Landlord. If Landlord is entitled and elects not to rebuild the Premises, Landlord shall relinquish to Tenant such claim as Landlord may have for any part of the proceeds of any insurance maintained by Tenant under Section 13.2 of this Lease.</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18.7 NO DAMAGES. If Landlord is required or elects to make any repairs, reconstruction or restoration of any damage or destruction to the Premises under any of the provisions of this Article 18, Tenant shall not be entitled to any damages by reason of any inconvenience or loss sustained by Tenant as a result thereof. Except as expressly provided in Section 18.4, there shall be no reduction, change or abatement of any rental or other charge payable by Tenant to Landlord hereunder, or in the method of computing, accounting for or paying the same. Tenant hereby waives the provisions of Section 1932(2) and Section 1933(4) of the California Civil Code, or any other statute or law that may be in effect at the time of a</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797" w:right="1440" w:bottom="1440" w:gutter="0" w:footer="0" w:header="0"/>
        </w:sectPr>
      </w:pPr>
    </w:p>
    <w:bookmarkStart w:id="139" w:name="page140"/>
    <w:bookmarkEnd w:id="139"/>
    <w:p>
      <w:pPr>
        <w:ind w:right="3439"/>
        <w:spacing w:after="0" w:line="235" w:lineRule="auto"/>
        <w:rPr>
          <w:sz w:val="20"/>
          <w:szCs w:val="20"/>
          <w:color w:val="auto"/>
        </w:rPr>
      </w:pPr>
      <w:r>
        <w:rPr>
          <w:rFonts w:ascii="Courier New" w:cs="Courier New" w:eastAsia="Courier New" w:hAnsi="Courier New"/>
          <w:sz w:val="15"/>
          <w:szCs w:val="15"/>
          <w:color w:val="auto"/>
        </w:rPr>
        <w:t>casualty under which a lease is automatically terminated or a tenant is given the right to terminate a lease due to a casualty.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 EMINENT DOMAIN</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19.1 TAKING. If all or any part of the Premises shall be taken as a result of the exercise of the power of eminent domain or any transfer in lieu thereof, this Lease shall terminate as to the part so taken as of the date of taking or as of the date of final judgment, whichever is earlier, and, in the case of a partial taking of the Premises, either Landlord or Tenant shall have the right to terminate this Lease as to the balance of the Premises by written notice to the other within thirty (30) days after such date, provided, however, that a condition to the exercise by Tenant of such right to terminate shall be that the portion of the Premises taken shall be of such extent and nature as substantially to handicap, impede or impair Tenant's use of the balance of the Premises. If any material part of the Common Area shall be taken as a result of the exercise of the power of eminent domain or any transfer in lieu thereof, whether or not the Premises are affected, Landlord shall have the right to terminate this Lease by written notice to Tenant within thirty (30) days of the date of taking. If any material part of the Common Area shall be taken as a result of the exercise of the power of eminent domain or any transfer in lieu thereof, such that Tenant's access to or use of the Premises is materially adversely affected, Tenant shall have the right to terminate this Lease by written notice to Landlord within thirty (30) days of the date of taking.</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19.2 AWARD. In the event of any taking, Landlord shall be entitled to any and all compensation, damages, income, rent, awards, or any interest therein whatsoever which may be paid or made in connection therewith, and Tenant shall assign to Landlord any right to compensation or damages for the condemnation of its leasehold interest; provided that Tenant may file a claim for (a) Tenant's relocation expenses, and (b) the taking of Tenant's Property.</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19.3 PARTIAL TAKING. In the event of a partial taking of the Premises which does not result in a termination of this Lease, the Base Rent and Operating Expenses shall be adjusted as follows:</w:t>
      </w:r>
    </w:p>
    <w:p>
      <w:pPr>
        <w:spacing w:after="0" w:line="175" w:lineRule="exact"/>
        <w:rPr>
          <w:sz w:val="20"/>
          <w:szCs w:val="20"/>
          <w:color w:val="auto"/>
        </w:rPr>
      </w:pPr>
    </w:p>
    <w:p>
      <w:pPr>
        <w:ind w:right="3359" w:firstLine="1224"/>
        <w:spacing w:after="0" w:line="237" w:lineRule="auto"/>
        <w:tabs>
          <w:tab w:leader="none" w:pos="15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between the date of the partial taking and the completion of any necessary repairs, reconstruction or restoration, Tenant shall be entitled to a reduction of Base Rent and Operating Expenses by a proportionate amount based upon the extent of interference with Tenant's operations in the Premises; and</w:t>
      </w:r>
    </w:p>
    <w:p>
      <w:pPr>
        <w:spacing w:after="0" w:line="178" w:lineRule="exact"/>
        <w:rPr>
          <w:rFonts w:ascii="Courier New" w:cs="Courier New" w:eastAsia="Courier New" w:hAnsi="Courier New"/>
          <w:sz w:val="15"/>
          <w:szCs w:val="15"/>
          <w:color w:val="auto"/>
        </w:rPr>
      </w:pPr>
    </w:p>
    <w:p>
      <w:pPr>
        <w:ind w:right="3179" w:firstLine="1224"/>
        <w:spacing w:after="0" w:line="237" w:lineRule="auto"/>
        <w:tabs>
          <w:tab w:leader="none" w:pos="15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said repairs, reconstruction or restoration, and thereafter throughout the remainder of the Term, the Base Rent and Operating Expenses shall be recalculated based on the remaining total number of square feet of Rentable Area of the Premises.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19.4 TEMPORARY TAKING. Notwithstanding any other provision of this Article, if a taking occurs with respect to all or any portion of the Premises for a period of twelve (12) months or less, this Lease shall remain unaffected thereby and Tenant shall continue to pay Base Rent and Additional Rent and to perform all of the terms, conditions and covenants of this Lease, provided that Tenant shall have the right to terminate this Lease if the taking continues beyond twelve (12) months. In the event of any such temporary taking, and if this Lease is not terminated, Tenant shall be entitled to receive that portion of any award which represents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797" w:right="1440" w:bottom="1440" w:gutter="0" w:footer="0" w:header="0"/>
        </w:sectPr>
      </w:pPr>
    </w:p>
    <w:bookmarkStart w:id="140" w:name="page141"/>
    <w:bookmarkEnd w:id="140"/>
    <w:p>
      <w:pPr>
        <w:ind w:right="3259"/>
        <w:spacing w:after="0" w:line="237" w:lineRule="auto"/>
        <w:rPr>
          <w:sz w:val="20"/>
          <w:szCs w:val="20"/>
          <w:color w:val="auto"/>
        </w:rPr>
      </w:pPr>
      <w:r>
        <w:rPr>
          <w:rFonts w:ascii="Courier New" w:cs="Courier New" w:eastAsia="Courier New" w:hAnsi="Courier New"/>
          <w:sz w:val="15"/>
          <w:szCs w:val="15"/>
          <w:color w:val="auto"/>
        </w:rPr>
        <w:t>compensation for the use or occupancy of the Premises during the Term up to the total Base Rent and Additional Rent owing by Tenant for the period of the taking, and Landlord shall be entitled to receive the balance of any award.</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19.5 SALE IN LIEU OF CONDEMNATION. A voluntary sale by Landlord of all or any part of the Building or the Common Area to any public or quasi-public body, agency or person, corporate or otherwise, having the power of eminent domain, either under threat of condemnation or while condemnation proceedings are pending, shall be deemed to be a taking under the power of eminent domain for the purposes of this Article.</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19.6 WAIVER. Except as provided in this Article, Tenant hereby waives and releases any right it may have under any Applicable Law to terminate this Lease as a result of a taking, including without limitation Sections 1265.120 and 1265.130 of the California Code of Civil Procedure, or any similar law, statute or ordinance now or hereafter in effect.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 SURRENDER</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20.1 SURRENDER. Upon the Termination Date, Tenant shall surrender the Premises to Landlord in good order and repair, reasonable wear and tear and damage by casualty excepted, free and clear of all letting and occupancies and free of Hazardous Materials as required pursuant to Section 12.9. Subject to Article 9, upon any termination of this Lease, all improvements, except for Tenant's Property, shall automatically and without further act by Landlord or Tenant, become the property of Landlord, free and clear of any claim or interest therein by Tenant, and without payment therefore by Landlord.</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20.2 HOLDING OVER. Any holding over after the expiration of the Term with the consent of Landlord shall be construed to automatically extend the Term on a month-to-month basis at a Base Rent equal to the greater of (a) one hundred fifty percent (150%) of the then-current Base Rent, and (b) prevailing rate at which Landlord is then offering space in buildings reasonably determined by Landlord to be comparable to the Building, in either case together with an amount estimated by Landlord as Tenant's Share of Operating Expenses payable under this Lease, and shall otherwise be on the terms and conditions of this Lease to the extent applicable. Any holding over without Landlord's consent shall entitle Landlord to exercise any or all of its remedies provided in Article 15, notwithstanding that Landlord may elect to accept one or more payments of Base Rent and Operating Expenses from Tenant.</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20.3 QUITCLAIM. At the expiration or earlier termination of this Lease, Tenant shall execute, acknowledge and deliver to Landlord, within ten (10) days after written demand from Landlord to Tenant, any quitclaim deed or other document required by any reputable title company, licensed to operate in the State of California, to remove the cloud or encumbrance created by this Lease from the Property.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 FINANCIAL STATEMENTS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Tenant shall tender to Landlord within ten (10) business days after receipt of a written request any information reasonably requested by Landlord regarding the financial stability, credit worthiness or ability of Tenant to pay the Rent due under this Lease. Landlord shall be entitled to rely upon the information provided in determining whether or not to enter into this Lease or for the purpose of any financing or other transaction subsequently undertaken by Landlord. Tenant hereby represents and warrants to Landlord the following: (a) that all documents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797" w:right="1440" w:bottom="1440" w:gutter="0" w:footer="0" w:header="0"/>
        </w:sectPr>
      </w:pPr>
    </w:p>
    <w:bookmarkStart w:id="141" w:name="page142"/>
    <w:bookmarkEnd w:id="141"/>
    <w:p>
      <w:pPr>
        <w:ind w:left="10" w:right="3259"/>
        <w:spacing w:after="0" w:line="256" w:lineRule="auto"/>
        <w:rPr>
          <w:sz w:val="20"/>
          <w:szCs w:val="20"/>
          <w:color w:val="auto"/>
        </w:rPr>
      </w:pPr>
      <w:r>
        <w:rPr>
          <w:rFonts w:ascii="Courier New" w:cs="Courier New" w:eastAsia="Courier New" w:hAnsi="Courier New"/>
          <w:sz w:val="14"/>
          <w:szCs w:val="14"/>
          <w:color w:val="auto"/>
        </w:rPr>
        <w:t>provided by Tenant to Landlord in connection with the negotiation of this Lease are true and correct copies of the originals, (b) Tenant has not withheld any information from Landlord that is material to Tenant's credit worthiness, financial condition or ability to perform its obligations hereunder, (c) all information supplied by Tenant to Landlord is true, correct and accurate, and</w:t>
      </w:r>
    </w:p>
    <w:p>
      <w:pPr>
        <w:spacing w:after="0" w:line="2" w:lineRule="exact"/>
        <w:rPr>
          <w:sz w:val="20"/>
          <w:szCs w:val="20"/>
          <w:color w:val="auto"/>
        </w:rPr>
      </w:pPr>
    </w:p>
    <w:p>
      <w:pPr>
        <w:ind w:left="10" w:right="3179" w:hanging="10"/>
        <w:spacing w:after="0" w:line="237" w:lineRule="auto"/>
        <w:tabs>
          <w:tab w:leader="none" w:pos="36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 of the information supplied by Tenant to Landlord contains any misleading or fraudulent statements. A default under this Article shall be a non-curable default by Tenant and Landlord shall be entitled to pursue any right or remedy available to Landlord under the terms of this Lease or available to Landlord under the laws of the State of California.</w:t>
      </w:r>
    </w:p>
    <w:p>
      <w:pPr>
        <w:spacing w:after="0" w:line="172"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CERTIFICATES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Tenant, at any time and from time to time within ten (10) business days after receipt of written notice from Landlord, shall execute, acknowledge and deliver to Landlord or to any party reasonably designated by Landlord, a certificate of Tenant stating, to the best of Tenant's knowledge: (a) that Tenant has accepted the Premises, (b) the Commencement Date and Expiration Date of this Lease, (c) that this Lease is unmodified and in full force and effect (or, if there have been modifications, that same is in full force and effect as modified and stating the modifications), (d) whether or not there are then existing any defenses against the enforcement of any of the obligations of Tenant under this Lease (and, if so, specifying same), (e) whether or not there are then existing any defaults by Landlord in the performance of its obligations under this Lease (and, if so, specifying same), (f) the dates, if any, to which the Base Rent and Operating Expenses have been paid, and (g) any other factual information relating to the rights and obligations under this Lease that may reasonably be required by any of such persons. Failure to deliver such certificate shall constitute an Event of Default. At the request of Tenant, Landlord shall execute, acknowledge and deliver to Tenant a certificate with similar types of information and in the time period set forth above. Failure by either Landlord or Tenant to execute, acknowledge and deliver such certificate shall be conclusive evidence that this Lease is in full force and effect and has not been modified except as may be represented by the requesting party.</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23. RULES AND REGULATIONS</w:t>
      </w:r>
    </w:p>
    <w:p>
      <w:pPr>
        <w:spacing w:after="0" w:line="175"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23.1 RULES AND REGULATIONS. Tenant shall faithfully observe and comply with any rules and regulations, if any, from time to time put into effect by Landlord (the "RULES AND REGULATIONS"), and with all reasonable modifications thereof and additions thereto . Landlord shall not enforce any Rules and Regulations in an unreasonable or discriminatory manner. In the event of any conflict between the terms of this Lease and the terms, covenants, agreements and conditions of any Rules and Regulations, this Lease shall control.</w:t>
      </w:r>
    </w:p>
    <w:p>
      <w:pPr>
        <w:spacing w:after="0" w:line="167"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23.2 SIGNS. Without Landlord's written consent, which may be given or withheld in Landlord's sole discretion, Tenant shall not place or permit to be placed on the front of the Premises any sign, picture, advertisement, name, notice, marquee or awning; provided that upon Landlord's reasonable approval, Tenant shall have the right to place a sign on or adjacent to the entrance doors to Tenant's Premises identifying Tenant. Landlord hereby reserves the exclusive right to the exterior side walls, rear walls and roof of the Premises.</w:t>
      </w:r>
    </w:p>
    <w:p>
      <w:pPr>
        <w:spacing w:after="0" w:line="16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24. INABILITY TO PERFORM</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If Landlord is unable to fulfill, or is delayed in fulfilling, any of Landlord's obligations under this Lease, by reason of acts of God, accidents, breakage, repairs, strikes, lockouts, other</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797" w:right="1440" w:bottom="1440" w:gutter="0" w:footer="0" w:header="0"/>
        </w:sectPr>
      </w:pPr>
    </w:p>
    <w:bookmarkStart w:id="142" w:name="page143"/>
    <w:bookmarkEnd w:id="142"/>
    <w:p>
      <w:pPr>
        <w:ind w:left="10" w:right="3179"/>
        <w:spacing w:after="0" w:line="239" w:lineRule="auto"/>
        <w:rPr>
          <w:sz w:val="20"/>
          <w:szCs w:val="20"/>
          <w:color w:val="auto"/>
        </w:rPr>
      </w:pPr>
      <w:r>
        <w:rPr>
          <w:rFonts w:ascii="Courier New" w:cs="Courier New" w:eastAsia="Courier New" w:hAnsi="Courier New"/>
          <w:sz w:val="15"/>
          <w:szCs w:val="15"/>
          <w:color w:val="auto"/>
        </w:rPr>
        <w:t>labor disputes, inability to obtain utilities or materials or by any other reason beyond Landlord's reasonable control, then no such inability or delay by Landlord shall constitute an actual or constructive eviction, in whole or in part, or entitle Tenant to any abatement or diminution of Base Rent or Additional Rent, or relieve Tenant from any of its obligations under this Lease, or impose any liability upon Landlord, or Landlord's Agents by reason of inconvenience, annoyance, interruption, injury or loss to or interference with Tenant's business or use and occupancy or quiet enjoyment of the Premises or any loss or damage occasioned thereby. If Tenant is unable to fulfill, or is delayed in fulfilling, any of Tenant's obligations under this Lease (other than the payment of Rent), by reason of acts of God, accidents, breakage, repairs, strikes, lockouts, other labor disputes, inability to obtain utilities or materials or by any other reason beyond Tenant's reasonable control, then such inability or delay by Tenant shall excuse the performance of Tenant for a period equal to the duration of such prevention, delay or stoppage. Tenant hereby waives and releases any right to terminate this Lease under Section 1932(1) of the California Civil Code, or any similar law, statute or ordinance now or hereafter in effect.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25. NOTICES</w:t>
      </w:r>
    </w:p>
    <w:p>
      <w:pPr>
        <w:spacing w:after="0" w:line="175" w:lineRule="exact"/>
        <w:rPr>
          <w:sz w:val="20"/>
          <w:szCs w:val="20"/>
          <w:color w:val="auto"/>
        </w:rPr>
      </w:pPr>
    </w:p>
    <w:p>
      <w:pPr>
        <w:ind w:left="10" w:right="3439" w:firstLine="441"/>
        <w:spacing w:after="0" w:line="256" w:lineRule="auto"/>
        <w:rPr>
          <w:sz w:val="20"/>
          <w:szCs w:val="20"/>
          <w:color w:val="auto"/>
        </w:rPr>
      </w:pPr>
      <w:r>
        <w:rPr>
          <w:rFonts w:ascii="Courier New" w:cs="Courier New" w:eastAsia="Courier New" w:hAnsi="Courier New"/>
          <w:sz w:val="14"/>
          <w:szCs w:val="14"/>
          <w:color w:val="auto"/>
        </w:rPr>
        <w:t>Notices or other communications given or required to be given under this Lease shall be effective only if rendered or given in writing, sent by certified mail with a return receipt requested, or delivered in person or by reputable overnight courier (e.g., Federal Express, DHL, etc.): (a) to Tenant</w:t>
      </w:r>
    </w:p>
    <w:p>
      <w:pPr>
        <w:spacing w:after="0" w:line="1" w:lineRule="exact"/>
        <w:rPr>
          <w:sz w:val="20"/>
          <w:szCs w:val="20"/>
          <w:color w:val="auto"/>
        </w:rPr>
      </w:pPr>
    </w:p>
    <w:p>
      <w:pPr>
        <w:ind w:left="10" w:right="3179" w:hanging="10"/>
        <w:spacing w:after="0" w:line="238" w:lineRule="auto"/>
        <w:tabs>
          <w:tab w:leader="none" w:pos="36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Tenant's address set forth in Article 1, if sent prior to the Commencement Date, or (ii) at the Premises and at the address specified in Article 1 if sent subsequent to the Commencement Date, or (iii) at the place where Tenant designates subsequent to Tenant's vacating, deserting, abandoning or surrendering the Premises; or (b) to Landlord at Landlord's address set forth in Article 1; or (c) to such other address as either Landlord or Tenant may designate as its new address for such purpose by notice given to the other in accordance with the provisions of this Article. Any such notice or other communication shall be deemed to have been rendered or given five (5) days after the date mailed, if sent by certified mail, or upon the date of delivery in person or by courier, or when delivery is attempted but refused. Celtrans shall receive any notices of default delivered by Landlord by separate mailing to Celtrans at the Premises, or to such other or additional addresses which Celtrans designates to Landlord in writing.</w:t>
      </w:r>
    </w:p>
    <w:p>
      <w:pPr>
        <w:spacing w:after="0" w:line="17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Landlord covenants that so long as an Event of Default by Tenant is not in existence, upon paying the Base Rent and Additional Rent and performing all of its obligations under this Lease, Tenant shall peaceably and quietly enjoy the Premises, subject to the terms and provisions of this Lease.</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27. AUTHORITY</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Tenant is a corporation or a partnership, Tenant represents and warrants as follows: Tenant is an entity as identified in Article 1, duly formed and validly existing and in good standing under the laws of the state of organization specified in Article 1 and qualified to do business in the State of California. Tenant has the power, legal capacity and authority to enter into and perform its obligations under this Lease and no approval or consent of any person is required in connection with the execution and performance hereof. The execution and performance of Tenant's obligations under this Lease will not result in or constitute any default</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797" w:right="1440" w:bottom="1440" w:gutter="0" w:footer="0" w:header="0"/>
        </w:sectPr>
      </w:pPr>
    </w:p>
    <w:bookmarkStart w:id="143" w:name="page144"/>
    <w:bookmarkEnd w:id="143"/>
    <w:p>
      <w:pPr>
        <w:ind w:right="3179"/>
        <w:spacing w:after="0" w:line="238" w:lineRule="auto"/>
        <w:rPr>
          <w:sz w:val="20"/>
          <w:szCs w:val="20"/>
          <w:color w:val="auto"/>
        </w:rPr>
      </w:pPr>
      <w:r>
        <w:rPr>
          <w:rFonts w:ascii="Courier New" w:cs="Courier New" w:eastAsia="Courier New" w:hAnsi="Courier New"/>
          <w:sz w:val="15"/>
          <w:szCs w:val="15"/>
          <w:color w:val="auto"/>
        </w:rPr>
        <w:t>or event that would be, or with notice or the lapse of time would be, a default, breach or violation of the organizational instruments governing Tenant or any agreement or any order or decree of any court or other governmental authority to which Tenant is a party or to which it is subject. Tenant has taken all necessary action to authorize the execution, delivery and performance of this Lease and this Lease constitutes the legal, valid and binding obligation of Tenant. Upon Landlord's request, Tenant shall provide Landlord with evidence reasonably satisfactory to Landlord confirming the foregoing representations and warranties.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 BROKERS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Tenant and Landlord warrant that they have had dealings with only the real estate brokers or agents listed in Article 1 in connection with the negotiation of this Lease and that they know of no other real estate broker or agent who is entitled to a commission in connection with this Lease. Tenant and Landlord shall indemnify, defend and hold the other harmless from and against all liabilities arising from any other claims of brokerage commissions or finder's fees based on Tenant's or Landlord's dealings or contacts with brokers or agents other than those listed in Article 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29. MISCELLANEOUS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29.1 ENTIRE AGREEMENT. This Lease, including the exhibits which are incorporated herein and made a part of this Lease, contains the entire agreement between the parties and all prior negotiations and agreements are merged herein. Tenant hereby acknowledges that neither Landlord nor Landlord's Agents have made any representations or warranties with respect to the Premises, the Building, the Property, or this Lease except as expressly set forth herein, and no rights, easements or licenses are or shall be acquired by Tenant by implication or otherwise unless expressly set forth herein.</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29.2 NO WAIVER. No failure by Landlord or Tenant to insist upon the strict performance of any obligation of Tenant or Landlord under this Lease or to exercise any right, power or remedy consequent upon a breach thereof, no acceptance of full or partial Base Rent or Additional Rent during the continuance of any such breach by Landlord, or payment of Base Rent or Additional Rent by Tenant to Landlord, and no acceptance of the keys to or possession of the Premises prior to the expiration of the Term by any employee or agent of Landlord shall constitute a waiver of any such breach or of such term, covenant or condition or operate as a surrender of this Lease. No waiver of any breach shall affect or alter this Lease, but each and every term, covenant and condition of this Lease shall continue in full force and effect with respect to any other then-existing or subsequent breach thereof. The consent of Landlord or Tenant given in any instance under the terms of this Lease shall not relieve Tenant or Landlord, as applicable, of any obligation to secure the consent of the other in any other or future instance under the terms of this Lease.</w:t>
      </w:r>
    </w:p>
    <w:p>
      <w:pPr>
        <w:spacing w:after="0" w:line="18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29.3 MODIFICATION. Neither this Lease nor any term or provisions hereof may be changed, waived, discharged or terminated orally, and no breach thereof shall be waived, altered or modified, except by a written instrument signed by the party against which the enforcement of the change, waiver, discharge or termination is sought.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797" w:right="1440" w:bottom="1440" w:gutter="0" w:footer="0" w:header="0"/>
        </w:sectPr>
      </w:pPr>
    </w:p>
    <w:bookmarkStart w:id="144" w:name="page145"/>
    <w:bookmarkEnd w:id="144"/>
    <w:p>
      <w:pPr>
        <w:ind w:right="3539" w:firstLine="793"/>
        <w:spacing w:after="0" w:line="237" w:lineRule="auto"/>
        <w:rPr>
          <w:sz w:val="20"/>
          <w:szCs w:val="20"/>
          <w:color w:val="auto"/>
        </w:rPr>
      </w:pPr>
      <w:r>
        <w:rPr>
          <w:rFonts w:ascii="Courier New" w:cs="Courier New" w:eastAsia="Courier New" w:hAnsi="Courier New"/>
          <w:sz w:val="15"/>
          <w:szCs w:val="15"/>
          <w:color w:val="auto"/>
        </w:rPr>
        <w:t>29.4 SUCCESSORS AND ASSIGNS. The terms, covenants and conditions contained in this Lease shall bind and inure to the benefit of Landlord and Tenant and, except as otherwise provided or limited herein, their respective personal representatives and successors and assigns.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29.5 VALIDITY. If any provision of this Lease or the application thereof to any person, entity or circumstance shall, to any extent, be invalid or unenforceable, the remainder of this Lease, or the application of such provision to persons, entities or circumstances other than those as to which it is invalid or unenforceable, shall not be affected thereby, and each provision of this Lease shall be valid and be enforced to the full extent permitted by law.</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29.6 JURISDICTION. This Lease shall be construed and enforced in accordance with the laws of the State of California. Any action that in any way involves the rights, duties and obligations of the parties under this Lease may (and if against Landlord, shall) be brought in the courts of the State of California, and the parties hereto hereby submit to the personal jurisdiction of such court.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29.7 ATTORNEYS' FEES. In the event that either Landlord or Tenant fails to perform any of its obligations under this Lease or in the event a dispute arises concerning the meaning or interpretation of any provision of this Lease, the defaulting party or the party not prevailing in such dispute, as the case may be, shall pay any and all costs and expenses incurred by the other party in enforcing or establishing its rights hereunder, including, without limitation, court costs, costs of arbitration and reasonable attorneys' fees. Should Landlord be named as a defendant in any suit brought against Tenant in connection with or arising out of Tenant's occupancy hereunder Tenant shall pay to Landlord its costs and expenses incurred in such suit, including reasonable attorneys' fees.</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29.8 WAIVER OF JURY TRIAL. Landlord and Tenant each hereby voluntarily and knowingly waive and relinquish their right to a trial by jury in any action, proceeding or counterclaim brought by either against the other on any matter whatsoever arising out of or in any way connected with this Lease, the relationship of Landlord with Tenant, or Tenant's use or occupancy of the Premises, including any claim of injury or damage, and any emergency and other statutory remedy with respect thereto.</w:t>
      </w:r>
    </w:p>
    <w:p>
      <w:pPr>
        <w:spacing w:after="0" w:line="177"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29.9 LIGHT AND AIR. Tenant covenants and agrees that no diminution of light, air or view by any structure that may hereafter be erected (whether or not by Landlord) shall entitle Tenant to any reduction of the Base Rent or Additional Rent under this Lease, result in any liability of Landlord to Tenant, or in any other way affect this Lease or Tenant's obligations hereunder.</w:t>
      </w:r>
    </w:p>
    <w:p>
      <w:pPr>
        <w:spacing w:after="0" w:line="165"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29.10 LEASE MEMORANDUM. Neither Landlord or Tenant shall record this Lease or a short form memorandum hereof without the consent of the other.</w:t>
      </w:r>
    </w:p>
    <w:p>
      <w:pPr>
        <w:spacing w:after="0" w:line="15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29.11 CONFIDENTIALITY. Except as required by Applicable Law, the parties agree that neither of them shall make public the terms and conditions of this Lease or the fact that they have entered into this Lease without first obtaining the written permission from the other party.</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29.12 TERMS. The term "Premises" includes the space leased hereby and any improvements now or hereafter installed therein or attached thereto. The words "Landlord" and "Tenant" as used herein shall include the plural as well as the singular. If there is more than one Tenant or Landlord, the obligations under this Lease imposed on Tenant or Landlord shall be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797" w:right="1440" w:bottom="1440" w:gutter="0" w:footer="0" w:header="0"/>
        </w:sectPr>
      </w:pPr>
    </w:p>
    <w:bookmarkStart w:id="145" w:name="page146"/>
    <w:bookmarkEnd w:id="145"/>
    <w:p>
      <w:pPr>
        <w:ind w:right="3179"/>
        <w:spacing w:after="0" w:line="237" w:lineRule="auto"/>
        <w:rPr>
          <w:sz w:val="20"/>
          <w:szCs w:val="20"/>
          <w:color w:val="auto"/>
        </w:rPr>
      </w:pPr>
      <w:r>
        <w:rPr>
          <w:rFonts w:ascii="Courier New" w:cs="Courier New" w:eastAsia="Courier New" w:hAnsi="Courier New"/>
          <w:sz w:val="15"/>
          <w:szCs w:val="15"/>
          <w:color w:val="auto"/>
        </w:rPr>
        <w:t>joint and several. The captions preceding the articles of this Lease have been inserted solely as a matter of convenience and such captions in no way define or limit the scope or intent of any provision of this Lease.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29.13 REVIEW AND APPROVAL. The review, approval, inspection or examination by Landlord of any item to be reviewed, approved, inspected or examined by Landlord under the terms of this Lease or the exhibits attached hereto shall not constitute the assumption of any responsibility by Landlord for either the accuracy or sufficiency of any such item or the quality of suitability of such item for its intended use. Any such review, approval, inspection or examination by Landlord is for the sole purpose of protecting Landlord's interests in the and under this Lease, and no third parties, including, without limitation, Tenant or any person or entity claiming through or under Tenant, or the contractors, agents, servants, employees, visitors or licensees of Tenant or any such person or entity, shall have any rights hereunder with respect to such review, approval, inspection or examination by Landlord.</w:t>
      </w:r>
    </w:p>
    <w:p>
      <w:pPr>
        <w:spacing w:after="0" w:line="18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29.14 NO BENEFICIARIES. This Lease shall not confer or be deemed to confer upon any person or entity other than the parties hereto, any right or interest, including without limitation, any third party status or any right to enforce any provision of this Lease.</w:t>
      </w:r>
    </w:p>
    <w:p>
      <w:pPr>
        <w:spacing w:after="0" w:line="176"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29.15 TIME OF THE ESSENCE. Time is of the essence in respect of all provisions of this Lease in which a definite time for performance is specified.</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29.16 MODIFICATION OF LEASE. In the event of any ruling or threat by the Internal Revenue Service, or opinion of counsel, that all or part of the Rent paid or to be paid to Landlord under this Lease will be subject to the income tax or unrelated business taxable income, Tenant agrees to reasonably modify this Lease to avoid such tax; provided that such modifications will not result in any increase in Rent, cost or expense to Tenant. Landlord will pay all Tenant's reasonable costs incurred in reviewing and negotiating any such lease modification, including reasonable attorneys' and accountants' fees.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29.17 CONSTRUCTION. This Lease has been negotiated extensively by Landlord and Tenant with and upon the advice of their respective legal counsel, all of whom have participated in the drafting hereof. Consequently, Landlord and Tenant agree that no party shall be deemed to be the drafter of this Lease and in the event this Lease is ever construed by a court of law, such court shall not construe this Lease or any provision of this Lease against any party as the drafter of the Lease.</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29.18 SURVIVAL. The obligations of this Lease shall survive the expiration of the Term to the extent necessary to implement any requirement for the performance of obligations or forbearance of an act by either party hereto which has not been completed prior to the termination of this Lease. Such survival shall be to the extent reasonably necessary to fulfill the intent thereof, or if specified, to the extent of such specification, as same is reasonably necessary to perform the obligations and/or forbearance of an act set forth in such term, covenant or condition. Notwithstanding the foregoing, in the event a specific term, covenant or condition is expressly provided for in such a clear fashion as to indicate that such performance of an obligation or forbearance of an act is no longer required, then the specific shall govern over this general provisions of this Lease.</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797" w:right="1440" w:bottom="1440" w:gutter="0" w:footer="0" w:header="0"/>
        </w:sectPr>
      </w:pPr>
    </w:p>
    <w:bookmarkStart w:id="146" w:name="page147"/>
    <w:bookmarkEnd w:id="146"/>
    <w:p>
      <w:pPr>
        <w:ind w:right="3179" w:firstLine="793"/>
        <w:spacing w:after="0" w:line="238" w:lineRule="auto"/>
        <w:rPr>
          <w:sz w:val="20"/>
          <w:szCs w:val="20"/>
          <w:color w:val="auto"/>
        </w:rPr>
      </w:pPr>
      <w:r>
        <w:rPr>
          <w:rFonts w:ascii="Courier New" w:cs="Courier New" w:eastAsia="Courier New" w:hAnsi="Courier New"/>
          <w:sz w:val="15"/>
          <w:szCs w:val="15"/>
          <w:color w:val="auto"/>
        </w:rPr>
        <w:t>29.19 REASONABLE STANDARD. Unless otherwise provided in this Lease, (a) each party shall act in a reasonable manner in exercising or undertaking its rights, duties and obligations under this Lease, and (b) whenever approval, consent or satisfaction (collectively, an "APPROVAL") is required of a party pursuant to this Lease or an Exhibit hereto, such approval shall not be unreasonably withheld or delayed. Unless provision is made for a specific time period, approval (or disapproval) shall be given within thirty (30) days after receipt of the request for approval.</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29.20 BUSINESS DAYS. The time in which any act is to be done hereunder is computed by excluding the first day and including the last. If the last day is not a business day, then the date for performance will be extended to the next succeeding day that is a business day.</w:t>
      </w:r>
    </w:p>
    <w:p>
      <w:pPr>
        <w:spacing w:after="0" w:line="176" w:lineRule="exact"/>
        <w:rPr>
          <w:sz w:val="20"/>
          <w:szCs w:val="20"/>
          <w:color w:val="auto"/>
        </w:rPr>
      </w:pPr>
    </w:p>
    <w:p>
      <w:pPr>
        <w:ind w:right="3799" w:firstLine="793"/>
        <w:spacing w:after="0" w:line="237" w:lineRule="auto"/>
        <w:rPr>
          <w:sz w:val="20"/>
          <w:szCs w:val="20"/>
          <w:color w:val="auto"/>
        </w:rPr>
      </w:pPr>
      <w:r>
        <w:rPr>
          <w:rFonts w:ascii="Courier New" w:cs="Courier New" w:eastAsia="Courier New" w:hAnsi="Courier New"/>
          <w:sz w:val="15"/>
          <w:szCs w:val="15"/>
          <w:color w:val="auto"/>
        </w:rPr>
        <w:t>29.21 LANDLORD'S REPRESENTATIONS AND WARRANTIES. Landlord hereby represents and warrants that (a) it owns fee simple title in and to the Building, and (b) no party other than Landlord has any right as of the Commencement Date to possession of all or part of the Premises.</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29.22 ACCESS. Tenant shall have access to the Premises twenty-four (24)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hours per day, seven (7) days per week throughout the Term.</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29.23 USE OF NAME. Tenant acknowledges and agrees that the names "The Leland Stanford Junior University," "Stanford" and "Stanford University," and all variations thereof, are proprietary to Landlord. Tenant shall not use any such name or any variation thereof or identify Landlord in any promotional advertising or other promotional materials to be disseminated to the public or any portion thereof or use any trademark, service mark, trade name or symbol of Landlord or that is associated with it, without Landlord's prior written consent, which may be given or withheld in Landlord's sole discretion.</w:t>
      </w:r>
    </w:p>
    <w:p>
      <w:pPr>
        <w:spacing w:after="0" w:line="167"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IN WITNESS WHEREOF, Landlord and Tenant have executed this Lease as of the date first above written.</w:t>
      </w:r>
    </w:p>
    <w:p>
      <w:pPr>
        <w:sectPr>
          <w:pgSz w:w="11900" w:h="16838" w:orient="portrait"/>
          <w:cols w:equalWidth="0" w:num="1">
            <w:col w:w="10219"/>
          </w:cols>
          <w:pgMar w:left="240" w:top="79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5" w:lineRule="exact"/>
        <w:rPr>
          <w:sz w:val="20"/>
          <w:szCs w:val="20"/>
          <w:color w:val="auto"/>
        </w:rPr>
      </w:pPr>
    </w:p>
    <w:p>
      <w:pPr>
        <w:sectPr>
          <w:pgSz w:w="11900" w:h="16838" w:orient="portrait"/>
          <w:cols w:equalWidth="0" w:num="2">
            <w:col w:w="3680" w:space="720"/>
            <w:col w:w="5819"/>
          </w:cols>
          <w:pgMar w:left="240" w:top="797" w:right="1440" w:bottom="1440" w:gutter="0" w:footer="0" w:header="0"/>
          <w:type w:val="continuous"/>
        </w:sectPr>
      </w:pPr>
    </w:p>
    <w:p>
      <w:pPr>
        <w:spacing w:after="0" w:line="5" w:lineRule="exact"/>
        <w:rPr>
          <w:sz w:val="20"/>
          <w:szCs w:val="20"/>
          <w:color w:val="auto"/>
        </w:rPr>
      </w:pPr>
    </w:p>
    <w:p>
      <w:pPr>
        <w:ind w:right="780"/>
        <w:spacing w:after="0" w:line="265" w:lineRule="auto"/>
        <w:rPr>
          <w:sz w:val="20"/>
          <w:szCs w:val="20"/>
          <w:color w:val="auto"/>
        </w:rPr>
      </w:pPr>
      <w:r>
        <w:rPr>
          <w:rFonts w:ascii="Courier New" w:cs="Courier New" w:eastAsia="Courier New" w:hAnsi="Courier New"/>
          <w:sz w:val="14"/>
          <w:szCs w:val="14"/>
          <w:color w:val="auto"/>
        </w:rPr>
        <w:t>THE BOARD OF TRUSTEES OF THE LELAND STANFORD JUNIOR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80" w:lineRule="exact"/>
        <w:rPr>
          <w:sz w:val="20"/>
          <w:szCs w:val="20"/>
          <w:color w:val="auto"/>
        </w:rPr>
      </w:pPr>
    </w:p>
    <w:p>
      <w:pPr>
        <w:sectPr>
          <w:pgSz w:w="11900" w:h="16838" w:orient="portrait"/>
          <w:cols w:equalWidth="0" w:num="2">
            <w:col w:w="3680" w:space="720"/>
            <w:col w:w="581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Stanford Management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11" w:lineRule="exact"/>
        <w:rPr>
          <w:sz w:val="20"/>
          <w:szCs w:val="20"/>
          <w:color w:val="auto"/>
        </w:rPr>
      </w:pPr>
    </w:p>
    <w:p>
      <w:pPr>
        <w:sectPr>
          <w:pgSz w:w="11900" w:h="16838" w:orient="portrait"/>
          <w:cols w:equalWidth="0" w:num="2">
            <w:col w:w="3680" w:space="720"/>
            <w:col w:w="5819"/>
          </w:cols>
          <w:pgMar w:left="240" w:top="797" w:right="1440" w:bottom="1440" w:gutter="0" w:footer="0" w:header="0"/>
          <w:type w:val="continuous"/>
        </w:sect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Its:</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9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11" w:lineRule="exact"/>
        <w:rPr>
          <w:sz w:val="20"/>
          <w:szCs w:val="20"/>
          <w:color w:val="auto"/>
        </w:rPr>
      </w:pPr>
    </w:p>
    <w:p>
      <w:pPr>
        <w:sectPr>
          <w:pgSz w:w="11900" w:h="16838" w:orient="portrait"/>
          <w:cols w:equalWidth="0" w:num="2">
            <w:col w:w="3680" w:space="720"/>
            <w:col w:w="5819"/>
          </w:cols>
          <w:pgMar w:left="240" w:top="79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80" w:space="720"/>
            <w:col w:w="5819"/>
          </w:cols>
          <w:pgMar w:left="240" w:top="797"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797" w:right="1440" w:bottom="1440" w:gutter="0" w:footer="0" w:header="0"/>
          <w:type w:val="continuous"/>
        </w:sectPr>
      </w:pPr>
    </w:p>
    <w:bookmarkStart w:id="147" w:name="page148"/>
    <w:bookmarkEnd w:id="147"/>
    <w:p>
      <w:pPr>
        <w:ind w:left="3160"/>
        <w:spacing w:after="0"/>
        <w:rPr>
          <w:sz w:val="20"/>
          <w:szCs w:val="20"/>
          <w:color w:val="auto"/>
        </w:rPr>
      </w:pPr>
      <w:r>
        <w:rPr>
          <w:rFonts w:ascii="Courier New" w:cs="Courier New" w:eastAsia="Courier New" w:hAnsi="Courier New"/>
          <w:sz w:val="15"/>
          <w:szCs w:val="15"/>
          <w:color w:val="auto"/>
        </w:rPr>
        <w:t>GLOSSARY</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As used in this Lease, the following terms shall have the following meanings, applicable, as appropriate, to both the singular and plural form of the terms defined below:</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"ABATED RENT" is defined in Section 15.2(g).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 is defined in Section 11.1.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RENT" is defined in Section 4.4.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DATE" is defined in Section 4.2.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"ALTERATIONS" is as defined in Section 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LAWS" are defined in Section 11.1.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is defined in Section 14.1.</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"BASE RENT" means the amount stated in Article 1, to be adjusted and payable in accordance with Article 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is defined in Section 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STRUCTURE" is defined in Section 7.1.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SYSTEMS" are defined in Section 5.2(b)(ii).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"CELTRANS" is defined in Section 14.6(e).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AREA" is defined in Section 2.2.</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"BUSINESS DAYS" means Monday through Friday, excluding Saturdays, Sundays and federal or state legal holidays.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"COMMENCEMENT DATE" means the date specified in Article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ACTIVITY" is defined in Section 12.1(a).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 are defined in Section 12.1(b).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DEFAULT" is defined in Section 15.1.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RENT" is defined in Section 14.3.</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"EXPIRATION DATE" means the date specified in Article 1.</w:t>
      </w:r>
    </w:p>
    <w:p>
      <w:pPr>
        <w:sectPr>
          <w:pgSz w:w="11900" w:h="16838" w:orient="portrait"/>
          <w:cols w:equalWidth="0" w:num="1">
            <w:col w:w="10219"/>
          </w:cols>
          <w:pgMar w:left="240" w:top="791"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"HAZARDOUS MATERIAL" is defined in Section 12.1(c).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is defined in Section 4.5.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"LANDLORD'S AGENTS" is defined in Section 12.5.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"LANDLORD'S EXPENSE STATEMENT" is defined in Section 5.3.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CREDIT" is defined in Section 4.5.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is defined in Section 14.4.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 are defined in Section 5.2(b).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is defined in Section 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is defined in Section 4.3.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PERIOD" is defined in Section 4.3.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is defined in Section 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TAXES" are defined in Section 5.2(b)(i).</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"RENT" means Base Rent, Additional Rent, and all other sums due from Tenant under this Lease.</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"RENTABLE AREA" means the enclosed areas of the Building measured to the outside face of the exterior wall or glass line and second floor vertical shafts, but excluding outside balconies, arcades, covered entrances, elevator shafts and fire-life safety stairwells and any portion of the electrical room on the first floor which exclusively serves areas of the Building other than the Premises. Any portion of the electrical room which provides service exclusively to the Premises shall be included in Rentable Area, and any portion of the electrical room which provides shared service to the Premises and to other areas of the Building shall be included in Rentable Area on a pro rata basis. The Rentable Area shall also include Tenant's pro rata share of the Building lobby, public restrooms, hallways and other areas within the Building which are shared in common by all tenants of the Building.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"RULES AND REGULATIONS" are defined in Section 23.1.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"SCHEDULED DELIVERY DATE" is defined in Article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DEPOSIT" is defined in Article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"SUBLEASE" is defined in Section 14.1.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is defined in Section 16.5.</w:t>
      </w:r>
    </w:p>
    <w:p>
      <w:pPr>
        <w:sectPr>
          <w:pgSz w:w="11900" w:h="16838" w:orient="portrait"/>
          <w:cols w:equalWidth="0" w:num="1">
            <w:col w:w="10219"/>
          </w:cols>
          <w:pgMar w:left="240" w:top="791"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"TENANT'S</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AGENTS" is</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defined in Section 2.2.</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"TENANT'S</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HAZARDOUS MATERIALS"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w w:val="97"/>
              </w:rPr>
              <w:t>is defined in Section 12.1(d).</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"TENANT'S</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PROPERTY" is defined</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in Section 9.4.</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"TENANT'S</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SHARE" is defined in</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Article 1.</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"TERM" is</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defined in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Article 1</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and Section 3.1.</w:t>
            </w:r>
          </w:p>
        </w:tc>
      </w:tr>
      <w:tr>
        <w:trPr>
          <w:trHeight w:val="339"/>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"TERMINATION DATE" is defined in Section 3.1.</w:t>
            </w:r>
          </w:p>
        </w:tc>
      </w:tr>
      <w:tr>
        <w:trPr>
          <w:trHeight w:val="339"/>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"TERMINATION NOTICE"</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 defined in Section 3.2.</w:t>
            </w:r>
          </w:p>
        </w:tc>
      </w:tr>
      <w:tr>
        <w:trPr>
          <w:trHeight w:val="339"/>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"TRANSFER" is defined in Section 14.4.</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"TRANSFER</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COSTS" is defined in</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Section 14.3.</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"TRANSFER</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NOTICE" is</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defined in Section 14.2.</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"TRANSFEREE" is defined in Section 14.2.</w:t>
      </w:r>
    </w:p>
    <w:p>
      <w:pPr>
        <w:sectPr>
          <w:pgSz w:w="11900" w:h="16838" w:orient="portrait"/>
          <w:cols w:equalWidth="0" w:num="1">
            <w:col w:w="10219"/>
          </w:cols>
          <w:pgMar w:left="240" w:top="791" w:right="1440" w:bottom="1440" w:gutter="0" w:footer="0" w:header="0"/>
        </w:sectPr>
      </w:pPr>
    </w:p>
    <w:bookmarkStart w:id="150" w:name="page151"/>
    <w:bookmarkEnd w:id="150"/>
    <w:p>
      <w:pPr>
        <w:ind w:left="1960"/>
        <w:spacing w:after="0"/>
        <w:rPr>
          <w:sz w:val="20"/>
          <w:szCs w:val="20"/>
          <w:color w:val="auto"/>
        </w:rPr>
      </w:pPr>
      <w:r>
        <w:rPr>
          <w:rFonts w:ascii="Courier New" w:cs="Courier New" w:eastAsia="Courier New" w:hAnsi="Courier New"/>
          <w:sz w:val="15"/>
          <w:szCs w:val="15"/>
          <w:color w:val="auto"/>
        </w:rPr>
        <w:t>EXHIBIT A</w:t>
      </w:r>
    </w:p>
    <w:p>
      <w:pPr>
        <w:spacing w:after="0" w:line="17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LOCATION OF PREMISES</w:t>
      </w:r>
    </w:p>
    <w:p>
      <w:pPr>
        <w:sectPr>
          <w:pgSz w:w="11900" w:h="16838" w:orient="portrait"/>
          <w:cols w:equalWidth="0" w:num="1">
            <w:col w:w="9019"/>
          </w:cols>
          <w:pgMar w:left="1440" w:top="791" w:right="1440" w:bottom="1440" w:gutter="0" w:footer="0" w:header="0"/>
        </w:sectPr>
      </w:pPr>
    </w:p>
    <w:bookmarkStart w:id="151" w:name="page152"/>
    <w:bookmarkEnd w:id="151"/>
    <w:p>
      <w:pPr>
        <w:ind w:left="5900"/>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and in the Registration Statements (Form S-3 No. 33-68900 and No.</w:t>
      </w:r>
    </w:p>
    <w:p>
      <w:pPr>
        <w:spacing w:after="0" w:line="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333-91228) of CytoTherapeutics, Inc. and in the related Prospectuses of our report dated February 23, 2001, with respect to the consolidated financial statements of StemCells, Inc. included in the Annual Report (Form 10-K) for the year ended December 31, 2000.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rPr>
          <w:sz w:val="20"/>
          <w:szCs w:val="20"/>
          <w:color w:val="auto"/>
        </w:rPr>
      </w:pPr>
      <w:r>
        <w:rPr>
          <w:rFonts w:ascii="Courier New" w:cs="Courier New" w:eastAsia="Courier New" w:hAnsi="Courier New"/>
          <w:sz w:val="15"/>
          <w:szCs w:val="15"/>
          <w:color w:val="auto"/>
        </w:rPr>
        <w:t>March 29, 2001</w:t>
      </w:r>
    </w:p>
    <w:p>
      <w:pPr>
        <w:sectPr>
          <w:pgSz w:w="11900" w:h="16838" w:orient="portrait"/>
          <w:cols w:equalWidth="0" w:num="1">
            <w:col w:w="10219"/>
          </w:cols>
          <w:pgMar w:left="240" w:top="791" w:right="1440" w:bottom="1440" w:gutter="0" w:footer="0" w:header="0"/>
        </w:sectPr>
      </w:pPr>
    </w:p>
    <w:bookmarkStart w:id="152" w:name="page153"/>
    <w:bookmarkEnd w:id="152"/>
    <w:p>
      <w:pPr>
        <w:ind w:left="2720"/>
        <w:spacing w:after="0"/>
        <w:rPr>
          <w:sz w:val="20"/>
          <w:szCs w:val="20"/>
          <w:color w:val="auto"/>
        </w:rPr>
      </w:pPr>
      <w:r>
        <w:rPr>
          <w:rFonts w:ascii="Courier New" w:cs="Courier New" w:eastAsia="Courier New" w:hAnsi="Courier New"/>
          <w:sz w:val="15"/>
          <w:szCs w:val="15"/>
          <w:color w:val="auto"/>
        </w:rPr>
        <w:t>EXHIBIT 99.1</w:t>
      </w:r>
    </w:p>
    <w:p>
      <w:pPr>
        <w:ind w:left="52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4"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6"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6" w:lineRule="exact"/>
        <w:rPr>
          <w:sz w:val="20"/>
          <w:szCs w:val="20"/>
          <w:color w:val="auto"/>
        </w:rPr>
      </w:pPr>
    </w:p>
    <w:p>
      <w:pPr>
        <w:ind w:right="3439" w:firstLine="353"/>
        <w:spacing w:after="0" w:line="239" w:lineRule="auto"/>
        <w:rPr>
          <w:sz w:val="20"/>
          <w:szCs w:val="20"/>
          <w:color w:val="auto"/>
        </w:rPr>
      </w:pPr>
      <w:r>
        <w:rPr>
          <w:rFonts w:ascii="Courier New" w:cs="Courier New" w:eastAsia="Courier New" w:hAnsi="Courier New"/>
          <w:sz w:val="15"/>
          <w:szCs w:val="15"/>
          <w:color w:val="auto"/>
        </w:rPr>
        <w:t>Our stem cell technology is at the early pre-lcinical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 (iii) properly integrate into existing tissue in the desired manner, or (iv) 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75" w:lineRule="exact"/>
        <w:rPr>
          <w:sz w:val="20"/>
          <w:szCs w:val="20"/>
          <w:color w:val="auto"/>
        </w:rPr>
      </w:pPr>
    </w:p>
    <w:p>
      <w:pPr>
        <w:ind w:right="3539" w:firstLine="353"/>
        <w:spacing w:after="0" w:line="259" w:lineRule="auto"/>
        <w:rPr>
          <w:sz w:val="20"/>
          <w:szCs w:val="20"/>
          <w:color w:val="auto"/>
        </w:rPr>
      </w:pPr>
      <w:r>
        <w:rPr>
          <w:rFonts w:ascii="Courier New" w:cs="Courier New" w:eastAsia="Courier New" w:hAnsi="Courier New"/>
          <w:sz w:val="14"/>
          <w:szCs w:val="14"/>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63"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178"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Even though we owned 103,577 shares of Modex Therapeutics Ltd., stock with an estimated fair market value on March 27, 2001 of $8,732,797 based on the per share price of approximately $84.31, which we converted from a market price of 145.00 Swiss francs on that date, we are restricted from selling these shares until April 12, 2001.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16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w:t>
      </w:r>
    </w:p>
    <w:p>
      <w:pPr>
        <w:sectPr>
          <w:pgSz w:w="11900" w:h="16838" w:orient="portrait"/>
          <w:cols w:equalWidth="0" w:num="1">
            <w:col w:w="10219"/>
          </w:cols>
          <w:pgMar w:left="240" w:top="645" w:right="1440" w:bottom="1440" w:gutter="0" w:footer="0" w:header="0"/>
        </w:sectPr>
      </w:pPr>
    </w:p>
    <w:bookmarkStart w:id="153" w:name="page154"/>
    <w:bookmarkEnd w:id="153"/>
    <w:p>
      <w:pPr>
        <w:ind w:right="3539"/>
        <w:spacing w:after="0" w:line="238" w:lineRule="auto"/>
        <w:rPr>
          <w:sz w:val="20"/>
          <w:szCs w:val="20"/>
          <w:color w:val="auto"/>
        </w:rPr>
      </w:pPr>
      <w:r>
        <w:rPr>
          <w:rFonts w:ascii="Courier New" w:cs="Courier New" w:eastAsia="Courier New" w:hAnsi="Courier New"/>
          <w:sz w:val="15"/>
          <w:szCs w:val="15"/>
          <w:color w:val="auto"/>
        </w:rPr>
        <w:t>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8"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175" w:lineRule="exact"/>
        <w:rPr>
          <w:sz w:val="20"/>
          <w:szCs w:val="20"/>
          <w:color w:val="auto"/>
        </w:rPr>
      </w:pPr>
    </w:p>
    <w:p>
      <w:pPr>
        <w:ind w:right="3439" w:firstLine="353"/>
        <w:spacing w:after="0" w:line="256" w:lineRule="auto"/>
        <w:rPr>
          <w:sz w:val="20"/>
          <w:szCs w:val="20"/>
          <w:color w:val="auto"/>
        </w:rPr>
      </w:pPr>
      <w:r>
        <w:rPr>
          <w:rFonts w:ascii="Courier New" w:cs="Courier New" w:eastAsia="Courier New" w:hAnsi="Courier New"/>
          <w:sz w:val="14"/>
          <w:szCs w:val="14"/>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agreed not to take any action as a result of this violation until November 19, 2000. We cannot give any assurance that the landlord will extend any additional forebearance. If the landlord decides to pursue its rights after any period of forebearance, we may be required to pay the landlord the entire amount due for the rest of the lease period. In March, 2001, the Landlord approved a sublease of part of the premises.</w:t>
      </w:r>
    </w:p>
    <w:p>
      <w:pPr>
        <w:spacing w:after="0" w:line="177" w:lineRule="exact"/>
        <w:rPr>
          <w:sz w:val="20"/>
          <w:szCs w:val="20"/>
          <w:color w:val="auto"/>
        </w:rPr>
      </w:pPr>
    </w:p>
    <w:p>
      <w:pPr>
        <w:ind w:right="4239" w:firstLine="353"/>
        <w:spacing w:after="0" w:line="235"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6"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333"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expired on November 14, 2000 and we are negotiating with Scripps to extend the term of this agreement or to enter into a new agreement. As of the date of this prospectus, we have not yet completed our negotiations with Scripps and we cannot give any assurance that our negotiations will be successful. If we are unable to extend the term of this agreement or enter into a new agreement, we will have to find a replacement to perform this research or we will have to</w:t>
      </w:r>
    </w:p>
    <w:p>
      <w:pPr>
        <w:sectPr>
          <w:pgSz w:w="11900" w:h="16838" w:orient="portrait"/>
          <w:cols w:equalWidth="0" w:num="1">
            <w:col w:w="10219"/>
          </w:cols>
          <w:pgMar w:left="240" w:top="627" w:right="1440" w:bottom="1440" w:gutter="0" w:footer="0" w:header="0"/>
        </w:sectPr>
      </w:pPr>
    </w:p>
    <w:bookmarkStart w:id="154" w:name="page155"/>
    <w:bookmarkEnd w:id="154"/>
    <w:p>
      <w:pPr>
        <w:ind w:right="3539"/>
        <w:spacing w:after="0" w:line="235" w:lineRule="auto"/>
        <w:rPr>
          <w:sz w:val="20"/>
          <w:szCs w:val="20"/>
          <w:color w:val="auto"/>
        </w:rPr>
      </w:pPr>
      <w:r>
        <w:rPr>
          <w:rFonts w:ascii="Courier New" w:cs="Courier New" w:eastAsia="Courier New" w:hAnsi="Courier New"/>
          <w:sz w:val="15"/>
          <w:szCs w:val="15"/>
          <w:color w:val="auto"/>
        </w:rPr>
        <w:t>perform this research ourselves. In either case, we may experience delay and additional expense in connection with this research effort.</w:t>
      </w:r>
    </w:p>
    <w:p>
      <w:pPr>
        <w:spacing w:after="0" w:line="176"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have an accumulated deficit of $130,498,187 at December 31,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184" w:lineRule="exact"/>
        <w:rPr>
          <w:sz w:val="20"/>
          <w:szCs w:val="20"/>
          <w:color w:val="auto"/>
        </w:rPr>
      </w:pPr>
    </w:p>
    <w:p>
      <w:pPr>
        <w:ind w:right="3979" w:firstLine="353"/>
        <w:spacing w:after="0" w:line="235" w:lineRule="auto"/>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17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OPERATIONS WILL BE HARMED.</w:t>
      </w:r>
    </w:p>
    <w:p>
      <w:pPr>
        <w:spacing w:after="0" w:line="178" w:lineRule="exact"/>
        <w:rPr>
          <w:sz w:val="20"/>
          <w:szCs w:val="20"/>
          <w:color w:val="auto"/>
        </w:rPr>
      </w:pPr>
    </w:p>
    <w:p>
      <w:pPr>
        <w:ind w:right="3439" w:firstLine="353"/>
        <w:spacing w:after="0" w:line="256" w:lineRule="auto"/>
        <w:rPr>
          <w:sz w:val="20"/>
          <w:szCs w:val="20"/>
          <w:color w:val="auto"/>
        </w:rPr>
      </w:pPr>
      <w:r>
        <w:rPr>
          <w:rFonts w:ascii="Courier New" w:cs="Courier New" w:eastAsia="Courier New" w:hAnsi="Courier New"/>
          <w:sz w:val="14"/>
          <w:szCs w:val="14"/>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34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5"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Because the first person or entity to discover and obtain a valid patent to a particular stem or progenitor cell may effectively block all others, it will be important to our development efforts for us or</w:t>
      </w:r>
    </w:p>
    <w:p>
      <w:pPr>
        <w:sectPr>
          <w:pgSz w:w="11900" w:h="16838" w:orient="portrait"/>
          <w:cols w:equalWidth="0" w:num="1">
            <w:col w:w="10219"/>
          </w:cols>
          <w:pgMar w:left="240" w:top="797" w:right="1440" w:bottom="1440" w:gutter="0" w:footer="0" w:header="0"/>
        </w:sectPr>
      </w:pPr>
    </w:p>
    <w:bookmarkStart w:id="155" w:name="page156"/>
    <w:bookmarkEnd w:id="155"/>
    <w:p>
      <w:pPr>
        <w:ind w:right="3439"/>
        <w:spacing w:after="0" w:line="237" w:lineRule="auto"/>
        <w:rPr>
          <w:sz w:val="20"/>
          <w:szCs w:val="20"/>
          <w:color w:val="auto"/>
        </w:rPr>
      </w:pPr>
      <w:r>
        <w:rPr>
          <w:rFonts w:ascii="Courier New" w:cs="Courier New" w:eastAsia="Courier New" w:hAnsi="Courier New"/>
          <w:sz w:val="15"/>
          <w:szCs w:val="15"/>
          <w:color w:val="auto"/>
        </w:rPr>
        <w:t>our collaborators to be the first to discover any stem cell that we are seeking. Failure to be the first could prevent us from commercializing all of our research and development related to such stem cell and have a material adverse effect on us.</w:t>
      </w:r>
    </w:p>
    <w:p>
      <w:pPr>
        <w:spacing w:after="0" w:line="176"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6"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65"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66"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know[cad 220]how and keep them secret.</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and[ib]/or technology. We can give no assurance that any of these licenses will provide effective protection against our competitors.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w:t>
      </w:r>
    </w:p>
    <w:p>
      <w:pPr>
        <w:sectPr>
          <w:pgSz w:w="11900" w:h="16838" w:orient="portrait"/>
          <w:cols w:equalWidth="0" w:num="1">
            <w:col w:w="10219"/>
          </w:cols>
          <w:pgMar w:left="240" w:top="797" w:right="1440" w:bottom="1440" w:gutter="0" w:footer="0" w:header="0"/>
        </w:sectPr>
      </w:pPr>
    </w:p>
    <w:bookmarkStart w:id="156" w:name="page157"/>
    <w:bookmarkEnd w:id="156"/>
    <w:p>
      <w:pPr>
        <w:ind w:right="3539"/>
        <w:spacing w:after="0" w:line="238" w:lineRule="auto"/>
        <w:rPr>
          <w:sz w:val="20"/>
          <w:szCs w:val="20"/>
          <w:color w:val="auto"/>
        </w:rPr>
      </w:pPr>
      <w:r>
        <w:rPr>
          <w:rFonts w:ascii="Courier New" w:cs="Courier New" w:eastAsia="Courier New" w:hAnsi="Courier New"/>
          <w:sz w:val="15"/>
          <w:szCs w:val="15"/>
          <w:color w:val="auto"/>
        </w:rPr>
        <w:t>products approved or in development that could be competitive with our potential products, and also operate large, well[cad 220]funded research and development programs. In addition, we expect to compete with smaller companies such as NeuralStem and Layton Bioscience and with universities and other research institutions who are developing treatments for degenerative diseases that are stem[cad 220]cell based.</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non[cad 220]competitive.</w:t>
      </w:r>
    </w:p>
    <w:p>
      <w:pPr>
        <w:spacing w:after="0" w:line="175"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2"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81"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w:t>
      </w:r>
    </w:p>
    <w:p>
      <w:pPr>
        <w:sectPr>
          <w:pgSz w:w="11900" w:h="16838" w:orient="portrait"/>
          <w:cols w:equalWidth="0" w:num="1">
            <w:col w:w="10219"/>
          </w:cols>
          <w:pgMar w:left="240" w:top="797" w:right="1440" w:bottom="1440" w:gutter="0" w:footer="0" w:header="0"/>
        </w:sectPr>
      </w:pPr>
    </w:p>
    <w:bookmarkStart w:id="157" w:name="page158"/>
    <w:bookmarkEnd w:id="157"/>
    <w:p>
      <w:pPr>
        <w:ind w:right="3439"/>
        <w:spacing w:after="0" w:line="237" w:lineRule="auto"/>
        <w:rPr>
          <w:sz w:val="20"/>
          <w:szCs w:val="20"/>
          <w:color w:val="auto"/>
        </w:rPr>
      </w:pPr>
      <w:r>
        <w:rPr>
          <w:rFonts w:ascii="Courier New" w:cs="Courier New" w:eastAsia="Courier New" w:hAnsi="Courier New"/>
          <w:sz w:val="15"/>
          <w:szCs w:val="15"/>
          <w:color w:val="auto"/>
        </w:rPr>
        <w:t>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78"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6" w:lineRule="exact"/>
        <w:rPr>
          <w:sz w:val="20"/>
          <w:szCs w:val="20"/>
          <w:color w:val="auto"/>
        </w:rPr>
      </w:pPr>
    </w:p>
    <w:p>
      <w:pPr>
        <w:ind w:right="3439" w:firstLine="353"/>
        <w:spacing w:after="0" w:line="239"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5"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67" w:lineRule="exact"/>
        <w:rPr>
          <w:sz w:val="20"/>
          <w:szCs w:val="20"/>
          <w:color w:val="auto"/>
        </w:rPr>
      </w:pPr>
    </w:p>
    <w:p>
      <w:pPr>
        <w:ind w:right="3979" w:firstLine="353"/>
        <w:spacing w:after="0" w:line="235" w:lineRule="auto"/>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 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w:t>
      </w:r>
    </w:p>
    <w:p>
      <w:pPr>
        <w:sectPr>
          <w:pgSz w:w="11900" w:h="16838" w:orient="portrait"/>
          <w:cols w:equalWidth="0" w:num="1">
            <w:col w:w="10219"/>
          </w:cols>
          <w:pgMar w:left="240" w:top="797" w:right="1440" w:bottom="1440" w:gutter="0" w:footer="0" w:header="0"/>
        </w:sectPr>
      </w:pPr>
    </w:p>
    <w:bookmarkStart w:id="158" w:name="page159"/>
    <w:bookmarkEnd w:id="158"/>
    <w:p>
      <w:pPr>
        <w:ind w:right="3439"/>
        <w:spacing w:after="0" w:line="237" w:lineRule="auto"/>
        <w:rPr>
          <w:sz w:val="20"/>
          <w:szCs w:val="20"/>
          <w:color w:val="auto"/>
        </w:rPr>
      </w:pPr>
      <w:r>
        <w:rPr>
          <w:rFonts w:ascii="Courier New" w:cs="Courier New" w:eastAsia="Courier New" w:hAnsi="Courier New"/>
          <w:sz w:val="15"/>
          <w:szCs w:val="15"/>
          <w:color w:val="auto"/>
        </w:rPr>
        <w:t>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176"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December 31, 2000, we had outstanding stock options to purchase approximately 2,716,966 shares of common stock, at an average exercise price of approximately $4.325 per share, subject to adjustment in certain circumstances. Of this total, options covering approximately 731,523 shares are currently exercisable at an average exercise price of approximately $4.015 per share.</w:t>
      </w:r>
    </w:p>
    <w:p>
      <w:pPr>
        <w:sectPr>
          <w:pgSz w:w="11900" w:h="16838" w:orient="portrait"/>
          <w:cols w:equalWidth="0" w:num="1">
            <w:col w:w="10219"/>
          </w:cols>
          <w:pgMar w:left="240" w:top="797" w:right="1440" w:bottom="1440" w:gutter="0" w:footer="0" w:header="0"/>
        </w:sectPr>
      </w:pPr>
    </w:p>
    <w:bookmarkStart w:id="159" w:name="page160"/>
    <w:bookmarkEnd w:id="159"/>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LETTERHEAD]</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March 17, 2001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Ltd.</w:t>
      </w:r>
    </w:p>
    <w:p>
      <w:pPr>
        <w:spacing w:after="0"/>
        <w:rPr>
          <w:sz w:val="20"/>
          <w:szCs w:val="20"/>
          <w:color w:val="auto"/>
        </w:rPr>
      </w:pPr>
      <w:r>
        <w:rPr>
          <w:rFonts w:ascii="Courier New" w:cs="Courier New" w:eastAsia="Courier New" w:hAnsi="Courier New"/>
          <w:sz w:val="15"/>
          <w:szCs w:val="15"/>
          <w:color w:val="auto"/>
        </w:rPr>
        <w:t>C/o University Technologies International Inc.</w:t>
      </w:r>
    </w:p>
    <w:p>
      <w:pPr>
        <w:spacing w:after="0"/>
        <w:rPr>
          <w:sz w:val="20"/>
          <w:szCs w:val="20"/>
          <w:color w:val="auto"/>
        </w:rPr>
      </w:pPr>
      <w:r>
        <w:rPr>
          <w:rFonts w:ascii="Courier New" w:cs="Courier New" w:eastAsia="Courier New" w:hAnsi="Courier New"/>
          <w:sz w:val="15"/>
          <w:szCs w:val="15"/>
          <w:color w:val="auto"/>
        </w:rPr>
        <w:t>Suite 130, 3553 - 31 St. N.W.</w:t>
      </w:r>
    </w:p>
    <w:p>
      <w:pPr>
        <w:spacing w:after="0" w:line="238" w:lineRule="auto"/>
        <w:rPr>
          <w:sz w:val="20"/>
          <w:szCs w:val="20"/>
          <w:color w:val="auto"/>
        </w:rPr>
      </w:pPr>
      <w:r>
        <w:rPr>
          <w:rFonts w:ascii="Courier New" w:cs="Courier New" w:eastAsia="Courier New" w:hAnsi="Courier New"/>
          <w:sz w:val="15"/>
          <w:szCs w:val="15"/>
          <w:color w:val="auto"/>
        </w:rPr>
        <w:t>Calgary Technology Centre</w:t>
      </w:r>
    </w:p>
    <w:p>
      <w:pPr>
        <w:spacing w:after="0"/>
        <w:rPr>
          <w:sz w:val="20"/>
          <w:szCs w:val="20"/>
          <w:color w:val="auto"/>
        </w:rPr>
      </w:pPr>
      <w:r>
        <w:rPr>
          <w:rFonts w:ascii="Courier New" w:cs="Courier New" w:eastAsia="Courier New" w:hAnsi="Courier New"/>
          <w:sz w:val="15"/>
          <w:szCs w:val="15"/>
          <w:color w:val="auto"/>
        </w:rPr>
        <w:t>Calgary, Alberta T2L 2K7 Canada</w:t>
      </w:r>
    </w:p>
    <w:p>
      <w:pPr>
        <w:sectPr>
          <w:pgSz w:w="11900" w:h="16838" w:orient="portrait"/>
          <w:cols w:equalWidth="0" w:num="1">
            <w:col w:w="10219"/>
          </w:cols>
          <w:pgMar w:left="240" w:top="645" w:right="1440" w:bottom="1440" w:gutter="0" w:footer="0" w:header="0"/>
        </w:sectPr>
      </w:pP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Oleh S. Hnatiuk</w:t>
      </w:r>
    </w:p>
    <w:p>
      <w:pPr>
        <w:spacing w:after="0"/>
        <w:rPr>
          <w:sz w:val="20"/>
          <w:szCs w:val="20"/>
          <w:color w:val="auto"/>
        </w:rPr>
      </w:pPr>
      <w:r>
        <w:rPr>
          <w:rFonts w:ascii="Courier New" w:cs="Courier New" w:eastAsia="Courier New" w:hAnsi="Courier New"/>
          <w:sz w:val="15"/>
          <w:szCs w:val="15"/>
          <w:color w:val="auto"/>
        </w:rPr>
        <w:t>Personal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Generation of Hematopoietic Cells from Multipotent Neural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 Cells</w:t>
      </w:r>
    </w:p>
    <w:p>
      <w:pPr>
        <w:spacing w:after="0" w:line="175" w:lineRule="exact"/>
        <w:rPr>
          <w:sz w:val="20"/>
          <w:szCs w:val="20"/>
          <w:color w:val="auto"/>
        </w:rPr>
      </w:pPr>
    </w:p>
    <w:p>
      <w:pPr>
        <w:sectPr>
          <w:pgSz w:w="11900" w:h="16838" w:orient="portrait"/>
          <w:cols w:equalWidth="0" w:num="2">
            <w:col w:w="1660" w:space="260"/>
            <w:col w:w="8299"/>
          </w:cols>
          <w:pgMar w:left="240" w:top="64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Dear Oleh:</w:t>
      </w:r>
    </w:p>
    <w:p>
      <w:pPr>
        <w:sectPr>
          <w:pgSz w:w="11900" w:h="16838" w:orient="portrait"/>
          <w:cols w:equalWidth="0" w:num="1">
            <w:col w:w="10219"/>
          </w:cols>
          <w:pgMar w:left="240" w:top="645" w:right="1440" w:bottom="1440" w:gutter="0" w:footer="0" w:header="0"/>
          <w:type w:val="continuous"/>
        </w:sectPr>
      </w:pP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you know, NeuroSpheres Ltd. and StemCells, Inc. have had a dispute regarding whether or not the above named inventions were included in the 1997 License Agreement. By entering the new License Agreement dated October 30, 2000 (2000 License Agreement), the Parties seek to avoid the need to resolve that dispute. It is my belief, and StemCells' intention, that the 2000 License Agreement will not be terminated before its expiration, so we have every hope that there will never be a need to address the dispute. As we have discussed, this letter is to make sure we are in agreement about the effect of the 2000 License Agreement on the issue:</w:t>
      </w:r>
    </w:p>
    <w:p>
      <w:pPr>
        <w:spacing w:after="0" w:line="179" w:lineRule="exact"/>
        <w:rPr>
          <w:sz w:val="20"/>
          <w:szCs w:val="20"/>
          <w:color w:val="auto"/>
        </w:rPr>
      </w:pPr>
    </w:p>
    <w:p>
      <w:pPr>
        <w:ind w:left="880" w:right="3359" w:hanging="449"/>
        <w:spacing w:after="0" w:line="237"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so long as the 2000 License Agreement is in effect, StemCells, Inc. will have licensed rights from NeuroSpheres Ltd. for use of the above named inventions without regard to whether those licensed rights arise under the 2000 License Agreement or the 1997 License Agreement.</w:t>
      </w:r>
    </w:p>
    <w:p>
      <w:pPr>
        <w:spacing w:after="0" w:line="178" w:lineRule="exact"/>
        <w:rPr>
          <w:rFonts w:ascii="Courier New" w:cs="Courier New" w:eastAsia="Courier New" w:hAnsi="Courier New"/>
          <w:sz w:val="15"/>
          <w:szCs w:val="15"/>
          <w:color w:val="auto"/>
        </w:rPr>
      </w:pPr>
    </w:p>
    <w:p>
      <w:pPr>
        <w:ind w:left="880" w:right="3619" w:hanging="449"/>
        <w:spacing w:after="0" w:line="237"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that so long as the 2000 License Agreement is in effect, StemCells, Inc. will make all payments (milestone, royalty, sublicense, other) that may be applicable to the above named inventions under the terms of the 2000 License Agreement.</w:t>
      </w:r>
    </w:p>
    <w:p>
      <w:pPr>
        <w:spacing w:after="0" w:line="176" w:lineRule="exact"/>
        <w:rPr>
          <w:rFonts w:ascii="Courier New" w:cs="Courier New" w:eastAsia="Courier New" w:hAnsi="Courier New"/>
          <w:sz w:val="15"/>
          <w:szCs w:val="15"/>
          <w:color w:val="auto"/>
        </w:rPr>
      </w:pPr>
    </w:p>
    <w:p>
      <w:pPr>
        <w:ind w:left="880" w:right="3179" w:hanging="449"/>
        <w:spacing w:after="0" w:line="258" w:lineRule="auto"/>
        <w:tabs>
          <w:tab w:leader="none" w:pos="8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agree that in the event of a termination of the 2000 License Agreement then their dispute, mentioned above, shall be considered an open issue, that the parties may need to seek to resolve it, and that neither the entering nor the terms of the 2000 License Agreement shall constitute evidence for either party on the merits of the dispute.</w:t>
      </w:r>
    </w:p>
    <w:p>
      <w:pPr>
        <w:spacing w:after="0" w:line="16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 trust this accurately states our understanding, and ask that you confirm below if it does. With best personal regards, I remain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 Brest</w:t>
      </w:r>
    </w:p>
    <w:p>
      <w:pPr>
        <w:spacing w:after="0"/>
        <w:rPr>
          <w:sz w:val="20"/>
          <w:szCs w:val="20"/>
          <w:color w:val="auto"/>
        </w:rPr>
      </w:pPr>
      <w:r>
        <w:rPr>
          <w:rFonts w:ascii="Courier New" w:cs="Courier New" w:eastAsia="Courier New" w:hAnsi="Courier New"/>
          <w:sz w:val="15"/>
          <w:szCs w:val="15"/>
          <w:color w:val="auto"/>
        </w:rPr>
        <w:t>General Counsel</w:t>
      </w:r>
    </w:p>
    <w:p>
      <w:pPr>
        <w:spacing w:after="0" w:line="34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Numbered paragraphs 1, 2 and 3 above correctly state the understanding and agreement of NeuroSpheres, Ltd., concerning the effect of the 2000 License Agreement on its dispute with StemCells, Inc. regarding "Generation of Hematopoietic Cells from Multipotent Neural Stem Cells."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Ltd.</w:t>
      </w:r>
    </w:p>
    <w:p>
      <w:pPr>
        <w:sectPr>
          <w:pgSz w:w="11900" w:h="16838" w:orient="portrait"/>
          <w:cols w:equalWidth="0" w:num="1">
            <w:col w:w="10219"/>
          </w:cols>
          <w:pgMar w:left="240" w:top="645"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5"/>
          <w:szCs w:val="15"/>
          <w:color w:val="auto"/>
        </w:rPr>
        <w:t>- --------------------------------- by: Oleh S. Hnatiuk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sectPr>
      <w:pgSz w:w="11900" w:h="16838" w:orient="portrait"/>
      <w:cols w:equalWidth="0" w:num="2">
        <w:col w:w="3940" w:space="720"/>
        <w:col w:w="5559"/>
      </w:cols>
      <w:pgMar w:left="240" w:top="64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decimal"/>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1."/>
      <w:numFmt w:val="decimal"/>
      <w:start w:val="2"/>
    </w:lvl>
  </w:abstractNum>
  <w:abstractNum w:abstractNumId="13">
    <w:nsid w:val="8F2B15E"/>
    <w:multiLevelType w:val="hybridMultilevel"/>
    <w:lvl w:ilvl="0">
      <w:lvlJc w:val="left"/>
      <w:lvlText w:val="%1."/>
      <w:numFmt w:val="decimal"/>
      <w:start w:val="3"/>
    </w:lvl>
  </w:abstractNum>
  <w:abstractNum w:abstractNumId="14">
    <w:nsid w:val="1A32234B"/>
    <w:multiLevelType w:val="hybridMultilevel"/>
    <w:lvl w:ilvl="0">
      <w:lvlJc w:val="left"/>
      <w:lvlText w:val="-"/>
      <w:numFmt w:val="bullet"/>
      <w:start w:val="1"/>
    </w:lvl>
    <w:lvl w:ilvl="1">
      <w:lvlJc w:val="left"/>
      <w:lvlText w:val="(%2)"/>
      <w:numFmt w:val="lowerRoman"/>
      <w:start w:val="2"/>
    </w:lvl>
  </w:abstractNum>
  <w:abstractNum w:abstractNumId="15">
    <w:nsid w:val="3B0FD379"/>
    <w:multiLevelType w:val="hybridMultilevel"/>
    <w:lvl w:ilvl="0">
      <w:lvlJc w:val="left"/>
      <w:lvlText w:val="%1."/>
      <w:numFmt w:val="decimal"/>
      <w:start w:val="4"/>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decimal"/>
      <w:start w:val="1"/>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1."/>
      <w:numFmt w:val="decimal"/>
      <w:start w:val="1"/>
    </w:lvl>
  </w:abstractNum>
  <w:abstractNum w:abstractNumId="20">
    <w:nsid w:val="14330624"/>
    <w:multiLevelType w:val="hybridMultilevel"/>
    <w:lvl w:ilvl="0">
      <w:lvlJc w:val="left"/>
      <w:lvlText w:val="%1."/>
      <w:numFmt w:val="decimal"/>
      <w:start w:val="2"/>
    </w:lvl>
  </w:abstractNum>
  <w:abstractNum w:abstractNumId="21">
    <w:nsid w:val="7FFFCA11"/>
    <w:multiLevelType w:val="hybridMultilevel"/>
    <w:lvl w:ilvl="0">
      <w:lvlJc w:val="left"/>
      <w:lvlText w:val="%1."/>
      <w:numFmt w:val="decimal"/>
      <w:start w:val="2"/>
    </w:lvl>
  </w:abstractNum>
  <w:abstractNum w:abstractNumId="22">
    <w:nsid w:val="1A27709E"/>
    <w:multiLevelType w:val="hybridMultilevel"/>
    <w:lvl w:ilvl="0">
      <w:lvlJc w:val="left"/>
      <w:lvlText w:val="%1."/>
      <w:numFmt w:val="decimal"/>
      <w:start w:val="2"/>
    </w:lvl>
  </w:abstractNum>
  <w:abstractNum w:abstractNumId="23">
    <w:nsid w:val="71EA1109"/>
    <w:multiLevelType w:val="hybridMultilevel"/>
    <w:lvl w:ilvl="0">
      <w:lvlJc w:val="left"/>
      <w:lvlText w:val="%1."/>
      <w:numFmt w:val="decimal"/>
      <w:start w:val="2"/>
    </w:lvl>
  </w:abstractNum>
  <w:abstractNum w:abstractNumId="24">
    <w:nsid w:val="100F59DC"/>
    <w:multiLevelType w:val="hybridMultilevel"/>
    <w:lvl w:ilvl="0">
      <w:lvlJc w:val="left"/>
      <w:lvlText w:val="%1."/>
      <w:numFmt w:val="decimal"/>
      <w:start w:val="3"/>
    </w:lvl>
  </w:abstractNum>
  <w:abstractNum w:abstractNumId="25">
    <w:nsid w:val="7FB7E0AA"/>
    <w:multiLevelType w:val="hybridMultilevel"/>
    <w:lvl w:ilvl="0">
      <w:lvlJc w:val="left"/>
      <w:lvlText w:val="%1."/>
      <w:numFmt w:val="decimal"/>
      <w:start w:val="3"/>
    </w:lvl>
  </w:abstractNum>
  <w:abstractNum w:abstractNumId="26">
    <w:nsid w:val="6EB5BD4"/>
    <w:multiLevelType w:val="hybridMultilevel"/>
    <w:lvl w:ilvl="0">
      <w:lvlJc w:val="left"/>
      <w:lvlText w:val="%1."/>
      <w:numFmt w:val="decimal"/>
      <w:start w:val="3"/>
    </w:lvl>
  </w:abstractNum>
  <w:abstractNum w:abstractNumId="27">
    <w:nsid w:val="6F6DD9AC"/>
    <w:multiLevelType w:val="hybridMultilevel"/>
    <w:lvl w:ilvl="0">
      <w:lvlJc w:val="left"/>
      <w:lvlText w:val="(%1)"/>
      <w:numFmt w:val="decimal"/>
      <w:start w:val="1"/>
    </w:lvl>
  </w:abstractNum>
  <w:abstractNum w:abstractNumId="28">
    <w:nsid w:val="94211F2"/>
    <w:multiLevelType w:val="hybridMultilevel"/>
    <w:lvl w:ilvl="0">
      <w:lvlJc w:val="left"/>
      <w:lvlText w:val="%1."/>
      <w:numFmt w:val="decimal"/>
      <w:start w:val="3"/>
    </w:lvl>
  </w:abstractNum>
  <w:abstractNum w:abstractNumId="29">
    <w:nsid w:val="885E1B"/>
    <w:multiLevelType w:val="hybridMultilevel"/>
    <w:lvl w:ilvl="0">
      <w:lvlJc w:val="left"/>
      <w:lvlText w:val="%1."/>
      <w:numFmt w:val="decimal"/>
      <w:start w:val="5"/>
    </w:lvl>
  </w:abstractNum>
  <w:abstractNum w:abstractNumId="30">
    <w:nsid w:val="76272110"/>
    <w:multiLevelType w:val="hybridMultilevel"/>
    <w:lvl w:ilvl="0">
      <w:lvlJc w:val="left"/>
      <w:lvlText w:val="%1."/>
      <w:numFmt w:val="decimal"/>
      <w:start w:val="6"/>
    </w:lvl>
  </w:abstractNum>
  <w:abstractNum w:abstractNumId="31">
    <w:nsid w:val="4C04A8AF"/>
    <w:multiLevelType w:val="hybridMultilevel"/>
    <w:lvl w:ilvl="0">
      <w:lvlJc w:val="left"/>
      <w:lvlText w:val="%1."/>
      <w:numFmt w:val="decimal"/>
      <w:start w:val="6"/>
    </w:lvl>
  </w:abstractNum>
  <w:abstractNum w:abstractNumId="32">
    <w:nsid w:val="1716703B"/>
    <w:multiLevelType w:val="hybridMultilevel"/>
    <w:lvl w:ilvl="0">
      <w:lvlJc w:val="left"/>
      <w:lvlText w:val="%1."/>
      <w:numFmt w:val="decimal"/>
      <w:start w:val="7"/>
    </w:lvl>
  </w:abstractNum>
  <w:abstractNum w:abstractNumId="33">
    <w:nsid w:val="14E17E33"/>
    <w:multiLevelType w:val="hybridMultilevel"/>
    <w:lvl w:ilvl="0">
      <w:lvlJc w:val="left"/>
      <w:lvlText w:val="%1."/>
      <w:numFmt w:val="decimal"/>
      <w:start w:val="8"/>
    </w:lvl>
  </w:abstractNum>
  <w:abstractNum w:abstractNumId="34">
    <w:nsid w:val="3222E7CD"/>
    <w:multiLevelType w:val="hybridMultilevel"/>
    <w:lvl w:ilvl="0">
      <w:lvlJc w:val="left"/>
      <w:lvlText w:val="%1."/>
      <w:numFmt w:val="decimal"/>
      <w:start w:val="9"/>
    </w:lvl>
  </w:abstractNum>
  <w:abstractNum w:abstractNumId="35">
    <w:nsid w:val="74DE0EE3"/>
    <w:multiLevelType w:val="hybridMultilevel"/>
    <w:lvl w:ilvl="0">
      <w:lvlJc w:val="left"/>
      <w:lvlText w:val="%1."/>
      <w:numFmt w:val="decimal"/>
      <w:start w:val="9"/>
    </w:lvl>
  </w:abstractNum>
  <w:abstractNum w:abstractNumId="36">
    <w:nsid w:val="68EBC550"/>
    <w:multiLevelType w:val="hybridMultilevel"/>
    <w:lvl w:ilvl="0">
      <w:lvlJc w:val="left"/>
      <w:lvlText w:val="%1."/>
      <w:numFmt w:val="decimal"/>
      <w:start w:val="10"/>
    </w:lvl>
  </w:abstractNum>
  <w:abstractNum w:abstractNumId="37">
    <w:nsid w:val="2DF6D648"/>
    <w:multiLevelType w:val="hybridMultilevel"/>
    <w:lvl w:ilvl="0">
      <w:lvlJc w:val="left"/>
      <w:lvlText w:val="%1."/>
      <w:numFmt w:val="decimal"/>
      <w:start w:val="10"/>
    </w:lvl>
  </w:abstractNum>
  <w:abstractNum w:abstractNumId="38">
    <w:nsid w:val="46B7D447"/>
    <w:multiLevelType w:val="hybridMultilevel"/>
    <w:lvl w:ilvl="0">
      <w:lvlJc w:val="left"/>
      <w:lvlText w:val="%1."/>
      <w:numFmt w:val="decimal"/>
      <w:start w:val="10"/>
    </w:lvl>
  </w:abstractNum>
  <w:abstractNum w:abstractNumId="39">
    <w:nsid w:val="4A2AC315"/>
    <w:multiLevelType w:val="hybridMultilevel"/>
    <w:lvl w:ilvl="0">
      <w:lvlJc w:val="left"/>
      <w:lvlText w:val="%1."/>
      <w:numFmt w:val="decimal"/>
      <w:start w:val="10"/>
    </w:lvl>
  </w:abstractNum>
  <w:abstractNum w:abstractNumId="40">
    <w:nsid w:val="39EE015C"/>
    <w:multiLevelType w:val="hybridMultilevel"/>
    <w:lvl w:ilvl="0">
      <w:lvlJc w:val="left"/>
      <w:lvlText w:val="%1."/>
      <w:numFmt w:val="decimal"/>
      <w:start w:val="10"/>
    </w:lvl>
  </w:abstractNum>
  <w:abstractNum w:abstractNumId="41">
    <w:nsid w:val="57FC4FBB"/>
    <w:multiLevelType w:val="hybridMultilevel"/>
    <w:lvl w:ilvl="0">
      <w:lvlJc w:val="left"/>
      <w:lvlText w:val="%1."/>
      <w:numFmt w:val="decimal"/>
      <w:start w:val="10"/>
    </w:lvl>
  </w:abstractNum>
  <w:abstractNum w:abstractNumId="42">
    <w:nsid w:val="CC1016F"/>
    <w:multiLevelType w:val="hybridMultilevel"/>
    <w:lvl w:ilvl="0">
      <w:lvlJc w:val="left"/>
      <w:lvlText w:val="%1."/>
      <w:numFmt w:val="decimal"/>
      <w:start w:val="11"/>
    </w:lvl>
  </w:abstractNum>
  <w:abstractNum w:abstractNumId="43">
    <w:nsid w:val="43F18422"/>
    <w:multiLevelType w:val="hybridMultilevel"/>
    <w:lvl w:ilvl="0">
      <w:lvlJc w:val="left"/>
      <w:lvlText w:val="%1."/>
      <w:numFmt w:val="decimal"/>
      <w:start w:val="11"/>
    </w:lvl>
  </w:abstractNum>
  <w:abstractNum w:abstractNumId="44">
    <w:nsid w:val="60EF0119"/>
    <w:multiLevelType w:val="hybridMultilevel"/>
    <w:lvl w:ilvl="0">
      <w:lvlJc w:val="left"/>
      <w:lvlText w:val="%1."/>
      <w:numFmt w:val="decimal"/>
      <w:start w:val="12"/>
    </w:lvl>
  </w:abstractNum>
  <w:abstractNum w:abstractNumId="45">
    <w:nsid w:val="26F324BA"/>
    <w:multiLevelType w:val="hybridMultilevel"/>
    <w:lvl w:ilvl="0">
      <w:lvlJc w:val="left"/>
      <w:lvlText w:val="%1."/>
      <w:numFmt w:val="decimal"/>
      <w:start w:val="13"/>
    </w:lvl>
  </w:abstractNum>
  <w:abstractNum w:abstractNumId="46">
    <w:nsid w:val="7F01579B"/>
    <w:multiLevelType w:val="hybridMultilevel"/>
    <w:lvl w:ilvl="0">
      <w:lvlJc w:val="left"/>
      <w:lvlText w:val="%1."/>
      <w:numFmt w:val="decimal"/>
      <w:start w:val="14"/>
    </w:lvl>
  </w:abstractNum>
  <w:abstractNum w:abstractNumId="47">
    <w:nsid w:val="49DA307D"/>
    <w:multiLevelType w:val="hybridMultilevel"/>
    <w:lvl w:ilvl="0">
      <w:lvlJc w:val="left"/>
      <w:lvlText w:val="%1."/>
      <w:numFmt w:val="decimal"/>
      <w:start w:val="14"/>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3"/>
    </w:lvl>
  </w:abstractNum>
  <w:abstractNum w:abstractNumId="52">
    <w:nsid w:val="5FB8011C"/>
    <w:multiLevelType w:val="hybridMultilevel"/>
    <w:lvl w:ilvl="0">
      <w:lvlJc w:val="left"/>
      <w:lvlText w:val="(%1)"/>
      <w:numFmt w:val="lowerRoman"/>
      <w:start w:val="3"/>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5"/>
    </w:lvl>
  </w:abstractNum>
  <w:abstractNum w:abstractNumId="57">
    <w:nsid w:val="7D5E18F8"/>
    <w:multiLevelType w:val="hybridMultilevel"/>
    <w:lvl w:ilvl="0">
      <w:lvlJc w:val="left"/>
      <w:lvlText w:val="(%1)"/>
      <w:numFmt w:val="upperLetter"/>
      <w:start w:val="1"/>
    </w:lvl>
  </w:abstractNum>
  <w:abstractNum w:abstractNumId="58">
    <w:nsid w:val="5F3534A4"/>
    <w:multiLevelType w:val="hybridMultilevel"/>
    <w:lvl w:ilvl="0">
      <w:lvlJc w:val="left"/>
      <w:lvlText w:val="-"/>
      <w:numFmt w:val="bullet"/>
      <w:start w:val="1"/>
    </w:lvl>
    <w:lvl w:ilvl="1">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lvl w:ilvl="1">
      <w:lvlJc w:val="left"/>
      <w:lvlText w:val="*"/>
      <w:numFmt w:val="bullet"/>
      <w:start w:val="1"/>
    </w:lvl>
  </w:abstractNum>
  <w:abstractNum w:abstractNumId="62">
    <w:nsid w:val="3FA62ACA"/>
    <w:multiLevelType w:val="hybridMultilevel"/>
    <w:lvl w:ilvl="0">
      <w:lvlJc w:val="left"/>
      <w:lvlText w:val="##"/>
      <w:numFmt w:val="bullet"/>
      <w:start w:val="1"/>
    </w:lvl>
    <w:lvl w:ilvl="1">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lvl w:ilvl="1">
      <w:lvlJc w:val="left"/>
      <w:lvlText w:val="***"/>
      <w:numFmt w:val="bullet"/>
      <w:start w:val="1"/>
    </w:lvl>
  </w:abstractNum>
  <w:abstractNum w:abstractNumId="69">
    <w:nsid w:val="5092CA79"/>
    <w:multiLevelType w:val="hybridMultilevel"/>
    <w:lvl w:ilvl="0">
      <w:lvlJc w:val="left"/>
      <w:lvlText w:val="###"/>
      <w:numFmt w:val="bullet"/>
      <w:start w:val="1"/>
    </w:lvl>
    <w:lvl w:ilvl="1">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1."/>
      <w:numFmt w:val="upperLetter"/>
      <w:start w:val="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decimal"/>
      <w:start w:val="2"/>
    </w:lvl>
  </w:abstractNum>
  <w:abstractNum w:abstractNumId="75">
    <w:nsid w:val="97E1B4E"/>
    <w:multiLevelType w:val="hybridMultilevel"/>
    <w:lvl w:ilvl="0">
      <w:lvlJc w:val="left"/>
      <w:lvlText w:val="%1."/>
      <w:numFmt w:val="decimal"/>
      <w:start w:val="3"/>
    </w:lvl>
    <w:lvl w:ilvl="1">
      <w:lvlJc w:val="left"/>
      <w:lvlText w:val="(%2)"/>
      <w:numFmt w:val="lowerLetter"/>
      <w:start w:val="1"/>
    </w:lvl>
  </w:abstractNum>
  <w:abstractNum w:abstractNumId="76">
    <w:nsid w:val="51088277"/>
    <w:multiLevelType w:val="hybridMultilevel"/>
    <w:lvl w:ilvl="0">
      <w:lvlJc w:val="left"/>
      <w:lvlText w:val="(%1)"/>
      <w:numFmt w:val="lowerLetter"/>
      <w:start w:val="2"/>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1)"/>
      <w:numFmt w:val="lowerLetter"/>
      <w:start w:val="1"/>
    </w:lvl>
    <w:lvl w:ilvl="1">
      <w:lvlJc w:val="left"/>
      <w:lvlText w:val="*****"/>
      <w:numFmt w:val="bullet"/>
      <w:start w:val="1"/>
    </w:lvl>
  </w:abstractNum>
  <w:abstractNum w:abstractNumId="79">
    <w:nsid w:val="415E286C"/>
    <w:multiLevelType w:val="hybridMultilevel"/>
    <w:lvl w:ilvl="0">
      <w:lvlJc w:val="left"/>
      <w:lvlText w:val="*****"/>
      <w:numFmt w:val="bullet"/>
      <w:start w:val="1"/>
    </w:lvl>
    <w:lvl w:ilvl="1">
      <w:lvlJc w:val="left"/>
      <w:lvlText w:val="%2)"/>
      <w:numFmt w:val="upperLetter"/>
      <w:start w:val="6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1."/>
      <w:numFmt w:val="decimal"/>
      <w:start w:val="4"/>
    </w:lvl>
  </w:abstractNum>
  <w:abstractNum w:abstractNumId="82">
    <w:nsid w:val="45E6D486"/>
    <w:multiLevelType w:val="hybridMultilevel"/>
    <w:lvl w:ilvl="0">
      <w:lvlJc w:val="left"/>
      <w:lvlText w:val="%1."/>
      <w:numFmt w:val="decimal"/>
      <w:start w:val="5"/>
    </w:lvl>
  </w:abstractNum>
  <w:abstractNum w:abstractNumId="83">
    <w:nsid w:val="5C10FE21"/>
    <w:multiLevelType w:val="hybridMultilevel"/>
    <w:lvl w:ilvl="0">
      <w:lvlJc w:val="left"/>
      <w:lvlText w:val="%1."/>
      <w:numFmt w:val="decimal"/>
      <w:start w:val="6"/>
    </w:lvl>
  </w:abstractNum>
  <w:abstractNum w:abstractNumId="84">
    <w:nsid w:val="E7FFA2B"/>
    <w:multiLevelType w:val="hybridMultilevel"/>
    <w:lvl w:ilvl="0">
      <w:lvlJc w:val="left"/>
      <w:lvlText w:val="%1"/>
      <w:numFmt w:val="decimal"/>
      <w:start w:val="1"/>
    </w:lvl>
    <w:lvl w:ilvl="1">
      <w:lvlJc w:val="left"/>
      <w:lvlText w:val="(%2)"/>
      <w:numFmt w:val="decimal"/>
      <w:start w:val="60"/>
    </w:lvl>
  </w:abstractNum>
  <w:abstractNum w:abstractNumId="85">
    <w:nsid w:val="3C5991AA"/>
    <w:multiLevelType w:val="hybridMultilevel"/>
    <w:lvl w:ilvl="0">
      <w:lvlJc w:val="left"/>
      <w:lvlText w:val="%1."/>
      <w:numFmt w:val="decimal"/>
      <w:start w:val="7"/>
    </w:lvl>
    <w:lvl w:ilvl="1">
      <w:lvlJc w:val="left"/>
      <w:lvlText w:val="%2"/>
      <w:numFmt w:val="decimal"/>
      <w:start w:val="1"/>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2"/>
    </w:lvl>
  </w:abstractNum>
  <w:abstractNum w:abstractNumId="88">
    <w:nsid w:val="39B7AAA2"/>
    <w:multiLevelType w:val="hybridMultilevel"/>
    <w:lvl w:ilvl="0">
      <w:lvlJc w:val="left"/>
      <w:lvlText w:val="%1."/>
      <w:numFmt w:val="decimal"/>
      <w:start w:val="8"/>
    </w:lvl>
    <w:lvl w:ilvl="1">
      <w:lvlJc w:val="left"/>
      <w:lvlText w:val="(%2)"/>
      <w:numFmt w:val="lowerLetter"/>
      <w:start w:val="1"/>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decimal"/>
      <w:start w:val="9"/>
    </w:lvl>
  </w:abstractNum>
  <w:abstractNum w:abstractNumId="92">
    <w:nsid w:val="69E373"/>
    <w:multiLevelType w:val="hybridMultilevel"/>
    <w:lvl w:ilvl="0">
      <w:lvlJc w:val="left"/>
      <w:lvlText w:val="%1."/>
      <w:numFmt w:val="decimal"/>
      <w:start w:val="10"/>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1)"/>
      <w:numFmt w:val="lowerLetter"/>
      <w:start w:val="1"/>
    </w:lvl>
  </w:abstractNum>
  <w:abstractNum w:abstractNumId="95">
    <w:nsid w:val="6AA7B75C"/>
    <w:multiLevelType w:val="hybridMultilevel"/>
    <w:lvl w:ilvl="0">
      <w:lvlJc w:val="left"/>
      <w:lvlText w:val="%1."/>
      <w:numFmt w:val="decimal"/>
      <w:start w:val="11"/>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3"/>
    </w:lvl>
  </w:abstractNum>
  <w:abstractNum w:abstractNumId="99">
    <w:nsid w:val="3DB012B3"/>
    <w:multiLevelType w:val="hybridMultilevel"/>
    <w:lvl w:ilvl="0">
      <w:lvlJc w:val="left"/>
      <w:lvlText w:val="(%1)"/>
      <w:numFmt w:val="lowerLetter"/>
      <w:start w:val="4"/>
    </w:lvl>
  </w:abstractNum>
  <w:abstractNum w:abstractNumId="100">
    <w:nsid w:val="2708C9AF"/>
    <w:multiLevelType w:val="hybridMultilevel"/>
    <w:lvl w:ilvl="0">
      <w:lvlJc w:val="left"/>
      <w:lvlText w:val="(%1)"/>
      <w:numFmt w:val="lowerLetter"/>
      <w:start w:val="5"/>
    </w:lvl>
  </w:abstractNum>
  <w:abstractNum w:abstractNumId="101">
    <w:nsid w:val="5B25ACE2"/>
    <w:multiLevelType w:val="hybridMultilevel"/>
    <w:lvl w:ilvl="0">
      <w:lvlJc w:val="left"/>
      <w:lvlText w:val="%1."/>
      <w:numFmt w:val="decimal"/>
      <w:start w:val="12"/>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decimal"/>
      <w:start w:val="1"/>
    </w:lvl>
  </w:abstractNum>
  <w:abstractNum w:abstractNumId="104">
    <w:nsid w:val="53B0A9E"/>
    <w:multiLevelType w:val="hybridMultilevel"/>
    <w:lvl w:ilvl="0">
      <w:lvlJc w:val="left"/>
      <w:lvlText w:val="%1."/>
      <w:numFmt w:val="decimal"/>
      <w:start w:val="4"/>
    </w:lvl>
  </w:abstractNum>
  <w:abstractNum w:abstractNumId="105">
    <w:nsid w:val="34FD6B4F"/>
    <w:multiLevelType w:val="hybridMultilevel"/>
    <w:lvl w:ilvl="0">
      <w:lvlJc w:val="left"/>
      <w:lvlText w:val="%1."/>
      <w:numFmt w:val="decimal"/>
      <w:start w:val="6"/>
    </w:lvl>
    <w:lvl w:ilvl="1">
      <w:lvlJc w:val="left"/>
      <w:lvlText w:val="%2."/>
      <w:numFmt w:val="lowerLetter"/>
      <w:start w:val="1"/>
    </w:lvl>
  </w:abstractNum>
  <w:abstractNum w:abstractNumId="106">
    <w:nsid w:val="5915FF32"/>
    <w:multiLevelType w:val="hybridMultilevel"/>
    <w:lvl w:ilvl="0">
      <w:lvlJc w:val="left"/>
      <w:lvlText w:val="%1."/>
      <w:numFmt w:val="decimal"/>
      <w:start w:val="9"/>
    </w:lvl>
  </w:abstractNum>
  <w:abstractNum w:abstractNumId="107">
    <w:nsid w:val="56438D15"/>
    <w:multiLevelType w:val="hybridMultilevel"/>
    <w:lvl w:ilvl="0">
      <w:lvlJc w:val="left"/>
      <w:lvlText w:val="%1."/>
      <w:numFmt w:val="decimal"/>
      <w:start w:val="11"/>
    </w:lvl>
  </w:abstractNum>
  <w:abstractNum w:abstractNumId="108">
    <w:nsid w:val="519E3149"/>
    <w:multiLevelType w:val="hybridMultilevel"/>
    <w:lvl w:ilvl="0">
      <w:lvlJc w:val="left"/>
      <w:lvlText w:val="%1."/>
      <w:numFmt w:val="decimal"/>
      <w:start w:val="17"/>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2"/>
    </w:lvl>
  </w:abstractNum>
  <w:abstractNum w:abstractNumId="112">
    <w:nsid w:val="5046B5A9"/>
    <w:multiLevelType w:val="hybridMultilevel"/>
    <w:lvl w:ilvl="0">
      <w:lvlJc w:val="left"/>
      <w:lvlText w:val="%1."/>
      <w:numFmt w:val="decimal"/>
      <w:start w:val="3"/>
    </w:lvl>
  </w:abstractNum>
  <w:abstractNum w:abstractNumId="113">
    <w:nsid w:val="5D888A08"/>
    <w:multiLevelType w:val="hybridMultilevel"/>
    <w:lvl w:ilvl="0">
      <w:lvlJc w:val="left"/>
      <w:lvlText w:val="%1."/>
      <w:numFmt w:val="decimal"/>
      <w:start w:val="4"/>
    </w:lvl>
  </w:abstractNum>
  <w:abstractNum w:abstractNumId="114">
    <w:nsid w:val="2A082C70"/>
    <w:multiLevelType w:val="hybridMultilevel"/>
    <w:lvl w:ilvl="0">
      <w:lvlJc w:val="left"/>
      <w:lvlText w:val="(%1)"/>
      <w:numFmt w:val="decimal"/>
      <w:start w:val="10"/>
    </w:lvl>
  </w:abstractNum>
  <w:abstractNum w:abstractNumId="115">
    <w:nsid w:val="5EC6AFD4"/>
    <w:multiLevelType w:val="hybridMultilevel"/>
    <w:lvl w:ilvl="0">
      <w:lvlJc w:val="left"/>
      <w:lvlText w:val="%1."/>
      <w:numFmt w:val="decimal"/>
      <w:start w:val="5"/>
    </w:lvl>
  </w:abstractNum>
  <w:abstractNum w:abstractNumId="116">
    <w:nsid w:val="19E21BB2"/>
    <w:multiLevelType w:val="hybridMultilevel"/>
    <w:lvl w:ilvl="0">
      <w:lvlJc w:val="left"/>
      <w:lvlText w:val="(%1)"/>
      <w:numFmt w:val="lowerLetter"/>
      <w:start w:val="2"/>
    </w:lvl>
    <w:lvl w:ilvl="1">
      <w:lvlJc w:val="left"/>
      <w:lvlText w:val="(%2)"/>
      <w:numFmt w:val="lowerRoman"/>
      <w:start w:val="1"/>
    </w:lvl>
  </w:abstractNum>
  <w:abstractNum w:abstractNumId="117">
    <w:nsid w:val="75E0858A"/>
    <w:multiLevelType w:val="hybridMultilevel"/>
    <w:lvl w:ilvl="0">
      <w:lvlJc w:val="left"/>
      <w:lvlText w:val="(%1)"/>
      <w:numFmt w:val="lowerRoman"/>
      <w:start w:val="4"/>
    </w:lvl>
  </w:abstractNum>
  <w:abstractNum w:abstractNumId="118">
    <w:nsid w:val="57A61A29"/>
    <w:multiLevelType w:val="hybridMultilevel"/>
    <w:lvl w:ilvl="0">
      <w:lvlJc w:val="left"/>
      <w:lvlText w:val="(%1)"/>
      <w:numFmt w:val="lowerRoman"/>
      <w:start w:val="18"/>
    </w:lvl>
  </w:abstractNum>
  <w:abstractNum w:abstractNumId="119">
    <w:nsid w:val="5399C654"/>
    <w:multiLevelType w:val="hybridMultilevel"/>
    <w:lvl w:ilvl="0">
      <w:lvlJc w:val="left"/>
      <w:lvlText w:val="(%1)"/>
      <w:numFmt w:val="upperLetter"/>
      <w:start w:val="1"/>
    </w:lvl>
  </w:abstractNum>
  <w:abstractNum w:abstractNumId="120">
    <w:nsid w:val="20EE1348"/>
    <w:multiLevelType w:val="hybridMultilevel"/>
    <w:lvl w:ilvl="0">
      <w:lvlJc w:val="left"/>
      <w:lvlText w:val="%1."/>
      <w:numFmt w:val="decimal"/>
      <w:start w:val="6"/>
    </w:lvl>
  </w:abstractNum>
  <w:abstractNum w:abstractNumId="121">
    <w:nsid w:val="4427069A"/>
    <w:multiLevelType w:val="hybridMultilevel"/>
    <w:lvl w:ilvl="0">
      <w:lvlJc w:val="left"/>
      <w:lvlText w:val="%1."/>
      <w:numFmt w:val="decimal"/>
      <w:start w:val="7"/>
    </w:lvl>
  </w:abstractNum>
  <w:abstractNum w:abstractNumId="122">
    <w:nsid w:val="B37E80A"/>
    <w:multiLevelType w:val="hybridMultilevel"/>
    <w:lvl w:ilvl="0">
      <w:lvlJc w:val="left"/>
      <w:lvlText w:val="(%1)"/>
      <w:numFmt w:val="decimal"/>
      <w:start w:val="15"/>
    </w:lvl>
  </w:abstractNum>
  <w:abstractNum w:abstractNumId="123">
    <w:nsid w:val="2157F6BC"/>
    <w:multiLevelType w:val="hybridMultilevel"/>
    <w:lvl w:ilvl="0">
      <w:lvlJc w:val="left"/>
      <w:lvlText w:val="%1."/>
      <w:numFmt w:val="decimal"/>
      <w:start w:val="9"/>
    </w:lvl>
  </w:abstractNum>
  <w:abstractNum w:abstractNumId="124">
    <w:nsid w:val="704E1DD5"/>
    <w:multiLevelType w:val="hybridMultilevel"/>
    <w:lvl w:ilvl="0">
      <w:lvlJc w:val="left"/>
      <w:lvlText w:val="(%1)"/>
      <w:numFmt w:val="lowerLetter"/>
      <w:start w:val="1"/>
    </w:lvl>
  </w:abstractNum>
  <w:abstractNum w:abstractNumId="125">
    <w:nsid w:val="57D2F10E"/>
    <w:multiLevelType w:val="hybridMultilevel"/>
    <w:lvl w:ilvl="0">
      <w:lvlJc w:val="left"/>
      <w:lvlText w:val="(%1)"/>
      <w:numFmt w:val="lowerLetter"/>
      <w:start w:val="1"/>
    </w:lvl>
    <w:lvl w:ilvl="1">
      <w:lvlJc w:val="left"/>
      <w:lvlText w:val="(%2)"/>
      <w:numFmt w:val="lowerRoman"/>
      <w:start w:val="1"/>
    </w:lvl>
  </w:abstractNum>
  <w:abstractNum w:abstractNumId="126">
    <w:nsid w:val="BFFAE18"/>
    <w:multiLevelType w:val="hybridMultilevel"/>
    <w:lvl w:ilvl="0">
      <w:lvlJc w:val="left"/>
      <w:lvlText w:val="%1"/>
      <w:numFmt w:val="decimal"/>
      <w:start w:val="1"/>
    </w:lvl>
    <w:lvl w:ilvl="1">
      <w:lvlJc w:val="left"/>
      <w:lvlText w:val="(%2)"/>
      <w:numFmt w:val="lowerLetter"/>
      <w:start w:val="4"/>
    </w:lvl>
  </w:abstractNum>
  <w:abstractNum w:abstractNumId="127">
    <w:nsid w:val="E3E47A8"/>
    <w:multiLevelType w:val="hybridMultilevel"/>
    <w:lvl w:ilvl="0">
      <w:lvlJc w:val="left"/>
      <w:lvlText w:val="(%1)"/>
      <w:numFmt w:val="decimal"/>
      <w:start w:val="10"/>
    </w:lvl>
    <w:lvl w:ilvl="1">
      <w:lvlJc w:val="left"/>
      <w:lvlText w:val="(%2)"/>
      <w:numFmt w:val="lowerLetter"/>
      <w:start w:val="5"/>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4"/>
    </w:lvl>
  </w:abstractNum>
  <w:abstractNum w:abstractNumId="130">
    <w:nsid w:val="4BEE5A5B"/>
    <w:multiLevelType w:val="hybridMultilevel"/>
    <w:lvl w:ilvl="0">
      <w:lvlJc w:val="left"/>
      <w:lvlText w:val="(%1)"/>
      <w:numFmt w:val="lowerLetter"/>
      <w:start w:val="1"/>
    </w:lvl>
  </w:abstractNum>
  <w:abstractNum w:abstractNumId="131">
    <w:nsid w:val="5551B9F3"/>
    <w:multiLevelType w:val="hybridMultilevel"/>
    <w:lvl w:ilvl="0">
      <w:lvlJc w:val="left"/>
      <w:lvlText w:val="(%1)"/>
      <w:numFmt w:val="lowerLetter"/>
      <w:start w:val="3"/>
    </w:lvl>
  </w:abstractNum>
  <w:abstractNum w:abstractNumId="132">
    <w:nsid w:val="24F6AB8E"/>
    <w:multiLevelType w:val="hybridMultilevel"/>
    <w:lvl w:ilvl="0">
      <w:lvlJc w:val="left"/>
      <w:lvlText w:val="(%1)"/>
      <w:numFmt w:val="lowerRoman"/>
      <w:start w:val="4"/>
    </w:lvl>
  </w:abstractNum>
  <w:abstractNum w:abstractNumId="133">
    <w:nsid w:val="634C574C"/>
    <w:multiLevelType w:val="hybridMultilevel"/>
    <w:lvl w:ilvl="0">
      <w:lvlJc w:val="left"/>
      <w:lvlText w:val="(%1)"/>
      <w:numFmt w:val="lowerLetter"/>
      <w:start w:val="3"/>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lowerLetter"/>
      <w:start w:val="6"/>
    </w:lvl>
  </w:abstractNum>
  <w:abstractNum w:abstractNumId="138">
    <w:nsid w:val="754342"/>
    <w:multiLevelType w:val="hybridMultilevel"/>
    <w:lvl w:ilvl="0">
      <w:lvlJc w:val="left"/>
      <w:lvlText w:val="(%1)"/>
      <w:numFmt w:val="lowerLetter"/>
      <w:start w:val="1"/>
    </w:lvl>
    <w:lvl w:ilvl="1">
      <w:lvlJc w:val="left"/>
      <w:lvlText w:val="%2."/>
      <w:numFmt w:val="decimal"/>
      <w:start w:val="17"/>
    </w:lvl>
  </w:abstractNum>
  <w:abstractNum w:abstractNumId="139">
    <w:nsid w:val="69E7F3E5"/>
    <w:multiLevelType w:val="hybridMultilevel"/>
    <w:lvl w:ilvl="0">
      <w:lvlJc w:val="left"/>
      <w:lvlText w:val="(%1)"/>
      <w:numFmt w:val="lowerLetter"/>
      <w:start w:val="1"/>
    </w:lvl>
  </w:abstractNum>
  <w:abstractNum w:abstractNumId="140">
    <w:nsid w:val="2A6DE806"/>
    <w:multiLevelType w:val="hybridMultilevel"/>
    <w:lvl w:ilvl="0">
      <w:lvlJc w:val="left"/>
      <w:lvlText w:val="(%1)"/>
      <w:numFmt w:val="lowerLetter"/>
      <w:start w:val="4"/>
    </w:lvl>
    <w:lvl w:ilvl="1">
      <w:lvlJc w:val="left"/>
      <w:lvlText w:val="%2."/>
      <w:numFmt w:val="decimal"/>
      <w:start w:val="22"/>
    </w:lvl>
  </w:abstractNum>
  <w:abstractNum w:abstractNumId="141">
    <w:nsid w:val="1816F8C4"/>
    <w:multiLevelType w:val="hybridMultilevel"/>
    <w:lvl w:ilvl="0">
      <w:lvlJc w:val="left"/>
      <w:lvlText w:val="(%1)"/>
      <w:numFmt w:val="lowerRoman"/>
      <w:start w:val="1"/>
    </w:lvl>
    <w:lvl w:ilvl="1">
      <w:lvlJc w:val="left"/>
      <w:lvlText w:val="%2."/>
      <w:numFmt w:val="decimal"/>
      <w:start w:val="26"/>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2019-12-13T22:01:13Z</dcterms:created>
  <dcterms:modified xsi:type="dcterms:W3CDTF">2019-12-13T22:01:13Z</dcterms:modified>
</cp:coreProperties>
</file>