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192405</wp:posOffset>
            </wp:positionH>
            <wp:positionV relativeFrom="page">
              <wp:posOffset>246380</wp:posOffset>
            </wp:positionV>
            <wp:extent cx="716470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page">
              <wp:posOffset>192405</wp:posOffset>
            </wp:positionH>
            <wp:positionV relativeFrom="page">
              <wp:posOffset>292100</wp:posOffset>
            </wp:positionV>
            <wp:extent cx="716470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705" cy="6350"/>
                    </a:xfrm>
                    <a:prstGeom prst="rect">
                      <a:avLst/>
                    </a:prstGeom>
                    <a:noFill/>
                  </pic:spPr>
                </pic:pic>
              </a:graphicData>
            </a:graphic>
          </wp:anchor>
        </w:drawing>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September 11, 2024</w:t>
      </w:r>
    </w:p>
    <w:p>
      <w:pPr>
        <w:spacing w:after="0" w:line="1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MICROBOT MEDICAL INC.</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52" w:lineRule="exact"/>
        <w:rPr>
          <w:sz w:val="24"/>
          <w:szCs w:val="24"/>
          <w:color w:val="auto"/>
        </w:rPr>
      </w:pPr>
    </w:p>
    <w:tbl>
      <w:tblPr>
        <w:tblLayout w:type="fixed"/>
        <w:tblInd w:w="1020" w:type="dxa"/>
        <w:tblCellMar>
          <w:top w:w="0" w:type="dxa"/>
          <w:left w:w="0" w:type="dxa"/>
          <w:bottom w:w="0" w:type="dxa"/>
          <w:right w:w="0" w:type="dxa"/>
        </w:tblCellMar>
      </w:tblP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5"/>
              </w:rPr>
              <w:t>Delaware</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8"/>
              </w:rPr>
              <w:t>000-19871</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rPr>
              <w:t>94-3078125</w:t>
            </w:r>
          </w:p>
        </w:tc>
      </w:tr>
      <w:tr>
        <w:trPr>
          <w:trHeight w:val="165"/>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w:t>
            </w: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9"/>
              </w:rPr>
              <w:t>(Commission</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7"/>
              </w:rPr>
              <w:t>(IRS Employer</w:t>
            </w:r>
          </w:p>
        </w:tc>
      </w:tr>
      <w:tr>
        <w:trPr>
          <w:trHeight w:val="183"/>
        </w:trPr>
        <w:tc>
          <w:tcPr>
            <w:tcW w:w="2120" w:type="dxa"/>
            <w:vAlign w:val="bottom"/>
          </w:tcPr>
          <w:p>
            <w:pPr>
              <w:jc w:val="center"/>
              <w:ind w:right="471"/>
              <w:spacing w:after="0"/>
              <w:rPr>
                <w:sz w:val="20"/>
                <w:szCs w:val="20"/>
                <w:color w:val="auto"/>
              </w:rPr>
            </w:pPr>
            <w:r>
              <w:rPr>
                <w:rFonts w:ascii="Times New Roman" w:cs="Times New Roman" w:eastAsia="Times New Roman" w:hAnsi="Times New Roman"/>
                <w:sz w:val="14"/>
                <w:szCs w:val="14"/>
                <w:b w:val="1"/>
                <w:bCs w:val="1"/>
                <w:color w:val="auto"/>
                <w:w w:val="99"/>
              </w:rPr>
              <w:t>of incorporation)</w:t>
            </w:r>
          </w:p>
        </w:tc>
        <w:tc>
          <w:tcPr>
            <w:tcW w:w="5140" w:type="dxa"/>
            <w:vAlign w:val="bottom"/>
          </w:tcPr>
          <w:p>
            <w:pPr>
              <w:jc w:val="center"/>
              <w:ind w:right="31"/>
              <w:spacing w:after="0"/>
              <w:rPr>
                <w:sz w:val="20"/>
                <w:szCs w:val="20"/>
                <w:color w:val="auto"/>
              </w:rPr>
            </w:pPr>
            <w:r>
              <w:rPr>
                <w:rFonts w:ascii="Times New Roman" w:cs="Times New Roman" w:eastAsia="Times New Roman" w:hAnsi="Times New Roman"/>
                <w:sz w:val="14"/>
                <w:szCs w:val="14"/>
                <w:b w:val="1"/>
                <w:bCs w:val="1"/>
                <w:color w:val="auto"/>
                <w:w w:val="99"/>
              </w:rPr>
              <w:t>File Number)</w:t>
            </w:r>
          </w:p>
        </w:tc>
        <w:tc>
          <w:tcPr>
            <w:tcW w:w="1740" w:type="dxa"/>
            <w:vAlign w:val="bottom"/>
          </w:tcPr>
          <w:p>
            <w:pPr>
              <w:jc w:val="center"/>
              <w:ind w:left="591"/>
              <w:spacing w:after="0"/>
              <w:rPr>
                <w:sz w:val="20"/>
                <w:szCs w:val="20"/>
                <w:color w:val="auto"/>
              </w:rPr>
            </w:pPr>
            <w:r>
              <w:rPr>
                <w:rFonts w:ascii="Times New Roman" w:cs="Times New Roman" w:eastAsia="Times New Roman" w:hAnsi="Times New Roman"/>
                <w:sz w:val="14"/>
                <w:szCs w:val="14"/>
                <w:b w:val="1"/>
                <w:bCs w:val="1"/>
                <w:color w:val="auto"/>
                <w:w w:val="98"/>
              </w:rPr>
              <w:t>Identification No.)</w:t>
            </w:r>
          </w:p>
        </w:tc>
      </w:tr>
      <w:tr>
        <w:trPr>
          <w:trHeight w:val="313"/>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288 Grove Street, Suite 388</w:t>
            </w:r>
          </w:p>
        </w:tc>
        <w:tc>
          <w:tcPr>
            <w:tcW w:w="1740" w:type="dxa"/>
            <w:vAlign w:val="bottom"/>
          </w:tcPr>
          <w:p>
            <w:pPr>
              <w:spacing w:after="0"/>
              <w:rPr>
                <w:sz w:val="24"/>
                <w:szCs w:val="24"/>
                <w:color w:val="auto"/>
              </w:rPr>
            </w:pPr>
          </w:p>
        </w:tc>
      </w:tr>
      <w:tr>
        <w:trPr>
          <w:trHeight w:val="165"/>
        </w:trPr>
        <w:tc>
          <w:tcPr>
            <w:tcW w:w="2120" w:type="dxa"/>
            <w:vAlign w:val="bottom"/>
          </w:tcPr>
          <w:p>
            <w:pPr>
              <w:spacing w:after="0"/>
              <w:rPr>
                <w:sz w:val="14"/>
                <w:szCs w:val="1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Braintree, MA 02184</w:t>
            </w:r>
          </w:p>
        </w:tc>
        <w:tc>
          <w:tcPr>
            <w:tcW w:w="1740" w:type="dxa"/>
            <w:vAlign w:val="bottom"/>
          </w:tcPr>
          <w:p>
            <w:pPr>
              <w:spacing w:after="0"/>
              <w:rPr>
                <w:sz w:val="14"/>
                <w:szCs w:val="14"/>
                <w:color w:val="auto"/>
              </w:rPr>
            </w:pPr>
          </w:p>
        </w:tc>
      </w:tr>
      <w:tr>
        <w:trPr>
          <w:trHeight w:val="183"/>
        </w:trPr>
        <w:tc>
          <w:tcPr>
            <w:tcW w:w="2120" w:type="dxa"/>
            <w:vAlign w:val="bottom"/>
          </w:tcPr>
          <w:p>
            <w:pPr>
              <w:spacing w:after="0"/>
              <w:rPr>
                <w:sz w:val="15"/>
                <w:szCs w:val="15"/>
                <w:color w:val="auto"/>
              </w:rPr>
            </w:pPr>
          </w:p>
        </w:tc>
        <w:tc>
          <w:tcPr>
            <w:tcW w:w="514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 (Zip Code)</w:t>
            </w:r>
          </w:p>
        </w:tc>
        <w:tc>
          <w:tcPr>
            <w:tcW w:w="1740" w:type="dxa"/>
            <w:vAlign w:val="bottom"/>
          </w:tcPr>
          <w:p>
            <w:pPr>
              <w:spacing w:after="0"/>
              <w:rPr>
                <w:sz w:val="15"/>
                <w:szCs w:val="15"/>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7"/>
              </w:rPr>
              <w:t>Registrant’s telephone number, including area code: (781) 875-3605</w:t>
            </w:r>
          </w:p>
        </w:tc>
        <w:tc>
          <w:tcPr>
            <w:tcW w:w="1740" w:type="dxa"/>
            <w:vAlign w:val="bottom"/>
          </w:tcPr>
          <w:p>
            <w:pPr>
              <w:spacing w:after="0"/>
              <w:rPr>
                <w:sz w:val="24"/>
                <w:szCs w:val="24"/>
                <w:color w:val="auto"/>
              </w:rPr>
            </w:pPr>
          </w:p>
        </w:tc>
      </w:tr>
      <w:tr>
        <w:trPr>
          <w:trHeight w:val="331"/>
        </w:trPr>
        <w:tc>
          <w:tcPr>
            <w:tcW w:w="2120" w:type="dxa"/>
            <w:vAlign w:val="bottom"/>
          </w:tcPr>
          <w:p>
            <w:pPr>
              <w:spacing w:after="0"/>
              <w:rPr>
                <w:sz w:val="24"/>
                <w:szCs w:val="24"/>
                <w:color w:val="auto"/>
              </w:rPr>
            </w:pPr>
          </w:p>
        </w:tc>
        <w:tc>
          <w:tcPr>
            <w:tcW w:w="514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8"/>
              </w:rPr>
              <w:t>(Former Name or Former Address, if Changed Since Last Report)</w:t>
            </w:r>
          </w:p>
        </w:tc>
        <w:tc>
          <w:tcPr>
            <w:tcW w:w="1740" w:type="dxa"/>
            <w:vAlign w:val="bottom"/>
          </w:tcPr>
          <w:p>
            <w:pPr>
              <w:spacing w:after="0"/>
              <w:rPr>
                <w:sz w:val="24"/>
                <w:szCs w:val="24"/>
                <w:color w:val="auto"/>
              </w:rPr>
            </w:pPr>
          </w:p>
        </w:tc>
      </w:tr>
    </w:tbl>
    <w:p>
      <w:pPr>
        <w:spacing w:after="0" w:line="15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9" w:lineRule="exact"/>
        <w:rPr>
          <w:rFonts w:ascii="MS PGothic" w:cs="MS PGothic" w:eastAsia="MS PGothic" w:hAnsi="MS PGothic"/>
          <w:sz w:val="14"/>
          <w:szCs w:val="14"/>
          <w:color w:val="auto"/>
        </w:rPr>
      </w:pPr>
    </w:p>
    <w:p>
      <w:pPr>
        <w:ind w:left="260" w:hanging="257"/>
        <w:spacing w:after="0"/>
        <w:tabs>
          <w:tab w:leader="none" w:pos="2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9" w:lineRule="exact"/>
        <w:rPr>
          <w:rFonts w:ascii="MS PGothic" w:cs="MS PGothic" w:eastAsia="MS PGothic" w:hAnsi="MS PGothic"/>
          <w:sz w:val="14"/>
          <w:szCs w:val="14"/>
          <w:color w:val="auto"/>
        </w:rPr>
      </w:pPr>
    </w:p>
    <w:p>
      <w:pPr>
        <w:ind w:right="4880" w:firstLine="3"/>
        <w:spacing w:after="0" w:line="489" w:lineRule="auto"/>
        <w:tabs>
          <w:tab w:leader="none" w:pos="248"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Trading Symbol(s)</w:t>
            </w:r>
          </w:p>
        </w:tc>
        <w:tc>
          <w:tcPr>
            <w:tcW w:w="4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each exchange on which registered</w:t>
            </w:r>
          </w:p>
        </w:tc>
      </w:tr>
      <w:tr>
        <w:trPr>
          <w:trHeight w:val="179"/>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Common Stock, $0.01 par value</w:t>
            </w:r>
          </w:p>
        </w:tc>
        <w:tc>
          <w:tcPr>
            <w:tcW w:w="220" w:type="dxa"/>
            <w:vAlign w:val="bottom"/>
          </w:tcPr>
          <w:p>
            <w:pPr>
              <w:spacing w:after="0"/>
              <w:rPr>
                <w:sz w:val="15"/>
                <w:szCs w:val="15"/>
                <w:color w:val="auto"/>
              </w:rPr>
            </w:pPr>
          </w:p>
        </w:tc>
        <w:tc>
          <w:tcPr>
            <w:tcW w:w="2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MBOT</w:t>
            </w:r>
          </w:p>
        </w:tc>
        <w:tc>
          <w:tcPr>
            <w:tcW w:w="220" w:type="dxa"/>
            <w:vAlign w:val="bottom"/>
          </w:tcPr>
          <w:p>
            <w:pPr>
              <w:spacing w:after="0"/>
              <w:rPr>
                <w:sz w:val="15"/>
                <w:szCs w:val="15"/>
                <w:color w:val="auto"/>
              </w:rPr>
            </w:pPr>
          </w:p>
        </w:tc>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NASDAQ Capital Market</w:t>
            </w:r>
          </w:p>
        </w:tc>
      </w:tr>
    </w:tbl>
    <w:p>
      <w:pPr>
        <w:spacing w:after="0" w:line="139"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or Rule 12b-2 of the Securities Exchange Act of 1934 (17 CFR §240.12b-2).</w:t>
      </w:r>
    </w:p>
    <w:p>
      <w:pPr>
        <w:spacing w:after="0" w:line="100"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716470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705"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105410</wp:posOffset>
            </wp:positionV>
            <wp:extent cx="716470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705" cy="330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354330</wp:posOffset>
            </wp:positionV>
            <wp:extent cx="716470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99" w:right="319" w:bottom="1440" w:gutter="0" w:footer="0" w:header="0"/>
        </w:sectPr>
      </w:pPr>
    </w:p>
    <w:bookmarkStart w:id="1" w:name="page2"/>
    <w:bookmarkEnd w:id="1"/>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 September 11, 2024, Microbot Medical Inc. (the “Company”) released updated presentation materials, which are expected to be posted on its website on or about September 12, 2024.</w:t>
      </w:r>
    </w:p>
    <w:p>
      <w:pPr>
        <w:spacing w:after="0" w:line="170" w:lineRule="exact"/>
        <w:rPr>
          <w:sz w:val="20"/>
          <w:szCs w:val="20"/>
          <w:color w:val="auto"/>
        </w:rPr>
      </w:pPr>
    </w:p>
    <w:p>
      <w:pPr>
        <w:jc w:val="both"/>
        <w:ind w:firstLine="496"/>
        <w:spacing w:after="0" w:line="272" w:lineRule="auto"/>
        <w:rPr>
          <w:sz w:val="20"/>
          <w:szCs w:val="20"/>
          <w:color w:val="auto"/>
        </w:rPr>
      </w:pPr>
      <w:r>
        <w:rPr>
          <w:rFonts w:ascii="Times New Roman" w:cs="Times New Roman" w:eastAsia="Times New Roman" w:hAnsi="Times New Roman"/>
          <w:sz w:val="14"/>
          <w:szCs w:val="14"/>
          <w:color w:val="auto"/>
        </w:rPr>
        <w:t>The presentation materials will be accessed via the ‘Investors’ section, under ‘IR Resources’ and then ‘Additional Resources,’ of the Company’s website at www.microbotmedical.com. The Company is not undertaking to update these presentation materials.</w:t>
      </w:r>
    </w:p>
    <w:p>
      <w:pPr>
        <w:spacing w:after="0" w:line="131" w:lineRule="exact"/>
        <w:rPr>
          <w:sz w:val="20"/>
          <w:szCs w:val="20"/>
          <w:color w:val="auto"/>
        </w:rPr>
      </w:pPr>
    </w:p>
    <w:p>
      <w:pPr>
        <w:jc w:val="both"/>
        <w:ind w:firstLine="496"/>
        <w:spacing w:after="0" w:line="259" w:lineRule="auto"/>
        <w:rPr>
          <w:sz w:val="20"/>
          <w:szCs w:val="20"/>
          <w:color w:val="auto"/>
        </w:rPr>
      </w:pPr>
      <w:r>
        <w:rPr>
          <w:rFonts w:ascii="Times New Roman" w:cs="Times New Roman" w:eastAsia="Times New Roman" w:hAnsi="Times New Roman"/>
          <w:sz w:val="14"/>
          <w:szCs w:val="14"/>
          <w:color w:val="auto"/>
        </w:rPr>
        <w:t>The presentation materials are also furnished as Exhibit 99.1 to this Current Report on Form 8-K and are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36"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4"/>
          <w:szCs w:val="14"/>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Statements and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(d) Exhibits</w:t>
            </w:r>
          </w:p>
        </w:tc>
        <w:tc>
          <w:tcPr>
            <w:tcW w:w="1240" w:type="dxa"/>
            <w:vAlign w:val="bottom"/>
          </w:tcPr>
          <w:p>
            <w:pPr>
              <w:spacing w:after="0"/>
              <w:rPr>
                <w:sz w:val="15"/>
                <w:szCs w:val="15"/>
                <w:color w:val="auto"/>
              </w:rPr>
            </w:pPr>
          </w:p>
        </w:tc>
        <w:tc>
          <w:tcPr>
            <w:tcW w:w="9200" w:type="dxa"/>
            <w:vAlign w:val="bottom"/>
          </w:tcPr>
          <w:p>
            <w:pPr>
              <w:spacing w:after="0"/>
              <w:rPr>
                <w:sz w:val="15"/>
                <w:szCs w:val="15"/>
                <w:color w:val="auto"/>
              </w:rPr>
            </w:pPr>
          </w:p>
        </w:tc>
      </w:tr>
      <w:tr>
        <w:trPr>
          <w:trHeight w:val="313"/>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40" w:type="dxa"/>
            <w:vAlign w:val="bottom"/>
          </w:tcPr>
          <w:p>
            <w:pPr>
              <w:spacing w:after="0"/>
              <w:rPr>
                <w:sz w:val="24"/>
                <w:szCs w:val="24"/>
                <w:color w:val="auto"/>
              </w:rPr>
            </w:pPr>
          </w:p>
        </w:tc>
        <w:tc>
          <w:tcPr>
            <w:tcW w:w="9200" w:type="dxa"/>
            <w:vAlign w:val="bottom"/>
          </w:tcPr>
          <w:p>
            <w:pPr>
              <w:spacing w:after="0"/>
              <w:rPr>
                <w:sz w:val="24"/>
                <w:szCs w:val="24"/>
                <w:color w:val="auto"/>
              </w:rPr>
            </w:pPr>
          </w:p>
        </w:tc>
      </w:tr>
      <w:tr>
        <w:trPr>
          <w:trHeight w:val="182"/>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90"/>
        </w:trPr>
        <w:tc>
          <w:tcPr>
            <w:tcW w:w="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24"/>
                <w:szCs w:val="24"/>
                <w:color w:val="auto"/>
              </w:rPr>
            </w:pPr>
          </w:p>
        </w:tc>
        <w:tc>
          <w:tcPr>
            <w:tcW w:w="124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4"/>
                <w:szCs w:val="14"/>
                <w:color w:val="0000EE"/>
                <w:w w:val="97"/>
              </w:rPr>
              <w:t>Presentation Materials</w:t>
            </w:r>
          </w:p>
        </w:tc>
        <w:tc>
          <w:tcPr>
            <w:tcW w:w="9200" w:type="dxa"/>
            <w:vAlign w:val="bottom"/>
            <w:tcBorders>
              <w:top w:val="single" w:sz="8" w:color="auto"/>
            </w:tcBorders>
          </w:tcPr>
          <w:p>
            <w:pPr>
              <w:spacing w:after="0"/>
              <w:rPr>
                <w:sz w:val="24"/>
                <w:szCs w:val="24"/>
                <w:color w:val="auto"/>
              </w:rPr>
            </w:pPr>
          </w:p>
        </w:tc>
      </w:tr>
      <w:tr>
        <w:trPr>
          <w:trHeight w:val="177"/>
        </w:trPr>
        <w:tc>
          <w:tcPr>
            <w:tcW w:w="74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Pr>
          <w:p>
            <w:pPr>
              <w:spacing w:after="0"/>
              <w:rPr>
                <w:sz w:val="15"/>
                <w:szCs w:val="15"/>
                <w:color w:val="auto"/>
              </w:rPr>
            </w:pPr>
          </w:p>
        </w:tc>
        <w:tc>
          <w:tcPr>
            <w:tcW w:w="10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351"/>
        </w:trPr>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55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MICROBOT MEDICAL INC.</w:t>
      </w:r>
    </w:p>
    <w:p>
      <w:pPr>
        <w:spacing w:after="0" w:line="17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 Harel Gadot</w:t>
            </w:r>
          </w:p>
        </w:tc>
      </w:tr>
      <w:tr>
        <w:trPr>
          <w:trHeight w:val="143"/>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Harel Gadot</w:t>
            </w:r>
          </w:p>
        </w:tc>
      </w:tr>
      <w:tr>
        <w:trPr>
          <w:trHeight w:val="179"/>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 President and Chairman</w:t>
            </w:r>
          </w:p>
        </w:tc>
      </w:tr>
    </w:tbl>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September 11,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220980</wp:posOffset>
            </wp:positionV>
            <wp:extent cx="716470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705" cy="6350"/>
                    </a:xfrm>
                    <a:prstGeom prst="rect">
                      <a:avLst/>
                    </a:prstGeom>
                    <a:noFill/>
                  </pic:spPr>
                </pic:pic>
              </a:graphicData>
            </a:graphic>
          </wp:anchor>
        </w:drawing>
      </w:r>
    </w:p>
    <w:p>
      <w:pPr>
        <w:sectPr>
          <w:pgSz w:w="11900" w:h="16838" w:orient="portrait"/>
          <w:cols w:equalWidth="0" w:num="1">
            <w:col w:w="11280"/>
          </w:cols>
          <w:pgMar w:left="300" w:top="557" w:right="31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142240</wp:posOffset>
            </wp:positionV>
            <wp:extent cx="7211695" cy="42906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0" w:num="1">
            <w:col w:w="10140"/>
          </w:cols>
          <w:pgMar w:left="1440" w:top="30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192405</wp:posOffset>
            </wp:positionH>
            <wp:positionV relativeFrom="page">
              <wp:posOffset>377825</wp:posOffset>
            </wp:positionV>
            <wp:extent cx="7211695" cy="42906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1695" cy="4290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2024-09-11T12:03:59Z</dcterms:created>
  <dcterms:modified xsi:type="dcterms:W3CDTF">2024-09-11T12:03:59Z</dcterms:modified>
</cp:coreProperties>
</file>