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10-Q/A</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QUARTERLY REPORT UNDER SECTION 13 OR 15(d) OF</w:t>
      </w:r>
    </w:p>
    <w:p>
      <w:pPr>
        <w:jc w:val="center"/>
        <w:ind w:right="1679"/>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ectPr>
          <w:pgSz w:w="11900" w:h="16838" w:orient="portrait"/>
          <w:cols w:equalWidth="0" w:num="1">
            <w:col w:w="10219"/>
          </w:cols>
          <w:pgMar w:left="240" w:top="858"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 ended: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2002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6"/>
          <w:szCs w:val="16"/>
          <w:color w:val="auto"/>
        </w:rPr>
        <w:t>Commission File Number: 0-19871</w:t>
      </w:r>
    </w:p>
    <w:p>
      <w:pPr>
        <w:spacing w:after="0" w:line="16" w:lineRule="exact"/>
        <w:rPr>
          <w:sz w:val="24"/>
          <w:szCs w:val="24"/>
          <w:color w:val="auto"/>
        </w:rPr>
      </w:pPr>
    </w:p>
    <w:p>
      <w:pPr>
        <w:jc w:val="right"/>
        <w:ind w:right="38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ectPr>
          <w:pgSz w:w="11900" w:h="16838" w:orient="portrait"/>
          <w:cols w:equalWidth="0" w:num="2">
            <w:col w:w="2340" w:space="720"/>
            <w:col w:w="7159"/>
          </w:cols>
          <w:pgMar w:left="240" w:top="858"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STEMCELLS,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858"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94-3078125</w:t>
      </w:r>
    </w:p>
    <w:p>
      <w:pPr>
        <w:jc w:val="center"/>
        <w:ind w:right="1879"/>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720" w:space="720"/>
            <w:col w:w="3779"/>
          </w:cols>
          <w:pgMar w:left="240" w:top="858" w:right="1440" w:bottom="1440" w:gutter="0" w:footer="0" w:header="0"/>
          <w:type w:val="continuous"/>
        </w:sect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3155 PORTER DRIVE</w:t>
      </w:r>
    </w:p>
    <w:p>
      <w:pPr>
        <w:jc w:val="center"/>
        <w:ind w:right="1679"/>
        <w:spacing w:after="0" w:line="238" w:lineRule="auto"/>
        <w:rPr>
          <w:sz w:val="20"/>
          <w:szCs w:val="20"/>
          <w:color w:val="auto"/>
        </w:rPr>
      </w:pPr>
      <w:r>
        <w:rPr>
          <w:rFonts w:ascii="Courier New" w:cs="Courier New" w:eastAsia="Courier New" w:hAnsi="Courier New"/>
          <w:sz w:val="18"/>
          <w:szCs w:val="18"/>
          <w:color w:val="auto"/>
        </w:rPr>
        <w:t>PALO ALTO, CA 94304</w:t>
      </w:r>
    </w:p>
    <w:p>
      <w:pPr>
        <w:spacing w:after="0" w:line="5"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6"/>
          <w:szCs w:val="16"/>
          <w:color w:val="auto"/>
        </w:rPr>
        <w:t>(Address of principal executive offices including zip code)</w:t>
      </w:r>
    </w:p>
    <w:p>
      <w:pPr>
        <w:spacing w:after="0" w:line="200" w:lineRule="exact"/>
        <w:rPr>
          <w:sz w:val="24"/>
          <w:szCs w:val="24"/>
          <w:color w:val="auto"/>
        </w:r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(650) 475-3100</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(Registrant's telephone number, including area code)</w:t>
      </w:r>
    </w:p>
    <w:p>
      <w:pPr>
        <w:sectPr>
          <w:pgSz w:w="11900" w:h="16838" w:orient="portrait"/>
          <w:cols w:equalWidth="0" w:num="1">
            <w:col w:w="10219"/>
          </w:cols>
          <w:pgMar w:left="240" w:top="858" w:right="1440" w:bottom="1440" w:gutter="0" w:footer="0" w:header="0"/>
          <w:type w:val="continuous"/>
        </w:sectPr>
      </w:pPr>
    </w:p>
    <w:p>
      <w:pPr>
        <w:spacing w:after="0" w:line="200" w:lineRule="exact"/>
        <w:rPr>
          <w:sz w:val="24"/>
          <w:szCs w:val="24"/>
          <w:color w:val="auto"/>
        </w:rPr>
      </w:pPr>
    </w:p>
    <w:p>
      <w:pPr>
        <w:spacing w:after="0" w:line="210" w:lineRule="exact"/>
        <w:rPr>
          <w:sz w:val="24"/>
          <w:szCs w:val="24"/>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w:t>
      </w:r>
    </w:p>
    <w:tbl>
      <w:tblPr>
        <w:tblLayout w:type="fixed"/>
        <w:tblInd w:w="0" w:type="dxa"/>
        <w:tblCellMar>
          <w:top w:w="0" w:type="dxa"/>
          <w:left w:w="0" w:type="dxa"/>
          <w:bottom w:w="0" w:type="dxa"/>
          <w:right w:w="0" w:type="dxa"/>
        </w:tblCellMar>
      </w:tblPr>
      <w:tr>
        <w:trPr>
          <w:trHeight w:val="199"/>
        </w:trPr>
        <w:tc>
          <w:tcPr>
            <w:tcW w:w="380" w:type="dxa"/>
            <w:vAlign w:val="bottom"/>
          </w:tcPr>
          <w:p>
            <w:pPr>
              <w:spacing w:after="0" w:line="198" w:lineRule="exact"/>
              <w:rPr>
                <w:sz w:val="20"/>
                <w:szCs w:val="20"/>
                <w:color w:val="auto"/>
              </w:rPr>
            </w:pPr>
            <w:r>
              <w:rPr>
                <w:rFonts w:ascii="Courier New" w:cs="Courier New" w:eastAsia="Courier New" w:hAnsi="Courier New"/>
                <w:sz w:val="18"/>
                <w:szCs w:val="18"/>
                <w:color w:val="auto"/>
              </w:rPr>
              <w:t>the</w:t>
            </w:r>
          </w:p>
        </w:tc>
        <w:tc>
          <w:tcPr>
            <w:tcW w:w="10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preceding</w:t>
            </w:r>
          </w:p>
        </w:tc>
        <w:tc>
          <w:tcPr>
            <w:tcW w:w="720" w:type="dxa"/>
            <w:vAlign w:val="bottom"/>
            <w:gridSpan w:val="2"/>
          </w:tcPr>
          <w:p>
            <w:pPr>
              <w:ind w:left="40"/>
              <w:spacing w:after="0" w:line="198" w:lineRule="exact"/>
              <w:rPr>
                <w:sz w:val="20"/>
                <w:szCs w:val="20"/>
                <w:color w:val="auto"/>
              </w:rPr>
            </w:pPr>
            <w:r>
              <w:rPr>
                <w:rFonts w:ascii="Courier New" w:cs="Courier New" w:eastAsia="Courier New" w:hAnsi="Courier New"/>
                <w:sz w:val="18"/>
                <w:szCs w:val="18"/>
                <w:color w:val="auto"/>
              </w:rPr>
              <w:t>twelve</w:t>
            </w:r>
          </w:p>
        </w:tc>
        <w:tc>
          <w:tcPr>
            <w:tcW w:w="6280" w:type="dxa"/>
            <w:vAlign w:val="bottom"/>
            <w:gridSpan w:val="2"/>
          </w:tcPr>
          <w:p>
            <w:pPr>
              <w:ind w:left="60"/>
              <w:spacing w:after="0" w:line="198" w:lineRule="exact"/>
              <w:rPr>
                <w:sz w:val="20"/>
                <w:szCs w:val="20"/>
                <w:color w:val="auto"/>
              </w:rPr>
            </w:pPr>
            <w:r>
              <w:rPr>
                <w:rFonts w:ascii="Courier New" w:cs="Courier New" w:eastAsia="Courier New" w:hAnsi="Courier New"/>
                <w:sz w:val="18"/>
                <w:szCs w:val="18"/>
                <w:color w:val="auto"/>
                <w:w w:val="97"/>
              </w:rPr>
              <w:t>months (or for such shorter periods that the registrant was</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required to file</w:t>
            </w:r>
          </w:p>
        </w:tc>
        <w:tc>
          <w:tcPr>
            <w:tcW w:w="1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such reports) and</w:t>
            </w:r>
          </w:p>
        </w:tc>
        <w:tc>
          <w:tcPr>
            <w:tcW w:w="4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 has been subject to such filing</w:t>
            </w:r>
          </w:p>
        </w:tc>
      </w:tr>
      <w:tr>
        <w:trPr>
          <w:trHeight w:val="203"/>
        </w:trPr>
        <w:tc>
          <w:tcPr>
            <w:tcW w:w="1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requirements for</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past 90 days.</w:t>
            </w:r>
          </w:p>
        </w:tc>
        <w:tc>
          <w:tcPr>
            <w:tcW w:w="4800" w:type="dxa"/>
            <w:vAlign w:val="bottom"/>
          </w:tcPr>
          <w:p>
            <w:pPr>
              <w:spacing w:after="0"/>
              <w:rPr>
                <w:sz w:val="17"/>
                <w:szCs w:val="17"/>
                <w:color w:val="auto"/>
              </w:rPr>
            </w:pPr>
          </w:p>
        </w:tc>
      </w:tr>
      <w:tr>
        <w:trPr>
          <w:trHeight w:val="405"/>
        </w:trPr>
        <w:tc>
          <w:tcPr>
            <w:tcW w:w="380" w:type="dxa"/>
            <w:vAlign w:val="bottom"/>
          </w:tcPr>
          <w:p>
            <w:pPr>
              <w:spacing w:after="0"/>
              <w:rPr>
                <w:sz w:val="20"/>
                <w:szCs w:val="20"/>
                <w:color w:val="auto"/>
              </w:rPr>
            </w:pPr>
            <w:r>
              <w:rPr>
                <w:rFonts w:ascii="Courier New" w:cs="Courier New" w:eastAsia="Courier New" w:hAnsi="Courier New"/>
                <w:sz w:val="18"/>
                <w:szCs w:val="18"/>
                <w:color w:val="auto"/>
              </w:rPr>
              <w:t>Yes</w:t>
            </w:r>
          </w:p>
        </w:tc>
        <w:tc>
          <w:tcPr>
            <w:tcW w:w="1060" w:type="dxa"/>
            <w:vAlign w:val="bottom"/>
          </w:tcPr>
          <w:p>
            <w:pPr>
              <w:ind w:left="40"/>
              <w:spacing w:after="0"/>
              <w:rPr>
                <w:sz w:val="20"/>
                <w:szCs w:val="20"/>
                <w:color w:val="auto"/>
              </w:rPr>
            </w:pPr>
            <w:r>
              <w:rPr>
                <w:rFonts w:ascii="Courier New" w:cs="Courier New" w:eastAsia="Courier New" w:hAnsi="Courier New"/>
                <w:sz w:val="18"/>
                <w:szCs w:val="18"/>
                <w:color w:val="auto"/>
              </w:rPr>
              <w:t>[X]   No</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w w:val="92"/>
              </w:rPr>
              <w:t>[ ]</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0" w:type="dxa"/>
            <w:vAlign w:val="bottom"/>
          </w:tcPr>
          <w:p>
            <w:pPr>
              <w:spacing w:after="0"/>
              <w:rPr>
                <w:sz w:val="24"/>
                <w:szCs w:val="24"/>
                <w:color w:val="auto"/>
              </w:rPr>
            </w:pPr>
          </w:p>
        </w:tc>
      </w:tr>
    </w:tbl>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At April 25, 2001 there were 24,238,808 shares of Common Stock, $.01 par value, issued and outstanding.</w:t>
      </w:r>
    </w:p>
    <w:p>
      <w:pPr>
        <w:sectPr>
          <w:pgSz w:w="11900" w:h="16838" w:orient="portrait"/>
          <w:cols w:equalWidth="0" w:num="1">
            <w:col w:w="10219"/>
          </w:cols>
          <w:pgMar w:left="240" w:top="858" w:right="1440" w:bottom="1440" w:gutter="0" w:footer="0" w:header="0"/>
          <w:type w:val="continuous"/>
        </w:sectPr>
      </w:pPr>
    </w:p>
    <w:bookmarkStart w:id="1" w:name="page2"/>
    <w:bookmarkEnd w:id="1"/>
    <w:p>
      <w:pPr>
        <w:ind w:right="2099"/>
        <w:spacing w:after="0" w:line="238" w:lineRule="auto"/>
        <w:rPr>
          <w:sz w:val="20"/>
          <w:szCs w:val="20"/>
          <w:color w:val="auto"/>
        </w:rPr>
      </w:pPr>
      <w:r>
        <w:rPr>
          <w:rFonts w:ascii="Courier New" w:cs="Courier New" w:eastAsia="Courier New" w:hAnsi="Courier New"/>
          <w:sz w:val="18"/>
          <w:szCs w:val="18"/>
          <w:color w:val="auto"/>
        </w:rPr>
        <w:t>This amendment on Form 10-Q/A amends the Quarterly Report of the Company on Form 10-Q previously filed for the quarter ended March 31, 2002. This Quarterly Report on Form 10-Q/A is filed in connection with the Company's restatement of its consolidated statements of operations for the year ended December 31, 2001 and its unaudited consolidated statements of operations for the quarters ended March 31, 2001 and June 30, 2001. The restatement is being made in order to record additional deemed dividends for the beneficial conversion feature of the Company's 6% Cumulative Convertible Preferred Stock. The additional deemed dividends arise as a result of the change to the effective conversion price resulting from the issuance in 2001 of adjustable warrants in connection with the common stock financing transaction with Millennium Partners, LP. Accordingly, in its restated financial statements, the Company has recorded additional deemed dividends of $331,000 for the quarter ended March 31, 2001, $471,000 for the quarter ended June 30, 2001 and $802,000 for the year ended December 31, 2001.</w:t>
      </w:r>
    </w:p>
    <w:p>
      <w:pPr>
        <w:spacing w:after="0" w:line="200" w:lineRule="exact"/>
        <w:rPr>
          <w:sz w:val="20"/>
          <w:szCs w:val="20"/>
          <w:color w:val="auto"/>
        </w:rPr>
      </w:pPr>
    </w:p>
    <w:p>
      <w:pPr>
        <w:spacing w:after="0" w:line="205"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STEMCELLS, INC.</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8740" w:val="left"/>
        </w:tabs>
        <w:rPr>
          <w:sz w:val="20"/>
          <w:szCs w:val="20"/>
          <w:color w:val="auto"/>
        </w:rPr>
      </w:pPr>
      <w:r>
        <w:rPr>
          <w:rFonts w:ascii="Courier New" w:cs="Courier New" w:eastAsia="Courier New" w:hAnsi="Courier New"/>
          <w:sz w:val="18"/>
          <w:szCs w:val="18"/>
          <w:color w:val="auto"/>
        </w:rPr>
        <w:t>PART I. FINANCIAL INFORMATION</w:t>
      </w:r>
      <w:r>
        <w:rPr>
          <w:sz w:val="20"/>
          <w:szCs w:val="20"/>
          <w:color w:val="auto"/>
        </w:rPr>
        <w:tab/>
      </w:r>
      <w:r>
        <w:rPr>
          <w:rFonts w:ascii="Courier New" w:cs="Courier New" w:eastAsia="Courier New" w:hAnsi="Courier New"/>
          <w:sz w:val="16"/>
          <w:szCs w:val="16"/>
          <w:color w:val="auto"/>
        </w:rPr>
        <w:t>Page Number</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 w:leader="dot" w:pos="9260" w:val="left"/>
        </w:tabs>
        <w:rPr>
          <w:sz w:val="20"/>
          <w:szCs w:val="20"/>
          <w:color w:val="auto"/>
        </w:rPr>
      </w:pPr>
      <w:r>
        <w:rPr>
          <w:rFonts w:ascii="Courier New" w:cs="Courier New" w:eastAsia="Courier New" w:hAnsi="Courier New"/>
          <w:sz w:val="18"/>
          <w:szCs w:val="18"/>
          <w:color w:val="auto"/>
        </w:rPr>
        <w:t>Item 1.</w:t>
        <w:tab/>
        <w:t>Financial Statements (Unaudited)</w:t>
      </w:r>
      <w:r>
        <w:rPr>
          <w:sz w:val="20"/>
          <w:szCs w:val="20"/>
          <w:color w:val="auto"/>
        </w:rPr>
        <w:tab/>
      </w:r>
      <w:r>
        <w:rPr>
          <w:rFonts w:ascii="Courier New" w:cs="Courier New" w:eastAsia="Courier New" w:hAnsi="Courier New"/>
          <w:sz w:val="16"/>
          <w:szCs w:val="16"/>
          <w:color w:val="auto"/>
        </w:rPr>
        <w:t>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Condensed Consolidated Balance Sheets March 31, 2002 and</w:t>
      </w:r>
    </w:p>
    <w:p>
      <w:pPr>
        <w:ind w:left="960"/>
        <w:spacing w:after="0"/>
        <w:tabs>
          <w:tab w:leader="dot" w:pos="9260" w:val="left"/>
        </w:tabs>
        <w:rPr>
          <w:sz w:val="20"/>
          <w:szCs w:val="20"/>
          <w:color w:val="auto"/>
        </w:rPr>
      </w:pPr>
      <w:r>
        <w:rPr>
          <w:rFonts w:ascii="Courier New" w:cs="Courier New" w:eastAsia="Courier New" w:hAnsi="Courier New"/>
          <w:sz w:val="18"/>
          <w:szCs w:val="18"/>
          <w:color w:val="auto"/>
        </w:rPr>
        <w:t>December 31, 2001</w:t>
      </w:r>
      <w:r>
        <w:rPr>
          <w:sz w:val="20"/>
          <w:szCs w:val="20"/>
          <w:color w:val="auto"/>
        </w:rPr>
        <w:tab/>
      </w:r>
      <w:r>
        <w:rPr>
          <w:rFonts w:ascii="Courier New" w:cs="Courier New" w:eastAsia="Courier New" w:hAnsi="Courier New"/>
          <w:sz w:val="16"/>
          <w:szCs w:val="16"/>
          <w:color w:val="auto"/>
        </w:rPr>
        <w:t>3</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Condensed Consolidated Statements of Operations three months ended</w:t>
      </w:r>
    </w:p>
    <w:p>
      <w:pPr>
        <w:ind w:left="960"/>
        <w:spacing w:after="0"/>
        <w:tabs>
          <w:tab w:leader="dot" w:pos="9260" w:val="left"/>
        </w:tabs>
        <w:rPr>
          <w:sz w:val="20"/>
          <w:szCs w:val="20"/>
          <w:color w:val="auto"/>
        </w:rPr>
      </w:pPr>
      <w:r>
        <w:rPr>
          <w:rFonts w:ascii="Courier New" w:cs="Courier New" w:eastAsia="Courier New" w:hAnsi="Courier New"/>
          <w:sz w:val="18"/>
          <w:szCs w:val="18"/>
          <w:color w:val="auto"/>
        </w:rPr>
        <w:t>March 31, 2002 and 2001</w:t>
      </w:r>
      <w:r>
        <w:rPr>
          <w:sz w:val="20"/>
          <w:szCs w:val="20"/>
          <w:color w:val="auto"/>
        </w:rPr>
        <w:tab/>
      </w:r>
      <w:r>
        <w:rPr>
          <w:rFonts w:ascii="Courier New" w:cs="Courier New" w:eastAsia="Courier New" w:hAnsi="Courier New"/>
          <w:sz w:val="16"/>
          <w:szCs w:val="16"/>
          <w:color w:val="auto"/>
        </w:rPr>
        <w:t>4</w:t>
      </w:r>
    </w:p>
    <w:p>
      <w:pPr>
        <w:spacing w:after="0" w:line="20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Condensed Consolidated Statements of Cash Flows three months ended</w:t>
      </w:r>
    </w:p>
    <w:p>
      <w:pPr>
        <w:ind w:left="960"/>
        <w:spacing w:after="0"/>
        <w:tabs>
          <w:tab w:leader="dot" w:pos="9260" w:val="left"/>
        </w:tabs>
        <w:rPr>
          <w:sz w:val="20"/>
          <w:szCs w:val="20"/>
          <w:color w:val="auto"/>
        </w:rPr>
      </w:pPr>
      <w:r>
        <w:rPr>
          <w:rFonts w:ascii="Courier New" w:cs="Courier New" w:eastAsia="Courier New" w:hAnsi="Courier New"/>
          <w:sz w:val="18"/>
          <w:szCs w:val="18"/>
          <w:color w:val="auto"/>
        </w:rPr>
        <w:t>March 31, 2002 and 2001</w:t>
      </w:r>
      <w:r>
        <w:rPr>
          <w:sz w:val="20"/>
          <w:szCs w:val="20"/>
          <w:color w:val="auto"/>
        </w:rPr>
        <w:tab/>
      </w:r>
      <w:r>
        <w:rPr>
          <w:rFonts w:ascii="Courier New" w:cs="Courier New" w:eastAsia="Courier New" w:hAnsi="Courier New"/>
          <w:sz w:val="16"/>
          <w:szCs w:val="16"/>
          <w:color w:val="auto"/>
        </w:rPr>
        <w:t>5</w:t>
      </w:r>
    </w:p>
    <w:p>
      <w:pPr>
        <w:spacing w:after="0" w:line="202" w:lineRule="exact"/>
        <w:rPr>
          <w:sz w:val="20"/>
          <w:szCs w:val="20"/>
          <w:color w:val="auto"/>
        </w:rPr>
      </w:pPr>
    </w:p>
    <w:p>
      <w:pPr>
        <w:ind w:left="960"/>
        <w:spacing w:after="0"/>
        <w:tabs>
          <w:tab w:leader="dot" w:pos="9260" w:val="left"/>
        </w:tabs>
        <w:rPr>
          <w:sz w:val="20"/>
          <w:szCs w:val="20"/>
          <w:color w:val="auto"/>
        </w:rPr>
      </w:pPr>
      <w:r>
        <w:rPr>
          <w:rFonts w:ascii="Courier New" w:cs="Courier New" w:eastAsia="Courier New" w:hAnsi="Courier New"/>
          <w:sz w:val="18"/>
          <w:szCs w:val="18"/>
          <w:color w:val="auto"/>
        </w:rPr>
        <w:t>Notes to Condensed Consolidated Financial Statements</w:t>
      </w:r>
      <w:r>
        <w:rPr>
          <w:sz w:val="20"/>
          <w:szCs w:val="20"/>
          <w:color w:val="auto"/>
        </w:rPr>
        <w:tab/>
      </w:r>
      <w:r>
        <w:rPr>
          <w:rFonts w:ascii="Courier New" w:cs="Courier New" w:eastAsia="Courier New" w:hAnsi="Courier New"/>
          <w:sz w:val="16"/>
          <w:szCs w:val="16"/>
          <w:color w:val="auto"/>
        </w:rPr>
        <w:t>6</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Management's Discussion and Analysis of Financial Condition and</w:t>
      </w:r>
    </w:p>
    <w:p>
      <w:pPr>
        <w:ind w:left="960"/>
        <w:spacing w:after="0"/>
        <w:tabs>
          <w:tab w:leader="dot" w:pos="9160" w:val="left"/>
        </w:tabs>
        <w:rPr>
          <w:sz w:val="20"/>
          <w:szCs w:val="20"/>
          <w:color w:val="auto"/>
        </w:rPr>
      </w:pPr>
      <w:r>
        <w:rPr>
          <w:rFonts w:ascii="Courier New" w:cs="Courier New" w:eastAsia="Courier New" w:hAnsi="Courier New"/>
          <w:sz w:val="18"/>
          <w:szCs w:val="18"/>
          <w:color w:val="auto"/>
        </w:rPr>
        <w:t>Results of Operations</w:t>
      </w:r>
      <w:r>
        <w:rPr>
          <w:sz w:val="20"/>
          <w:szCs w:val="20"/>
          <w:color w:val="auto"/>
        </w:rPr>
        <w:tab/>
      </w:r>
      <w:r>
        <w:rPr>
          <w:rFonts w:ascii="Courier New" w:cs="Courier New" w:eastAsia="Courier New" w:hAnsi="Courier New"/>
          <w:sz w:val="16"/>
          <w:szCs w:val="16"/>
          <w:color w:val="auto"/>
        </w:rPr>
        <w:t>14</w:t>
      </w:r>
    </w:p>
    <w:p>
      <w:pPr>
        <w:spacing w:after="0" w:line="202" w:lineRule="exact"/>
        <w:rPr>
          <w:sz w:val="20"/>
          <w:szCs w:val="20"/>
          <w:color w:val="auto"/>
        </w:rPr>
      </w:pPr>
    </w:p>
    <w:p>
      <w:pPr>
        <w:spacing w:after="0"/>
        <w:tabs>
          <w:tab w:leader="none" w:pos="940" w:val="left"/>
          <w:tab w:leader="dot" w:pos="9160" w:val="left"/>
        </w:tabs>
        <w:rPr>
          <w:sz w:val="20"/>
          <w:szCs w:val="20"/>
          <w:color w:val="auto"/>
        </w:rPr>
      </w:pPr>
      <w:r>
        <w:rPr>
          <w:rFonts w:ascii="Courier New" w:cs="Courier New" w:eastAsia="Courier New" w:hAnsi="Courier New"/>
          <w:sz w:val="18"/>
          <w:szCs w:val="18"/>
          <w:color w:val="auto"/>
        </w:rPr>
        <w:t>Item 3.</w:t>
        <w:tab/>
        <w:t>Quantitative and Qualitative Disclosures About Market Risk</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dot" w:pos="9160" w:val="left"/>
        </w:tabs>
        <w:rPr>
          <w:sz w:val="20"/>
          <w:szCs w:val="20"/>
          <w:color w:val="auto"/>
        </w:rPr>
      </w:pPr>
      <w:r>
        <w:rPr>
          <w:rFonts w:ascii="Courier New" w:cs="Courier New" w:eastAsia="Courier New" w:hAnsi="Courier New"/>
          <w:sz w:val="18"/>
          <w:szCs w:val="18"/>
          <w:color w:val="auto"/>
        </w:rPr>
        <w:t>PART II. OTHER INFORMATION</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940" w:val="left"/>
          <w:tab w:leader="dot" w:pos="9160" w:val="left"/>
        </w:tabs>
        <w:rPr>
          <w:sz w:val="20"/>
          <w:szCs w:val="20"/>
          <w:color w:val="auto"/>
        </w:rPr>
      </w:pPr>
      <w:r>
        <w:rPr>
          <w:rFonts w:ascii="Courier New" w:cs="Courier New" w:eastAsia="Courier New" w:hAnsi="Courier New"/>
          <w:sz w:val="18"/>
          <w:szCs w:val="18"/>
          <w:color w:val="auto"/>
        </w:rPr>
        <w:t>Item 1.</w:t>
        <w:tab/>
        <w:t>Legal Proceedings</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940" w:val="left"/>
          <w:tab w:leader="dot" w:pos="9160" w:val="left"/>
        </w:tabs>
        <w:rPr>
          <w:sz w:val="20"/>
          <w:szCs w:val="20"/>
          <w:color w:val="auto"/>
        </w:rPr>
      </w:pPr>
      <w:r>
        <w:rPr>
          <w:rFonts w:ascii="Courier New" w:cs="Courier New" w:eastAsia="Courier New" w:hAnsi="Courier New"/>
          <w:sz w:val="18"/>
          <w:szCs w:val="18"/>
          <w:color w:val="auto"/>
        </w:rPr>
        <w:t>Item 4.</w:t>
        <w:tab/>
        <w:t>Submission of Matters to a Vote of Security-Holders</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940" w:val="left"/>
          <w:tab w:leader="dot" w:pos="9160" w:val="left"/>
        </w:tabs>
        <w:rPr>
          <w:sz w:val="20"/>
          <w:szCs w:val="20"/>
          <w:color w:val="auto"/>
        </w:rPr>
      </w:pPr>
      <w:r>
        <w:rPr>
          <w:rFonts w:ascii="Courier New" w:cs="Courier New" w:eastAsia="Courier New" w:hAnsi="Courier New"/>
          <w:sz w:val="18"/>
          <w:szCs w:val="18"/>
          <w:color w:val="auto"/>
        </w:rPr>
        <w:t>Item 6.</w:t>
        <w:tab/>
        <w:t>Exhibits and Reports on Form 8-K</w:t>
      </w:r>
      <w:r>
        <w:rPr>
          <w:sz w:val="20"/>
          <w:szCs w:val="20"/>
          <w:color w:val="auto"/>
        </w:rPr>
        <w:tab/>
      </w:r>
      <w:r>
        <w:rPr>
          <w:rFonts w:ascii="Courier New" w:cs="Courier New" w:eastAsia="Courier New" w:hAnsi="Courier New"/>
          <w:sz w:val="16"/>
          <w:szCs w:val="16"/>
          <w:color w:val="auto"/>
        </w:rPr>
        <w:t>19</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SIGNATURES</w:t>
      </w:r>
      <w:r>
        <w:rPr>
          <w:sz w:val="20"/>
          <w:szCs w:val="20"/>
          <w:color w:val="auto"/>
        </w:rPr>
        <w:tab/>
      </w: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20" w:type="dxa"/>
            <w:vAlign w:val="bottom"/>
          </w:tcPr>
          <w:p>
            <w:pPr>
              <w:spacing w:after="0"/>
              <w:rPr>
                <w:sz w:val="17"/>
                <w:szCs w:val="17"/>
                <w:color w:val="auto"/>
              </w:rPr>
            </w:pPr>
          </w:p>
        </w:tc>
        <w:tc>
          <w:tcPr>
            <w:tcW w:w="184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March 31, 2002</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 2001</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(unaudited)</w:t>
            </w:r>
          </w:p>
        </w:tc>
        <w:tc>
          <w:tcPr>
            <w:tcW w:w="7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Cash and cash equivalents ...................................</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$ 10,628,723</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$ 13,697,195</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Accrued interest receivable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1,362</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4,638</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Receivable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75,997</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49,590</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current assets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175,229</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361,636</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current assets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10,881,311</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14,113,059</w:t>
            </w:r>
          </w:p>
        </w:tc>
      </w:tr>
      <w:tr>
        <w:trPr>
          <w:trHeight w:val="405"/>
        </w:trPr>
        <w:tc>
          <w:tcPr>
            <w:tcW w:w="7020" w:type="dxa"/>
            <w:vAlign w:val="bottom"/>
          </w:tcPr>
          <w:p>
            <w:pPr>
              <w:ind w:left="420"/>
              <w:spacing w:after="0"/>
              <w:rPr>
                <w:sz w:val="20"/>
                <w:szCs w:val="20"/>
                <w:color w:val="auto"/>
              </w:rPr>
            </w:pPr>
            <w:r>
              <w:rPr>
                <w:rFonts w:ascii="Courier New" w:cs="Courier New" w:eastAsia="Courier New" w:hAnsi="Courier New"/>
                <w:sz w:val="18"/>
                <w:szCs w:val="18"/>
                <w:color w:val="auto"/>
                <w:w w:val="99"/>
              </w:rPr>
              <w:t>Property held for sale ......................................</w:t>
            </w:r>
          </w:p>
        </w:tc>
        <w:tc>
          <w:tcPr>
            <w:tcW w:w="36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3,203,491</w:t>
            </w:r>
          </w:p>
        </w:tc>
        <w:tc>
          <w:tcPr>
            <w:tcW w:w="7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3,203,491</w:t>
            </w:r>
          </w:p>
        </w:tc>
      </w:tr>
      <w:tr>
        <w:trPr>
          <w:trHeight w:val="203"/>
        </w:trPr>
        <w:tc>
          <w:tcPr>
            <w:tcW w:w="70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1,164,157</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1,219,319</w:t>
            </w:r>
          </w:p>
        </w:tc>
      </w:tr>
      <w:tr>
        <w:trPr>
          <w:trHeight w:val="608"/>
        </w:trPr>
        <w:tc>
          <w:tcPr>
            <w:tcW w:w="7020" w:type="dxa"/>
            <w:vAlign w:val="bottom"/>
          </w:tcPr>
          <w:p>
            <w:pPr>
              <w:ind w:left="420"/>
              <w:spacing w:after="0"/>
              <w:rPr>
                <w:sz w:val="20"/>
                <w:szCs w:val="20"/>
                <w:color w:val="auto"/>
              </w:rPr>
            </w:pPr>
            <w:r>
              <w:rPr>
                <w:rFonts w:ascii="Courier New" w:cs="Courier New" w:eastAsia="Courier New" w:hAnsi="Courier New"/>
                <w:sz w:val="18"/>
                <w:szCs w:val="18"/>
                <w:color w:val="auto"/>
              </w:rPr>
              <w:t>Property, plant and equipment, net</w:t>
            </w: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Other assets, net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2,659,370</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2,267,207</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assets ....................................................</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$ 17,908,329</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$ 20,803,076</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Liabilities, redeemable convertible preferred stock and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Accounts payable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317,931</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578,270</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Accrued expenses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661,982</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499,165</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Current maturities of capitalized lease obligations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261,667</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289,167</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current liabilities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1,241,580</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1,366,602</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Capitalized lease obligations, less current maturities ..........</w:t>
            </w:r>
          </w:p>
        </w:tc>
        <w:tc>
          <w:tcPr>
            <w:tcW w:w="36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2,259,583</w:t>
            </w:r>
          </w:p>
        </w:tc>
        <w:tc>
          <w:tcPr>
            <w:tcW w:w="7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2,315,833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Deposits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187,396</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129,897</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rent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1,423,412</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1,120,005</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Liabilities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5,111,971</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4,932,337</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Redeemable Convertible Preferred Stock,  $0.01 par value;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1,000,000 shares authorized issuable in series: 3% Cumulative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Convertible Preferred Stock, 5000 shares issued and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4,000 shares outstanding at March 31, 2002 and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December 31, 2001 (aggregate liquidation preference of</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$5,000,000)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1,699,683</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1,379,682</w:t>
            </w: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6% Cumulative Convertible Preferred Stock, 2,626 designated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6%, 1,500 shares issued and outstanding at March 31, 2002</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and December 31, 2001 (aggregate liquidation preference</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of $1,500,000)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1,283,250</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1,283,250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$.01 par value; 45,000,000 shares authorized;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24,238,808 and 24,220,021 shares issued and outstanding</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at March 31, 2002 and December 31, 2001, respectively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242,388</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242,200</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Additional paid in capital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5"/>
              </w:rPr>
              <w:t>147,819,336</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149,180,388</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Accumulated deficit ...........................................</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(136,754,808)</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(133,944,684)</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Deferred compensation .........................................</w:t>
            </w:r>
          </w:p>
        </w:tc>
        <w:tc>
          <w:tcPr>
            <w:tcW w:w="36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(1,493,491)</w:t>
            </w:r>
          </w:p>
        </w:tc>
        <w:tc>
          <w:tcPr>
            <w:tcW w:w="74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(2,270,097)</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Total stockholders' equity .............................</w:t>
            </w:r>
          </w:p>
        </w:tc>
        <w:tc>
          <w:tcPr>
            <w:tcW w:w="36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9,813,425</w:t>
            </w:r>
          </w:p>
        </w:tc>
        <w:tc>
          <w:tcPr>
            <w:tcW w:w="74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13,207,807</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liabilities redeemable convertible preferred</w:t>
            </w: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70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stock and stockholders' equity .....................</w:t>
            </w: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$ 17,908,329</w:t>
            </w:r>
          </w:p>
        </w:tc>
        <w:tc>
          <w:tcPr>
            <w:tcW w:w="2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$ 20,803,076</w:t>
            </w:r>
          </w:p>
        </w:tc>
      </w:tr>
      <w:tr>
        <w:trPr>
          <w:trHeight w:val="203"/>
        </w:trPr>
        <w:tc>
          <w:tcPr>
            <w:tcW w:w="7020" w:type="dxa"/>
            <w:vAlign w:val="bottom"/>
          </w:tcPr>
          <w:p>
            <w:pPr>
              <w:spacing w:after="0"/>
              <w:rPr>
                <w:sz w:val="17"/>
                <w:szCs w:val="17"/>
                <w:color w:val="auto"/>
              </w:rPr>
            </w:pP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000" w:hanging="412"/>
        <w:spacing w:after="0" w:line="235" w:lineRule="auto"/>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Derived from the Company's audited financial statements as of December 31, 2001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ectPr>
          <w:pgSz w:w="11900" w:h="16838" w:orient="portrait"/>
          <w:cols w:equalWidth="0" w:num="1">
            <w:col w:w="10860"/>
          </w:cols>
          <w:pgMar w:left="240" w:top="919" w:right="799" w:bottom="159" w:gutter="0" w:footer="0" w:header="0"/>
        </w:sectPr>
      </w:pPr>
    </w:p>
    <w:bookmarkStart w:id="3" w:name="page4"/>
    <w:bookmarkEnd w:id="3"/>
    <w:p>
      <w:pPr>
        <w:ind w:left="30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28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460" w:type="dxa"/>
            <w:vAlign w:val="bottom"/>
          </w:tcPr>
          <w:p>
            <w:pPr>
              <w:spacing w:after="0"/>
              <w:rPr>
                <w:sz w:val="17"/>
                <w:szCs w:val="17"/>
                <w:color w:val="auto"/>
              </w:rPr>
            </w:pPr>
          </w:p>
        </w:tc>
        <w:tc>
          <w:tcPr>
            <w:tcW w:w="2860" w:type="dxa"/>
            <w:vAlign w:val="bottom"/>
            <w:gridSpan w:val="3"/>
          </w:tcPr>
          <w:p>
            <w:pPr>
              <w:jc w:val="right"/>
              <w:ind w:right="5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160" w:type="dxa"/>
            <w:vAlign w:val="bottom"/>
          </w:tcPr>
          <w:p>
            <w:pPr>
              <w:spacing w:after="0"/>
              <w:rPr>
                <w:sz w:val="17"/>
                <w:szCs w:val="17"/>
                <w:color w:val="auto"/>
              </w:rPr>
            </w:pPr>
          </w:p>
        </w:tc>
      </w:tr>
      <w:tr>
        <w:trPr>
          <w:trHeight w:val="203"/>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2002</w:t>
            </w:r>
          </w:p>
        </w:tc>
        <w:tc>
          <w:tcPr>
            <w:tcW w:w="320" w:type="dxa"/>
            <w:vAlign w:val="bottom"/>
          </w:tcPr>
          <w:p>
            <w:pPr>
              <w:spacing w:after="0"/>
              <w:rPr>
                <w:sz w:val="17"/>
                <w:szCs w:val="17"/>
                <w:color w:val="auto"/>
              </w:rPr>
            </w:pPr>
          </w:p>
        </w:tc>
        <w:tc>
          <w:tcPr>
            <w:tcW w:w="11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(RESTATED)</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Revenue from grants .................................</w:t>
            </w:r>
          </w:p>
        </w:tc>
        <w:tc>
          <w:tcPr>
            <w:tcW w:w="4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111,299</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100,000</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Operating expenses:</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Research and development ............................</w:t>
            </w:r>
          </w:p>
        </w:tc>
        <w:tc>
          <w:tcPr>
            <w:tcW w:w="4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1,536,996</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1,644,257</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General and administrative ..........................</w:t>
            </w:r>
          </w:p>
        </w:tc>
        <w:tc>
          <w:tcPr>
            <w:tcW w:w="4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1,339,373</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996,862</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2,876,369</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2,641,119</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Loss from operations ....................................</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(2,765,070)</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w w:val="95"/>
              </w:rPr>
              <w:t>(2,541,119)</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Other income (expense):</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Investment income ..................................</w:t>
            </w:r>
          </w:p>
        </w:tc>
        <w:tc>
          <w:tcPr>
            <w:tcW w:w="4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17,521</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79,041</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Interest expense ...................................</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(58,624)</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Gain on sale of investments ........................</w:t>
            </w:r>
          </w:p>
        </w:tc>
        <w:tc>
          <w:tcPr>
            <w:tcW w:w="460" w:type="dxa"/>
            <w:vAlign w:val="bottom"/>
          </w:tcPr>
          <w:p>
            <w:pPr>
              <w:spacing w:after="0"/>
              <w:rPr>
                <w:sz w:val="17"/>
                <w:szCs w:val="17"/>
                <w:color w:val="auto"/>
              </w:rPr>
            </w:pP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2,550,230</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Other income (expense) .............................</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(3,953)</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180,389</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Total other income (expense), net .......................</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(45,056)</w:t>
            </w:r>
          </w:p>
        </w:tc>
        <w:tc>
          <w:tcPr>
            <w:tcW w:w="3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2,809,660</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Net income (loss) .......................................</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(2,810,126)</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268,541</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Deemed dividend to preferred shareholders ...............</w:t>
            </w:r>
          </w:p>
        </w:tc>
        <w:tc>
          <w:tcPr>
            <w:tcW w:w="46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(320,001)</w:t>
            </w: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(331,498)</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7"/>
              </w:rPr>
              <w:t>Net Income (loss) applicable to common shareholders .....</w:t>
            </w:r>
          </w:p>
        </w:tc>
        <w:tc>
          <w:tcPr>
            <w:tcW w:w="184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 (3,130,127)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(62,957)</w:t>
            </w:r>
          </w:p>
        </w:tc>
      </w:tr>
      <w:tr>
        <w:trPr>
          <w:trHeight w:val="203"/>
        </w:trPr>
        <w:tc>
          <w:tcPr>
            <w:tcW w:w="6280" w:type="dxa"/>
            <w:vAlign w:val="bottom"/>
          </w:tcPr>
          <w:p>
            <w:pPr>
              <w:spacing w:after="0"/>
              <w:rPr>
                <w:sz w:val="17"/>
                <w:szCs w:val="17"/>
                <w:color w:val="auto"/>
              </w:rPr>
            </w:pPr>
          </w:p>
        </w:tc>
        <w:tc>
          <w:tcPr>
            <w:tcW w:w="184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280" w:type="dxa"/>
            <w:vAlign w:val="bottom"/>
          </w:tcPr>
          <w:p>
            <w:pPr>
              <w:spacing w:after="0" w:line="203" w:lineRule="exact"/>
              <w:rPr>
                <w:sz w:val="20"/>
                <w:szCs w:val="20"/>
                <w:color w:val="auto"/>
              </w:rPr>
            </w:pPr>
            <w:r>
              <w:rPr>
                <w:rFonts w:ascii="Courier New" w:cs="Courier New" w:eastAsia="Courier New" w:hAnsi="Courier New"/>
                <w:sz w:val="18"/>
                <w:szCs w:val="18"/>
                <w:color w:val="auto"/>
              </w:rPr>
              <w:t>Basic earnings per share:</w:t>
            </w: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(loss) per share .........................</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$(0.13)</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Weighted average shares - ...........................</w:t>
            </w:r>
          </w:p>
        </w:tc>
        <w:tc>
          <w:tcPr>
            <w:tcW w:w="46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24,220,952</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20,989,127</w:t>
            </w:r>
          </w:p>
        </w:tc>
      </w:tr>
      <w:tr>
        <w:trPr>
          <w:trHeight w:val="405"/>
        </w:trPr>
        <w:tc>
          <w:tcPr>
            <w:tcW w:w="6280" w:type="dxa"/>
            <w:vAlign w:val="bottom"/>
          </w:tcPr>
          <w:p>
            <w:pPr>
              <w:spacing w:after="0"/>
              <w:rPr>
                <w:sz w:val="20"/>
                <w:szCs w:val="20"/>
                <w:color w:val="auto"/>
              </w:rPr>
            </w:pPr>
            <w:r>
              <w:rPr>
                <w:rFonts w:ascii="Courier New" w:cs="Courier New" w:eastAsia="Courier New" w:hAnsi="Courier New"/>
                <w:sz w:val="18"/>
                <w:szCs w:val="18"/>
                <w:color w:val="auto"/>
              </w:rPr>
              <w:t>Diluted earnings per share:</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62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Net income (loss) per share .........................</w:t>
            </w:r>
          </w:p>
        </w:tc>
        <w:tc>
          <w:tcPr>
            <w:tcW w:w="46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$(0.13)</w:t>
            </w:r>
          </w:p>
        </w:tc>
        <w:tc>
          <w:tcPr>
            <w:tcW w:w="320" w:type="dxa"/>
            <w:vAlign w:val="bottom"/>
          </w:tcPr>
          <w:p>
            <w:pPr>
              <w:spacing w:after="0"/>
              <w:rPr>
                <w:sz w:val="17"/>
                <w:szCs w:val="17"/>
                <w:color w:val="auto"/>
              </w:rPr>
            </w:pPr>
          </w:p>
        </w:tc>
        <w:tc>
          <w:tcPr>
            <w:tcW w:w="11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2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Weighted average shares .............................</w:t>
            </w:r>
          </w:p>
        </w:tc>
        <w:tc>
          <w:tcPr>
            <w:tcW w:w="460" w:type="dxa"/>
            <w:vAlign w:val="bottom"/>
          </w:tcPr>
          <w:p>
            <w:pPr>
              <w:spacing w:after="0"/>
              <w:rPr>
                <w:sz w:val="24"/>
                <w:szCs w:val="24"/>
                <w:color w:val="auto"/>
              </w:rPr>
            </w:pPr>
          </w:p>
        </w:tc>
        <w:tc>
          <w:tcPr>
            <w:tcW w:w="138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6"/>
              </w:rPr>
              <w:t>24,220,952</w:t>
            </w:r>
          </w:p>
        </w:tc>
        <w:tc>
          <w:tcPr>
            <w:tcW w:w="320" w:type="dxa"/>
            <w:vAlign w:val="bottom"/>
          </w:tcPr>
          <w:p>
            <w:pPr>
              <w:spacing w:after="0"/>
              <w:rPr>
                <w:sz w:val="24"/>
                <w:szCs w:val="24"/>
                <w:color w:val="auto"/>
              </w:rPr>
            </w:pPr>
          </w:p>
        </w:tc>
        <w:tc>
          <w:tcPr>
            <w:tcW w:w="116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4"/>
              </w:rPr>
              <w:t>22,405,358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Less than $(0.01)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1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STEMCELLS, INC.</w:t>
      </w:r>
    </w:p>
    <w:p>
      <w:pPr>
        <w:spacing w:after="0" w:line="238" w:lineRule="auto"/>
        <w:rPr>
          <w:sz w:val="20"/>
          <w:szCs w:val="20"/>
          <w:color w:val="auto"/>
        </w:rPr>
      </w:pPr>
      <w:r>
        <w:rPr>
          <w:rFonts w:ascii="Courier New" w:cs="Courier New" w:eastAsia="Courier New" w:hAnsi="Courier New"/>
          <w:sz w:val="18"/>
          <w:szCs w:val="18"/>
          <w:color w:val="auto"/>
        </w:rPr>
        <w:t>CONDENSED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tcPr>
          <w:p>
            <w:pPr>
              <w:spacing w:after="0"/>
              <w:rPr>
                <w:sz w:val="20"/>
                <w:szCs w:val="20"/>
                <w:color w:val="auto"/>
              </w:rPr>
            </w:pPr>
            <w:r>
              <w:rPr>
                <w:rFonts w:ascii="Courier New" w:cs="Courier New" w:eastAsia="Courier New" w:hAnsi="Courier New"/>
                <w:sz w:val="18"/>
                <w:szCs w:val="18"/>
                <w:color w:val="auto"/>
              </w:rPr>
              <w:t>(unaudited)</w:t>
            </w:r>
          </w:p>
        </w:tc>
        <w:tc>
          <w:tcPr>
            <w:tcW w:w="320" w:type="dxa"/>
            <w:vAlign w:val="bottom"/>
          </w:tcPr>
          <w:p>
            <w:pPr>
              <w:spacing w:after="0"/>
              <w:rPr>
                <w:sz w:val="17"/>
                <w:szCs w:val="17"/>
                <w:color w:val="auto"/>
              </w:rPr>
            </w:pPr>
          </w:p>
        </w:tc>
        <w:tc>
          <w:tcPr>
            <w:tcW w:w="316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7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160" w:type="dxa"/>
            <w:vAlign w:val="bottom"/>
          </w:tcPr>
          <w:p>
            <w:pPr>
              <w:spacing w:after="0"/>
              <w:rPr>
                <w:sz w:val="17"/>
                <w:szCs w:val="17"/>
                <w:color w:val="auto"/>
              </w:rPr>
            </w:pPr>
          </w:p>
        </w:tc>
      </w:tr>
      <w:tr>
        <w:trPr>
          <w:trHeight w:val="203"/>
        </w:trPr>
        <w:tc>
          <w:tcPr>
            <w:tcW w:w="7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2002</w:t>
            </w:r>
          </w:p>
        </w:tc>
        <w:tc>
          <w:tcPr>
            <w:tcW w:w="46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7900" w:type="dxa"/>
            <w:vAlign w:val="bottom"/>
          </w:tcPr>
          <w:p>
            <w:pPr>
              <w:spacing w:after="0"/>
              <w:rPr>
                <w:sz w:val="17"/>
                <w:szCs w:val="17"/>
                <w:color w:val="auto"/>
              </w:rPr>
            </w:pPr>
          </w:p>
        </w:tc>
        <w:tc>
          <w:tcPr>
            <w:tcW w:w="18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(loss) .......................................................</w:t>
            </w:r>
          </w:p>
        </w:tc>
        <w:tc>
          <w:tcPr>
            <w:tcW w:w="18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$(2,810,126)</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268,541</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Adjustments to reconcile net income (loss) to net cash used in</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90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Depreciation and amortization .......................................</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96,247</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142,554</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Amortization of deferred compensation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(288,915)</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67,287</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Compensation expense relating to the grant of stock options .........</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35,215</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60,933</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Gain on sale of investments</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(2,550,230)</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changes in operating assets and liabilities .........................</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11,101</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(1,812,084)</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operating activities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(2,956,478)</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(3,822,999)</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sale of investments</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2,550,230</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Purchase of property, plant and equipment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(17,688)</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(114,734)</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Acquisition of other assets</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(126,391)</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w w:val="99"/>
              </w:rPr>
              <w:t>Net cash (used in) provided by investing activities .....................</w:t>
            </w:r>
          </w:p>
        </w:tc>
        <w:tc>
          <w:tcPr>
            <w:tcW w:w="320" w:type="dxa"/>
            <w:vAlign w:val="bottom"/>
          </w:tcPr>
          <w:p>
            <w:pPr>
              <w:spacing w:after="0"/>
              <w:rPr>
                <w:sz w:val="24"/>
                <w:szCs w:val="24"/>
                <w:color w:val="auto"/>
              </w:rPr>
            </w:pPr>
          </w:p>
        </w:tc>
        <w:tc>
          <w:tcPr>
            <w:tcW w:w="154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(17,688)</w:t>
            </w:r>
          </w:p>
        </w:tc>
        <w:tc>
          <w:tcPr>
            <w:tcW w:w="460" w:type="dxa"/>
            <w:vAlign w:val="bottom"/>
          </w:tcPr>
          <w:p>
            <w:pPr>
              <w:spacing w:after="0"/>
              <w:rPr>
                <w:sz w:val="24"/>
                <w:szCs w:val="24"/>
                <w:color w:val="auto"/>
              </w:rPr>
            </w:pP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2,309,105</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3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Proceeds from the exercise of stock options .........................</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107</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26,605</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Expenses relating to the issuance of common stock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(10,663)</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Principal payments under capitalized lease obligations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(83,750)</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(82,500)</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provided by financing activities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(94,306)</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(55,895)</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decrease in cash and cash equivalents ...............................</w:t>
            </w:r>
          </w:p>
        </w:tc>
        <w:tc>
          <w:tcPr>
            <w:tcW w:w="320" w:type="dxa"/>
            <w:vAlign w:val="bottom"/>
          </w:tcPr>
          <w:p>
            <w:pPr>
              <w:spacing w:after="0"/>
              <w:rPr>
                <w:sz w:val="17"/>
                <w:szCs w:val="17"/>
                <w:color w:val="auto"/>
              </w:rPr>
            </w:pPr>
          </w:p>
        </w:tc>
        <w:tc>
          <w:tcPr>
            <w:tcW w:w="154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5"/>
              </w:rPr>
              <w:t>(3,068,472)</w:t>
            </w:r>
          </w:p>
        </w:tc>
        <w:tc>
          <w:tcPr>
            <w:tcW w:w="4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(1,569,789)</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beginning of period ..........................</w:t>
            </w:r>
          </w:p>
        </w:tc>
        <w:tc>
          <w:tcPr>
            <w:tcW w:w="320" w:type="dxa"/>
            <w:vAlign w:val="bottom"/>
          </w:tcPr>
          <w:p>
            <w:pPr>
              <w:spacing w:after="0"/>
              <w:rPr>
                <w:sz w:val="17"/>
                <w:szCs w:val="17"/>
                <w:color w:val="auto"/>
              </w:rPr>
            </w:pP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6"/>
              </w:rPr>
              <w:t>13,697,195</w:t>
            </w:r>
          </w:p>
        </w:tc>
        <w:tc>
          <w:tcPr>
            <w:tcW w:w="460" w:type="dxa"/>
            <w:vAlign w:val="bottom"/>
          </w:tcPr>
          <w:p>
            <w:pPr>
              <w:spacing w:after="0"/>
              <w:rPr>
                <w:sz w:val="17"/>
                <w:szCs w:val="17"/>
                <w:color w:val="auto"/>
              </w:rPr>
            </w:pP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6,068,947</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9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Cash and cash equivalents, end of period ................................</w:t>
            </w: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$10,628,723</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$ 4,499,158</w:t>
            </w:r>
          </w:p>
        </w:tc>
      </w:tr>
      <w:tr>
        <w:trPr>
          <w:trHeight w:val="203"/>
        </w:trPr>
        <w:tc>
          <w:tcPr>
            <w:tcW w:w="7900" w:type="dxa"/>
            <w:vAlign w:val="bottom"/>
          </w:tcPr>
          <w:p>
            <w:pPr>
              <w:spacing w:after="0"/>
              <w:rPr>
                <w:sz w:val="17"/>
                <w:szCs w:val="17"/>
                <w:color w:val="auto"/>
              </w:rPr>
            </w:pPr>
          </w:p>
        </w:tc>
        <w:tc>
          <w:tcPr>
            <w:tcW w:w="186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tcPr>
          <w:p>
            <w:pPr>
              <w:spacing w:after="0"/>
              <w:rPr>
                <w:sz w:val="20"/>
                <w:szCs w:val="20"/>
                <w:color w:val="auto"/>
              </w:rPr>
            </w:pPr>
            <w:r>
              <w:rPr>
                <w:rFonts w:ascii="Courier New" w:cs="Courier New" w:eastAsia="Courier New" w:hAnsi="Courier New"/>
                <w:sz w:val="18"/>
                <w:szCs w:val="18"/>
                <w:color w:val="auto"/>
              </w:rPr>
              <w:t>Supplemental disclosure of cash flow information:</w:t>
            </w:r>
          </w:p>
        </w:tc>
        <w:tc>
          <w:tcPr>
            <w:tcW w:w="3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7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Interest paid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58,624</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64,460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financial statements.</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1380"/>
          </w:cols>
          <w:pgMar w:left="240" w:top="919" w:right="279"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PART I - ITEM 1. -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 TO CONDENSED CONSOLIDATED FINANCIAL STATEMENTS (UNAUDITED)</w:t>
      </w:r>
    </w:p>
    <w:p>
      <w:pPr>
        <w:spacing w:after="0" w:line="238" w:lineRule="auto"/>
        <w:rPr>
          <w:sz w:val="20"/>
          <w:szCs w:val="20"/>
          <w:color w:val="auto"/>
        </w:rPr>
      </w:pPr>
      <w:r>
        <w:rPr>
          <w:rFonts w:ascii="Courier New" w:cs="Courier New" w:eastAsia="Courier New" w:hAnsi="Courier New"/>
          <w:sz w:val="18"/>
          <w:szCs w:val="18"/>
          <w:color w:val="auto"/>
        </w:rPr>
        <w:t>March 31, 2002 and 2001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1. SUMMARY OF SIGNIFICANT ACCOUNTING POLICIES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accompanying, unaudited, condensed consolidated financial statements have been prepared by the Company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the accompanying financial statements include all adjustments, consisting of normal recurring accruals, considered necessary for a fair presentation of the financial position, results of operations and cash flows for the periods presented. Results of operations for the three months ended March 31, 2002 are not necessarily indicative of the results that may be expected for the entire fiscal year ending December 31, 2002.</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balance sheet at December 31, 2001 has been derived from the audited financial statements at that date but does not include all of the information and footnotes required for complete financial statements in accordance with accounting principles generally accepted in the United States. For the complete financial statements, refer to the audited financial statements and footnotes thereto as of December 31, 2001, included on Form 10-K.</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RESTATEMENT OF FINANCIAL STATEMENTS</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has restated its unaudited consolidated statements of operations for the quarter ended March 31, 2001. The restatement is being made in order to record additional deemed dividends for the beneficial conversion feature of the 6% Cumulative Convertible Preferred Stock which should have been recorded in connection with the subsequent reduction to the effective conversion price resulting from the issuance in that quarter of adjustable warrants to Millennium Partners, LP in connection with a common stock financing transaction. Accordingly, in its restated financial statements, the Company has recorded additional deemed dividends of $331,498 for the quarter ended March 31, 2001.</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INCOME (LOSS) PER SHARE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Basic net income (loss) per common share is computed using the weighted average number of common shares outstanding during the period. Diluted net income (loss) per share is computed using the weighted average of common and diluted equivalent stock options and warrants outstanding during the period. Stock options and warrants that are antidilutive are excluded from the calculation of diluted income per common share. The Company excluded all stock options and warrants from the calculation of diluted loss per common share for the three-month period ended March 31, 2002, as these securities are antidilutive during that period.</w:t>
      </w:r>
    </w:p>
    <w:p>
      <w:pPr>
        <w:spacing w:after="0" w:line="200" w:lineRule="exact"/>
        <w:rPr>
          <w:sz w:val="20"/>
          <w:szCs w:val="20"/>
          <w:color w:val="auto"/>
        </w:rPr>
      </w:pPr>
    </w:p>
    <w:p>
      <w:pPr>
        <w:spacing w:after="0" w:line="21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19"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COMPREHENSIVE INCOME (LOSS)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Comprehensive income (loss) is comprised of net income (loss) and other</w:t>
      </w:r>
    </w:p>
    <w:p>
      <w:pPr>
        <w:spacing w:after="0" w:line="238" w:lineRule="auto"/>
        <w:rPr>
          <w:sz w:val="20"/>
          <w:szCs w:val="20"/>
          <w:color w:val="auto"/>
        </w:rPr>
      </w:pPr>
      <w:r>
        <w:rPr>
          <w:rFonts w:ascii="Courier New" w:cs="Courier New" w:eastAsia="Courier New" w:hAnsi="Courier New"/>
          <w:sz w:val="18"/>
          <w:szCs w:val="18"/>
          <w:color w:val="auto"/>
        </w:rPr>
        <w:t>comprehensive income. The only component of other comprehensive income is</w:t>
      </w:r>
    </w:p>
    <w:p>
      <w:pPr>
        <w:spacing w:after="0"/>
        <w:rPr>
          <w:sz w:val="20"/>
          <w:szCs w:val="20"/>
          <w:color w:val="auto"/>
        </w:rPr>
      </w:pPr>
      <w:r>
        <w:rPr>
          <w:rFonts w:ascii="Courier New" w:cs="Courier New" w:eastAsia="Courier New" w:hAnsi="Courier New"/>
          <w:sz w:val="18"/>
          <w:szCs w:val="18"/>
          <w:color w:val="auto"/>
        </w:rPr>
        <w:t>unrealized gains and losses on available for sale securities. For the three</w:t>
      </w:r>
    </w:p>
    <w:p>
      <w:pPr>
        <w:spacing w:after="0" w:line="237" w:lineRule="auto"/>
        <w:rPr>
          <w:sz w:val="20"/>
          <w:szCs w:val="20"/>
          <w:color w:val="auto"/>
        </w:rPr>
      </w:pPr>
      <w:r>
        <w:rPr>
          <w:rFonts w:ascii="Courier New" w:cs="Courier New" w:eastAsia="Courier New" w:hAnsi="Courier New"/>
          <w:sz w:val="18"/>
          <w:szCs w:val="18"/>
          <w:color w:val="auto"/>
        </w:rPr>
        <w:t>months ended March 31, 2002 and 2001, net income (loss) was ($2,810,126)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$268,541 respectively. For the three months ended March 31, 2002 and 2001, total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loss was $2,810,126 and $7,675,143 respectively. For the three</w:t>
      </w:r>
    </w:p>
    <w:p>
      <w:pPr>
        <w:spacing w:after="0" w:line="238" w:lineRule="auto"/>
        <w:rPr>
          <w:sz w:val="20"/>
          <w:szCs w:val="20"/>
          <w:color w:val="auto"/>
        </w:rPr>
      </w:pPr>
      <w:r>
        <w:rPr>
          <w:rFonts w:ascii="Courier New" w:cs="Courier New" w:eastAsia="Courier New" w:hAnsi="Courier New"/>
          <w:sz w:val="18"/>
          <w:szCs w:val="18"/>
          <w:color w:val="auto"/>
        </w:rPr>
        <w:t>months ended March 31, 2001 other comprehensive loss includes $5,393,454 in</w:t>
      </w:r>
    </w:p>
    <w:p>
      <w:pPr>
        <w:spacing w:after="0"/>
        <w:rPr>
          <w:sz w:val="20"/>
          <w:szCs w:val="20"/>
          <w:color w:val="auto"/>
        </w:rPr>
      </w:pPr>
      <w:r>
        <w:rPr>
          <w:rFonts w:ascii="Courier New" w:cs="Courier New" w:eastAsia="Courier New" w:hAnsi="Courier New"/>
          <w:sz w:val="18"/>
          <w:szCs w:val="18"/>
          <w:color w:val="auto"/>
        </w:rPr>
        <w:t>unrealized losses on available for sale securities. There were no unrealized</w:t>
      </w:r>
    </w:p>
    <w:p>
      <w:pPr>
        <w:spacing w:after="0" w:line="237" w:lineRule="auto"/>
        <w:rPr>
          <w:sz w:val="20"/>
          <w:szCs w:val="20"/>
          <w:color w:val="auto"/>
        </w:rPr>
      </w:pPr>
      <w:r>
        <w:rPr>
          <w:rFonts w:ascii="Courier New" w:cs="Courier New" w:eastAsia="Courier New" w:hAnsi="Courier New"/>
          <w:sz w:val="18"/>
          <w:szCs w:val="18"/>
          <w:color w:val="auto"/>
        </w:rPr>
        <w:t>gains or losses on available for sale securities for the three months ended</w:t>
      </w:r>
    </w:p>
    <w:p>
      <w:pPr>
        <w:spacing w:after="0" w:line="238" w:lineRule="auto"/>
        <w:rPr>
          <w:sz w:val="20"/>
          <w:szCs w:val="20"/>
          <w:color w:val="auto"/>
        </w:rPr>
      </w:pPr>
      <w:r>
        <w:rPr>
          <w:rFonts w:ascii="Courier New" w:cs="Courier New" w:eastAsia="Courier New" w:hAnsi="Courier New"/>
          <w:sz w:val="18"/>
          <w:szCs w:val="18"/>
          <w:color w:val="auto"/>
        </w:rPr>
        <w:t>March 31, 2002.</w:t>
      </w:r>
    </w:p>
    <w:p>
      <w:pPr>
        <w:spacing w:after="0" w:line="200" w:lineRule="exact"/>
        <w:rPr>
          <w:sz w:val="20"/>
          <w:szCs w:val="20"/>
          <w:color w:val="auto"/>
        </w:rPr>
      </w:pPr>
    </w:p>
    <w:p>
      <w:pPr>
        <w:spacing w:after="0" w:line="2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19"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Revenues from collaborative agreements and grants are recognized as earned upon either the incurring of reimbursable expenses directly related to the particular research plan or the completion of certain development milestones as defined within the terms of the collaborative agreement. Payments received in advance of research performed are designated as deferred revenue. The Company recognizes non-refundable upfront license fees and certain other related fees on a straight-line basis over the development period. Fees associated with substantive at risk, performance based milestones are recognized as revenue upon their completion, as defined in the respective agreements. Incidental assignment of technology rights are recognized as revenue at the time of receipt.</w:t>
      </w:r>
    </w:p>
    <w:p>
      <w:pPr>
        <w:spacing w:after="0" w:line="38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19" w:right="1440" w:bottom="1440" w:gutter="0" w:footer="0" w:header="0"/>
        </w:sectPr>
      </w:pPr>
    </w:p>
    <w:bookmarkStart w:id="9" w:name="page10"/>
    <w:bookmarkEnd w:id="9"/>
    <w:p>
      <w:pPr>
        <w:spacing w:after="0"/>
        <w:tabs>
          <w:tab w:leader="none" w:pos="940" w:val="left"/>
        </w:tabs>
        <w:rPr>
          <w:sz w:val="20"/>
          <w:szCs w:val="20"/>
          <w:color w:val="auto"/>
        </w:rPr>
      </w:pPr>
      <w:r>
        <w:rPr>
          <w:rFonts w:ascii="Courier New" w:cs="Courier New" w:eastAsia="Courier New" w:hAnsi="Courier New"/>
          <w:sz w:val="18"/>
          <w:szCs w:val="18"/>
          <w:color w:val="auto"/>
        </w:rPr>
        <w:t>NOTE 2.</w:t>
      </w:r>
      <w:r>
        <w:rPr>
          <w:sz w:val="20"/>
          <w:szCs w:val="20"/>
          <w:color w:val="auto"/>
        </w:rPr>
        <w:tab/>
      </w:r>
      <w:r>
        <w:rPr>
          <w:rFonts w:ascii="Courier New" w:cs="Courier New" w:eastAsia="Courier New" w:hAnsi="Courier New"/>
          <w:sz w:val="16"/>
          <w:szCs w:val="16"/>
          <w:color w:val="auto"/>
        </w:rPr>
        <w:t>INVESTMENTS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At December 31, 2000, the Company owned 126,193 shares of Modex</w:t>
      </w:r>
    </w:p>
    <w:p>
      <w:pPr>
        <w:spacing w:after="0" w:line="238" w:lineRule="auto"/>
        <w:rPr>
          <w:sz w:val="20"/>
          <w:szCs w:val="20"/>
          <w:color w:val="auto"/>
        </w:rPr>
      </w:pPr>
      <w:r>
        <w:rPr>
          <w:rFonts w:ascii="Courier New" w:cs="Courier New" w:eastAsia="Courier New" w:hAnsi="Courier New"/>
          <w:sz w:val="18"/>
          <w:szCs w:val="18"/>
          <w:color w:val="auto"/>
        </w:rPr>
        <w:t>Therapeutics Ltd. ("Modex"), a Swiss biotechnology company traded on the Swiss</w:t>
      </w:r>
    </w:p>
    <w:p>
      <w:pPr>
        <w:spacing w:after="0"/>
        <w:rPr>
          <w:sz w:val="20"/>
          <w:szCs w:val="20"/>
          <w:color w:val="auto"/>
        </w:rPr>
      </w:pPr>
      <w:r>
        <w:rPr>
          <w:rFonts w:ascii="Courier New" w:cs="Courier New" w:eastAsia="Courier New" w:hAnsi="Courier New"/>
          <w:sz w:val="18"/>
          <w:szCs w:val="18"/>
          <w:color w:val="auto"/>
        </w:rPr>
        <w:t>Exchange. On January 9, 2001, the Company sold 22,616 Modex shares for a net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price of 182.00 Swiss francs per share, which converts to $112.76 per share, for</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total proceeds of $2,550,230. On April 30, 2001, the Company sold its remaining</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in Modex for a net price of 87.30 Swiss Francs per share, which converts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 approximately $50.51 per share, for total proceeds of approximately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$5,232,168, net of commissions and fees. The Company no longer holds any shares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Modex.</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NOTE 3. WIND-DOWN OF ENCAPSULATED CELL TECHNOLOGY RESEARCH AND DEVELOPMENT PROGRAM</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Until mid-1999, the Company engaged in research and development in encapsulated cell therapy technology, including a pain control program funded by AstraZeneca Group plc. The results from the 85-patient double-blind, placebo-controlled trial of an encapsulated bovine cell implant for the treatment of severe, chronic pain in cancer patients did not, however, meet the criteria AstraZeneca had established for continuing trials for the therapy, and in June 1999 AstraZeneca terminated the collaboration, as allowed under the terms of the original collaborative agreement signed in 1995.</w:t>
      </w:r>
    </w:p>
    <w:p>
      <w:pPr>
        <w:spacing w:after="0" w:line="200" w:lineRule="exact"/>
        <w:rPr>
          <w:sz w:val="20"/>
          <w:szCs w:val="20"/>
          <w:color w:val="auto"/>
        </w:rPr>
      </w:pPr>
    </w:p>
    <w:p>
      <w:pPr>
        <w:spacing w:after="0" w:line="2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0" w:name="page11"/>
    <w:bookmarkEnd w:id="10"/>
    <w:p>
      <w:pPr>
        <w:ind w:right="1779" w:firstLine="527"/>
        <w:spacing w:after="0" w:line="269" w:lineRule="auto"/>
        <w:rPr>
          <w:sz w:val="20"/>
          <w:szCs w:val="20"/>
          <w:color w:val="auto"/>
        </w:rPr>
      </w:pPr>
      <w:r>
        <w:rPr>
          <w:rFonts w:ascii="Courier New" w:cs="Courier New" w:eastAsia="Courier New" w:hAnsi="Courier New"/>
          <w:sz w:val="16"/>
          <w:szCs w:val="16"/>
          <w:color w:val="auto"/>
        </w:rPr>
        <w:t>As a result of termination, management determined in July 1999 to restructure research operations to abandon all further encapsulated cell technology research and to concentrate resources on the research and development of its proprietary platform of stem cell technologies. The Company wound down its research and manufacturing operations in Lincoln, Rhode Island, and relocated its remaining research and development activities, and its corporate headquarters, to the facilities of its wholly owned subsidiary, StemCells California, Inc., in California, in October 1999. As a result, the Company sold excess furniture and equipment in December 1999 and has subleased a major portion of the facilities it formerly occupied in Rhode Island; the Company is actively seeking to sell or assign its interest in these facilities. In December 2000, the Company had a reserve of $1.7 million related to the carrying costs for the Rhode Island facilities through 2001. In the year 2001 the Company paid $1.7 million of expenses, which were recorded against the reserve. Even though the Company intends to dispose of these facilities at the earliest possible time, it cannot determine with certainty a fixed date by which such disposal will occur. In light of this uncertainty, for the year 2002 and beyond, the Company will record further costs as operating expenses as incurred. For the three months ended March 31, 2002 the Company recorded $298,000 of expenses related to the Rhode Island facilities as general and administrative expenses.</w:t>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 4. LEASES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As of February 1, 2001, the Company entered into a 5-year lease for a 40,000 square foot facility located in the Stanford Research Park in Palo Alto, CA. The new facility includes space for animals, laboratories, offices, and a GMP (Good Manufacturing Practices) suite. GMP facilities can be used to manufacture materials for clinical trials. The rent will average approximately $3.15 million per year over the term of the lease. In addition the Company has issued a letter of credit amounting to $275,000 to serve as a deposit for the duration of the lease. The lease has a rent escalation clause and accordingly, the Company is recognizing rent expense on a straight-line basis. At March 31, 2002, the Company had $436,310 in deferred rent expense for this facility. In May 2001, the Company entered into a space-sharing agreement effective February 1, 2001, covering approximately 11,000 square feet of the 40,000 square foot facility. The Company will receive an average of approximately $800,000 per year plus a proportionate share of the operating expenses over the term of the lease. The Company entered into an additional space sharing agreement effective September 2001 covering approximately 1,973 square feet, from which it will receive an average of approximately $170,000 plus operating expenses as charged over the term of the lease.</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had undertaken direct financing transactions with the State of Rhode Island and received proceeds from the issuance of industrial revenue bonds totaling $5,000,000 to finance the construction of its pilot manufacturing facility. The related leases are structured such that lease payments will fully fund all semiannual interest payments and annual principal payments through maturity in August 2014. Fixed interest rates vary with the respective bonds' maturities, ranging from 5.1% to 9.5%. The bonds contain certain restrictive covenants that limit, among other things, the payment of cash dividends and the sale of the related assets.</w:t>
      </w:r>
    </w:p>
    <w:p>
      <w:pPr>
        <w:spacing w:after="0" w:line="214"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Company entered into a fifteen-year lease for a scientific and administrative facility ("SAF") in connection with a sale and leaseback arrangement in 1997. The lease has a rent escalation clause and accordingly, the Company is recognizing rent expense on a straight-line basis. At March 31, 2002, the Company had $987,102 in deferred rent expense for this facility.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The Company continues to lease the facilities in Lincoln, Rhode Island obtained in connection with its former encapsulated cell technology, but have now succeeded in subleasing the majority of those facilities: the 21,000 square-foot pilot manufacturing facility, the 3,000 square-foot cell processing facility and a major portion of the approximately 65,000 square foot SAF. As part of the subleasing agreement, the Company has issued two letters of credit: one for $106,560 with an expiration date of March 31, 2003, and the other for $159,000 which will automatically decrease to $106,053 in March 31, 2005 and $52,947 in March 2006, with a final expiration date of March 31, 2007. The Company continues to seek to sublet the remainder of the SAF and to assign or sell its interests in these properties. There can be no assurance however, that the Company will be able to dispose of these properties in a reasonable time, if at all.</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362"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NOTE 5. GRANTS</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In February 2001, the Company was awarded a two-year, $300,000 per year grant from the National Institutes of Health's Small Business Innovation Research (SBIR) office. The grant, which supports joint work with virologist Dr. Jeffrey Glenn at Stanford University, is aimed at characterizing the human cells that can be infected by human hepatitis viruses and developing a small animal model using the cells that are most infectable by these viruses to develop screening assays and identify novel drug for the disease. In the year 2001, the Company received $300,000, of which $150,367 represents the Company's share of the joint effort and has been recognized as revenue. The remainder, $149,633, was paid to Stanford University as its share of the joint effort. On March 26, 2002 the Company received $204,682 as part payment for the second year, of which $55,049 was recognized as revenue and the balance of $149,633 was paid to Stanford University as its share of the joint effort.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September 30 2001, the Company was awarded a four-year, $225,000 per year, grant from the National Institute of Diabetes &amp; Digestive &amp; Kidney Disorders of the National Institutes of Health for the Company's liver stem cell program which focuses on identifying liver stem and progenitor cells for the treatment of liver diseases. The grant is subject to the availability of funds and satisfactory progress of the project. In 2001, the Company received and recognized as revenue $56,250 related to this award. For the three months ended March 31, 2002, the Company received and recognized as revenue $56,250.</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NOTE 6. STOCKHOLDERS' EQUITY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 CUMULATIVE CONVERTIBLE PREFERRED STOCK</w:t>
      </w:r>
    </w:p>
    <w:p>
      <w:pPr>
        <w:spacing w:after="0" w:line="207" w:lineRule="exact"/>
        <w:rPr>
          <w:sz w:val="20"/>
          <w:szCs w:val="20"/>
          <w:color w:val="auto"/>
        </w:rPr>
      </w:pPr>
    </w:p>
    <w:p>
      <w:pPr>
        <w:ind w:right="1779" w:firstLine="527"/>
        <w:spacing w:after="0" w:line="269" w:lineRule="auto"/>
        <w:rPr>
          <w:sz w:val="20"/>
          <w:szCs w:val="20"/>
          <w:color w:val="auto"/>
        </w:rPr>
      </w:pPr>
      <w:r>
        <w:rPr>
          <w:rFonts w:ascii="Courier New" w:cs="Courier New" w:eastAsia="Courier New" w:hAnsi="Courier New"/>
          <w:sz w:val="16"/>
          <w:szCs w:val="16"/>
          <w:color w:val="auto"/>
        </w:rPr>
        <w:t>On December 4, 2001, the Company issued 5,000 shares of 3% cumulative convertible preferred stock to Riverview Group, L.L.C., (Riverview Group), a wholly owned subsidiary of Millennium Partners, L.P. plus a 5-year warrant to purchase 350,877 shares of common stock at $3.42 per share. The Company received net proceeds of $4,727,515. This preferred stock is convertible into shares of the Company's common stock at a conversion price of $2.00 per share at the option of Riverview Group. The conversion price is subject to adjustment for stock splits, dividends, distributions, reclassifications and similar events. The conversion price may be below the trading market price at the time of the conversion. The final closing on the NASDAQ National Market of the Company's common stock on December 4, 2001 was $2.90 per share. The preferred stock contains a mandatory redemption feature where the Company will redeem unconverted preferred stock on December 4, 2003. The Company has valued the warrants and the beneficial conversion feature reflecting the December 4, 2001 commitment date and the most beneficial per share discount available to the preferred shareholders. As the preferred shares contain a stated redemption, such value of $3,185,000, including issuance costs of $272,485, is recorded as a discount to the preferred shares. The preferred shares will be accreted to its mandatory redemption amount and the accretion will result in a deemed dividend. The deemed dividend has been reflected as an adjustment to net loss applicable to common stockholders. An accretion adjustment of $320,001 was recorded for the three months ended March 31, 2002. The Company filed a registration statement on Form S-3 covering the shares of common stock underlying the 3% Cumulative Convertible Preferred Stock, and the SEC declared it effective on January 10, 2002. On December 7, 2001, Riverview Group converted 1,000 shares of its 3% cumulative convertible preferred stock for 500,125 shares of the Company's common stock. The holders of the preferred stock have liquidation rights equal to their original investment plus accrued but unpaid dividends.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19"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NOTE 7. SUBSEQUENT EVENTS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On April 12, 2002, the holders of the 1,500 shares of 6% cumulative convertible preferred stock issued by the Company on April 13, 2000 elected to extend the Mandatory Conversion Date for such shares to October 2, 2002. The Mandatory Conversion Date was originally April 13, 2002 but, by virtue of a delay in effective registration of the underlying common shares, the shareholders had the right to extend the date. As of April 13, 2002, the conversion price of the 6% cumulative convertible preferred stock was $1.94 per share.</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19" w:right="1440" w:bottom="1440" w:gutter="0" w:footer="0" w:header="0"/>
        </w:sectPr>
      </w:pPr>
    </w:p>
    <w:bookmarkStart w:id="14" w:name="page15"/>
    <w:bookmarkEnd w:id="14"/>
    <w:p>
      <w:pPr>
        <w:jc w:val="center"/>
        <w:ind w:right="1659"/>
        <w:spacing w:after="0"/>
        <w:rPr>
          <w:sz w:val="20"/>
          <w:szCs w:val="20"/>
          <w:color w:val="auto"/>
        </w:rPr>
      </w:pPr>
      <w:r>
        <w:rPr>
          <w:rFonts w:ascii="Courier New" w:cs="Courier New" w:eastAsia="Courier New" w:hAnsi="Courier New"/>
          <w:sz w:val="18"/>
          <w:szCs w:val="18"/>
          <w:color w:val="auto"/>
        </w:rPr>
        <w:t>ITEM 2. - MANAGEMENT'S DISCUSSION AND ANALYSIS OF FINANCIAL CONDITION AND</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following discussion of the our financial condition and the results of our operations for the three months ended March 31, 2002 and 2001 should be read in conjunction with the accompanying unaudited condensed consolidated financial statements and the related footnotes thereto.</w:t>
      </w:r>
    </w:p>
    <w:p>
      <w:pPr>
        <w:spacing w:after="0" w:line="207"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This report includes forward-looking statements. You can identify these statements by forward-looking words such as "may," "will," "possibly," "expect," "anticipate," "project," "believe," "estimate" and "continue" or similar words. You should read statements that contain these words carefully because they discuss our future expectations, contain projections of our future results of operations or of our financial condition, or state other "forward-looking" information. We believe that it is important to communicate our future expectations to our investors. However, there will be events in the future that we have not been able to accurately predict or control and that may cause our actual results to differ materially from those discussed. For example, contaminations at our facilities, changes in the pharmaceutical or biotechnology industries, competition and changes in government regulations or general economic or market conditions could all have significant effects on our results. These factors should be considered carefully and readers should not place undue reliance on our forward-looking statements. Before you invest in our common stock, you should be aware that the occurrence of the events described in the "Cautionary Factors Relevant to Forward Looking Information" and "Business" sections included in our Form 10-K report as of December 31, 2001 could harm our business, operating results and financial condition. All forward-looking statements attributable to us or persons acting on our behalf are expressly qualified in their entirety by the cautionary statements and risk factors contained or referred to herein.</w:t>
      </w:r>
    </w:p>
    <w:p>
      <w:pPr>
        <w:spacing w:after="0" w:line="205"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OVERVIEW</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Since our inception in 1988, we have been primarily engaged in research and development of human therapeutic products. As a result of a restructuring in the second half of 1999, our sole focus is now on our stem cell technology.</w:t>
      </w:r>
    </w:p>
    <w:p>
      <w:pPr>
        <w:spacing w:after="0" w:line="209"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have not derived any revenues from the sale of any products, and we do not expect to receive revenues from product sales for at least several years. We have not commercialized any product and in order to do so we must, among other things, substantially increase our research and development expenditures as research and product development efforts accelerate and clinical trials are initiated. We have incurred annual operating losses since inception and expect to incur substantial operating losses in the future. As a result, we are dependent upon external financing from equity and debt offerings and revenues from collaborative research arrangements with corporate sponsors to finance our operations. There are no such collaborative research arrangements at this time and there can be no assurance that such financing or partnering revenues will be available when needed or on terms acceptable to us.</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In 2001, we entered into two significant financing agreements: In May, we entered into an equity line enabling us to draw up to $30,000,000 subject to various restrictions, and we did draw down $4,000,000 in July; and in December, we issued 3% convertible preferred stock for $5,000,000. In addition, under the terms of the financing agreement we entered into in 2000 with Millennium Partners, LP, Millennium exercised its final option to purchase $2,000,000 of our common stock; that agreement has now terminated. (See "Liquidity and Capital Resources" below for further detail on each of these transactions.)</w:t>
      </w:r>
    </w:p>
    <w:p>
      <w:pPr>
        <w:spacing w:after="0" w:line="18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addition, we received two grants from the National Institutes of Health, one for work on hepatitis to be carried out jointly by us and Stanford University, and one focusing on the effort to identify liver stem and progenitor cells for the treatment of liver diseases. Although the grants are relatively small ($300,000 a year for two years and $225,000 a year for four years, respectively), and dependent on availability of funds and satisfactory progress, we are very pleased by this recognition of our work by the agency.</w:t>
      </w:r>
    </w:p>
    <w:p>
      <w:pPr>
        <w:spacing w:after="0" w:line="211"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Our results of operations have varied significantly from year to year and quarter to quarter and may vary significantly in the future due to the occurrence of material recurring and nonrecurring events, including without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19" w:right="1440" w:bottom="564" w:gutter="0" w:footer="0" w:header="0"/>
        </w:sectPr>
      </w:pPr>
    </w:p>
    <w:bookmarkStart w:id="15" w:name="page16"/>
    <w:bookmarkEnd w:id="15"/>
    <w:p>
      <w:pPr>
        <w:ind w:right="1779"/>
        <w:spacing w:after="0" w:line="237" w:lineRule="auto"/>
        <w:rPr>
          <w:sz w:val="20"/>
          <w:szCs w:val="20"/>
          <w:color w:val="auto"/>
        </w:rPr>
      </w:pPr>
      <w:r>
        <w:rPr>
          <w:rFonts w:ascii="Courier New" w:cs="Courier New" w:eastAsia="Courier New" w:hAnsi="Courier New"/>
          <w:sz w:val="18"/>
          <w:szCs w:val="18"/>
          <w:color w:val="auto"/>
        </w:rPr>
        <w:t>limitation, the receipt and payment of recurring and nonrecurring licensing payments, the initiation or termination of research collaborations, the on-going expenses to lease and maintain our facilities in Rhode Island and the increasing costs associated with our move to a larger facility in California. To expand and provide high quality systems and support to our Research and Development programs, we will need to hire more personnel, which will lead to higher operating expenses.</w:t>
      </w:r>
    </w:p>
    <w:p>
      <w:pPr>
        <w:spacing w:after="0" w:line="211"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We believe the following critical accounting policies affect the more significant judgments and estimates used in the preparation of our consolidated financial statements: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USE OF ESTIMATES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preparation of consolidated financial statements in conformity with accounting principles generally accepted in the United States, that requires management to make estimates and assumptions that affect the amounts reported in the consolidated financial statements. Actual results could differ from these estimates.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Our employee stock option plan is accounted for under Accounting Principles Board Opinion No. 25 ("APB 25"), "Accounting for Stock Issued to Employees." We grant qualified stock options for a fixed number of shares to employees with an exercise price equal to the fair market value of the shares at the date of grant. In accordance with APB 25, we recognize no compensation expense for qualified stock option grants. We also issue non-qualified stock options for a fixed number of shares to employees with an exercise price less than the fair market value of the shares at the date of grant. When such options vest, we recognize the difference between the exercise price and fair market value as compensation expense in accordance with APB 25.</w:t>
      </w:r>
    </w:p>
    <w:p>
      <w:pPr>
        <w:spacing w:after="0" w:line="215"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We account for certain stock options granted to non-employees in accordance with FAS NO. 123--ACCOUNTING FOR STOCK-BASED COMPENSATION and EITF</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96-18--ACCOUNTING FOR EQUITY INSTRUMENTS THAT ARE ISSUED TO OTHER THAN EMPLOYEES FOR ACQUIRING, OR IN CONJUNCTION WITH SELLING, GOODS OR SERVICES, and accordingly, recognize as expense the estimated fair value of such options as calculated using the Black-Scholes valuation model. The estimated fair value is re-determined each quarter using the methodologies allowable by FAS No. 123, and the cost is amortized over the vesting period of each option or the recipient's contractual arrangement, if shorter.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60" w:type="dxa"/>
            <w:vAlign w:val="bottom"/>
          </w:tcPr>
          <w:p>
            <w:pPr>
              <w:spacing w:after="0"/>
              <w:rPr>
                <w:sz w:val="20"/>
                <w:szCs w:val="20"/>
                <w:color w:val="auto"/>
              </w:rPr>
            </w:pPr>
            <w:r>
              <w:rPr>
                <w:rFonts w:ascii="Courier New" w:cs="Courier New" w:eastAsia="Courier New" w:hAnsi="Courier New"/>
                <w:sz w:val="18"/>
                <w:szCs w:val="18"/>
                <w:color w:val="auto"/>
              </w:rPr>
              <w:t>LONG-LIVED ASSETS</w:t>
            </w:r>
          </w:p>
        </w:tc>
        <w:tc>
          <w:tcPr>
            <w:tcW w:w="2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1860" w:type="dxa"/>
            <w:vAlign w:val="bottom"/>
          </w:tcPr>
          <w:p>
            <w:pPr>
              <w:ind w:left="540"/>
              <w:spacing w:after="0"/>
              <w:rPr>
                <w:sz w:val="20"/>
                <w:szCs w:val="20"/>
                <w:color w:val="auto"/>
              </w:rPr>
            </w:pPr>
            <w:r>
              <w:rPr>
                <w:rFonts w:ascii="Courier New" w:cs="Courier New" w:eastAsia="Courier New" w:hAnsi="Courier New"/>
                <w:sz w:val="18"/>
                <w:szCs w:val="18"/>
                <w:color w:val="auto"/>
              </w:rPr>
              <w:t>We routinely</w:t>
            </w:r>
          </w:p>
        </w:tc>
        <w:tc>
          <w:tcPr>
            <w:tcW w:w="29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8"/>
              </w:rPr>
              <w:t>evaluate the carrying value</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our long-lived assets. We</w:t>
            </w:r>
          </w:p>
        </w:tc>
      </w:tr>
      <w:tr>
        <w:trPr>
          <w:trHeight w:val="203"/>
        </w:trPr>
        <w:tc>
          <w:tcPr>
            <w:tcW w:w="1860" w:type="dxa"/>
            <w:vAlign w:val="bottom"/>
          </w:tcPr>
          <w:p>
            <w:pPr>
              <w:spacing w:after="0" w:line="203" w:lineRule="exact"/>
              <w:rPr>
                <w:sz w:val="20"/>
                <w:szCs w:val="20"/>
                <w:color w:val="auto"/>
              </w:rPr>
            </w:pPr>
            <w:r>
              <w:rPr>
                <w:rFonts w:ascii="Courier New" w:cs="Courier New" w:eastAsia="Courier New" w:hAnsi="Courier New"/>
                <w:sz w:val="18"/>
                <w:szCs w:val="18"/>
                <w:color w:val="auto"/>
              </w:rPr>
              <w:t>record impairment</w:t>
            </w:r>
          </w:p>
        </w:tc>
        <w:tc>
          <w:tcPr>
            <w:tcW w:w="2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losses on long-lived</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used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in operations when events and</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circumstances indicate that assets may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w:t>
            </w:r>
          </w:p>
        </w:tc>
        <w:tc>
          <w:tcPr>
            <w:tcW w:w="9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impaired</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the undiscounted cash</w:t>
            </w:r>
          </w:p>
        </w:tc>
      </w:tr>
      <w:tr>
        <w:trPr>
          <w:trHeight w:val="203"/>
        </w:trPr>
        <w:tc>
          <w:tcPr>
            <w:tcW w:w="4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flows estimated to be generated by the</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assets</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are less than the carrying amount</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those assets. If an impairment exists,</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charge to operations is measured</w:t>
            </w:r>
          </w:p>
        </w:tc>
      </w:tr>
      <w:tr>
        <w:trPr>
          <w:trHeight w:val="203"/>
        </w:trPr>
        <w:tc>
          <w:tcPr>
            <w:tcW w:w="43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as the excess of the carrying amount over</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fair</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value of the assets.</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RESEARCH AND DEVELOPMENT COSTS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We expense all research and development costs as incurred. Research and Development costs include costs of personnel, external services, supplies, facilities and miscellaneous other costs.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THREE MONTHS ENDED MARCH 31, 2002 AND 2001</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For the three months ended March 31, 2002 revenue from grants totaled approximately $111,000, compared to $100,000 for the three months ended March 31, 2001.</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Research and development expenses totaled $1,537,000 for the three months ended March 31, 2002, compared with $1,644,000 for the same period in 2001. The decrease of $107,000 or 7% from 2001 to 2002 was primarily attributable to the effect of the lower valuation of non-qualified stock options on compensation cost, offset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925" w:right="1440" w:bottom="362" w:gutter="0" w:footer="0" w:header="0"/>
        </w:sectPr>
      </w:pPr>
    </w:p>
    <w:bookmarkStart w:id="16" w:name="page17"/>
    <w:bookmarkEnd w:id="16"/>
    <w:p>
      <w:pPr>
        <w:ind w:right="1879"/>
        <w:spacing w:after="0" w:line="237" w:lineRule="auto"/>
        <w:rPr>
          <w:sz w:val="20"/>
          <w:szCs w:val="20"/>
          <w:color w:val="auto"/>
        </w:rPr>
      </w:pPr>
      <w:r>
        <w:rPr>
          <w:rFonts w:ascii="Courier New" w:cs="Courier New" w:eastAsia="Courier New" w:hAnsi="Courier New"/>
          <w:sz w:val="18"/>
          <w:szCs w:val="18"/>
          <w:color w:val="auto"/>
        </w:rPr>
        <w:t>by costs related to an increase in personnel to facilitate the expansion of our research programs and initiate development. At March 31, 2002 we had 28 full time employees for research and development and laboratory support services, compared with 21 full time employees at March 31, 2001</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General and administrative expenses were $1,339,000 for the three months ended March 31, 2002, compared with $997,000 for the same period in 2001. The increase of $342,000 or 26%, from 2001 to 2002 was primarily attributable to the inclusion of $298,000 in expenses of our Rhode Island facilities in general and administrative expenses. For the same period in year 2001, $400,000 in expenses was booked against a wind-down reserve. At December 31, 2000,we had created this wind-down reserve of $1,780,000 related to the carrying costs for the Rhode Island facilities through 2001. As we cannot predict the exact disposal date of these properties, effective 2002 we record these expenses as normal general and administrative expenses.</w:t>
      </w:r>
    </w:p>
    <w:p>
      <w:pPr>
        <w:spacing w:after="0" w:line="215"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On January 9, 2001, we sold 22,616 Modex shares for a net price of 182.00 Swiss Francs per share, which converted to $112.76 per share, for total proceeds and a realized gain of $2,550,230 for the three months ended March 31, 2001. On April 30, 2001, the Company sold its remaining shares, and the Company no longer holds any shares of Modex.</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Interest income for the three months ended March 31, 2002 and 2001 was $18,000 and $79,000 respectively. Interest expense was $59,000 for the three months ended March 31, 2002. For the three months ended March 31, 2001, interest expense was $65,000 and was charged against the wind-down reserve, as the expense was part of the bond payments related to the Rhode Island facilities. The decrease in 2002 was attributable to lower outstanding debt and capital lease balances in 2002 compared to 2001.</w:t>
      </w:r>
    </w:p>
    <w:p>
      <w:pPr>
        <w:spacing w:after="0" w:line="200" w:lineRule="exact"/>
        <w:rPr>
          <w:sz w:val="20"/>
          <w:szCs w:val="20"/>
          <w:color w:val="auto"/>
        </w:rPr>
      </w:pPr>
    </w:p>
    <w:p>
      <w:pPr>
        <w:spacing w:after="0" w:line="214"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For the three months ended March 31, 2002, we recorded a deemed dividend of $320,001 related to the 3% Cumulative Convertible Preferred Stock which includes the accretion of common stock warrants, the accretion of the beneficial conversion feature and the accretion of related issuance costs. For the three months ended March 31, 2001, as restated, we recorded a deemed dividend of $331,498 related to the 6% Cumulative Convertible Preferred Stock to reflect the increase in the beneficial conversion feature resulting from the decrease in the effective conversion price. The aggregate accretion value associated with the warrants, beneficial conversion feature and issuance costs were included in the calculation of net loss applicable to common stockholders.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Since our inception, we have financed our operations through the sale of common and preferred stock, the issuance of long-term debt and capitalized lease obligations, revenues from collaborative agreements, research grants and interest income.</w:t>
      </w:r>
    </w:p>
    <w:p>
      <w:pPr>
        <w:spacing w:after="0" w:line="207" w:lineRule="exact"/>
        <w:rPr>
          <w:sz w:val="20"/>
          <w:szCs w:val="20"/>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We had unrestricted cash and cash equivalents totaling $10,629,000 at March 31, 2002. Cash equivalents are invested in US Treasuries and money market funds with maturities of less than 90 days.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17" w:name="page18"/>
    <w:bookmarkEnd w:id="17"/>
    <w:p>
      <w:pPr>
        <w:ind w:right="1779" w:firstLine="527"/>
        <w:spacing w:after="0" w:line="269" w:lineRule="auto"/>
        <w:rPr>
          <w:sz w:val="20"/>
          <w:szCs w:val="20"/>
          <w:color w:val="auto"/>
        </w:rPr>
      </w:pPr>
      <w:r>
        <w:rPr>
          <w:rFonts w:ascii="Courier New" w:cs="Courier New" w:eastAsia="Courier New" w:hAnsi="Courier New"/>
          <w:sz w:val="16"/>
          <w:szCs w:val="16"/>
          <w:color w:val="auto"/>
        </w:rPr>
        <w:t>On May 10, 2001, we entered into a common stock purchase agreement with Sativum Investments Limited for the potential future issuance and sale of up to $30,000,000 of our common stock. This facility, sometimes termed an equity line, is subject to restrictions and other obligations which limit how often we can exercise a draw down and the amount of each draw down. We, at our sole discretion, may initiate a draw down on this facility from time to time, and Sativum is obligated to purchase shares of our common stock at a 6% discount to a volume weighted average market price over the 20 trading days following the draw-down notice, except those trading days, if any, when the market price is less than the amount we have specified in the draw-down notice as the minimum price at which we are willing to sell. We delivered a draw down notice to Sativum Investments Limited, dated as of July 11, 2001, exercising our right to draw down up to $5,000,000 at a market-based share price not less than $5.00 per share beginning July 12, 2001. Sativum purchased a total of 707,947 shares of our common stock at an average purchase price of $5.65 per share, net of Sativum's discount of six percent. Because the market based price of our common stock was less than $5.00 for 4 trading days during the draw down period, pursuant to the terms of our with Sativum agreement, our $5,000,000 request was reduced to $4,000,000. Our placement agents, Pacific Crest Securities, Inc. and Granite Financial Group, Inc., received $80,000 and $40,000, respectively, as placement fees in connection with this draw down, resulting in net proceeds to us of $3,603,407, after paying escrow fees and other associated costs. In connection with our execution of the common stock purchase agreement with Sativum, we issued three three-year warrants to purchase an aggregate of 350,000 shares of our common stock at $2.38 per share to Sativum (250,000 shares), Pacific Crest Securities Inc. (75,000 shares) and Granite Financial Group, Inc. (25,000 shares). Our placement agents have exercised their warrants in full and we have received payment of $238,050 for the shares issued to them.</w:t>
      </w:r>
    </w:p>
    <w:p>
      <w:pPr>
        <w:spacing w:after="0" w:line="200" w:lineRule="exact"/>
        <w:rPr>
          <w:sz w:val="20"/>
          <w:szCs w:val="20"/>
          <w:color w:val="auto"/>
        </w:rPr>
      </w:pPr>
    </w:p>
    <w:p>
      <w:pPr>
        <w:spacing w:after="0" w:line="393"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On December 4, 2001, we issued 5,000 shares of 3% Cumulative Convertible Preferred Stock to Riverview Group, L.L.C., a wholly owned subsidiary of Millennium Partners. This preferred stock is convertible into shares of our common stock at a conversion price of $2.00 per share of common stock; there is a mandatory redemption provision in the preferred stock under which any preferred stock remaining on December 4, 2003, is redeemed on that date. The conversion price may be below the trading market price of the stock at the time of conversion. In connection with the preferred stock agreement, we issued to Riverview Group a warrant to purchase 350,877 shares of our common stock at a price of $3.42 per share. The warrant expires on December 4, 2005. We paid Cantor Fitzgerald &amp; Co., our financial advisor in connection with the transaction, a fee of $200,000 and issued them a warrant for 146,199 shares exercisable at $3.42 per share. We received total proceeds of $4,727,515 net of the fee to Cantor Fitzgerald and other associated costs.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We continue to have outstanding obligations in regard to our former facilities in Lincoln, Rhode Island, including lease payments and operating costs of approximately $1,000,000 for 2002, net of subtenant income. We have subleased a portion of these facilities and are actively seeking to sublease, assign or sell our remaining interests in these facilities. Failure to do so within a reasonable period of time will have a material adverse effect on our liquidity and capital resources. Our total operating lease commitments for the years 2002 to 2013 are $25,141,000, and our total capital lease commitments for the years 2002 to 2014 amounts to $4,107,000.</w:t>
      </w:r>
    </w:p>
    <w:p>
      <w:pPr>
        <w:spacing w:after="0" w:line="214"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We have limited liquidity and capital resources and must obtain significant additional capital resources in the future in order to sustain our product development efforts, for acquisition of technologies and intellectual property rights, for preclinical and clinical testing of our anticipated products, pursuit of regulatory approvals, acquisition of capital equipment, laboratory and office facilities, establishment of production capabilities and for general and administrative expenses. Our ability to obtain additional capital will be substantially dependent on our ability to obtain partnering support for our stem cell technology and, in the near term, on our ability to realize</w:t>
      </w:r>
    </w:p>
    <w:p>
      <w:pPr>
        <w:spacing w:after="0" w:line="38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18" w:name="page19"/>
    <w:bookmarkEnd w:id="18"/>
    <w:p>
      <w:pPr>
        <w:ind w:right="1879"/>
        <w:spacing w:after="0" w:line="271" w:lineRule="auto"/>
        <w:rPr>
          <w:sz w:val="20"/>
          <w:szCs w:val="20"/>
          <w:color w:val="auto"/>
        </w:rPr>
      </w:pPr>
      <w:r>
        <w:rPr>
          <w:rFonts w:ascii="Courier New" w:cs="Courier New" w:eastAsia="Courier New" w:hAnsi="Courier New"/>
          <w:sz w:val="16"/>
          <w:szCs w:val="16"/>
          <w:color w:val="auto"/>
        </w:rPr>
        <w:t>proceeds from the sale, assignment or sublease of our facilities in Rhode Island. Failure to do so will have a material effect on our liquidity and capital resources. Until our operations generate significant revenues from product sales, we must rely on cash reserves and proceeds from equity and debt offerings, proceeds from the transfer or sale of our intellectual property rights, equipment, facilities or investments, and government grants and funding from collaborative arrangements, if obtainable, to fund our operations.</w:t>
      </w:r>
    </w:p>
    <w:p>
      <w:pPr>
        <w:spacing w:after="0" w:line="188" w:lineRule="exact"/>
        <w:rPr>
          <w:sz w:val="20"/>
          <w:szCs w:val="20"/>
          <w:color w:val="auto"/>
        </w:rPr>
      </w:pPr>
    </w:p>
    <w:p>
      <w:pPr>
        <w:ind w:right="1779" w:firstLine="527"/>
        <w:spacing w:after="0" w:line="238" w:lineRule="auto"/>
        <w:rPr>
          <w:sz w:val="20"/>
          <w:szCs w:val="20"/>
          <w:color w:val="auto"/>
        </w:rPr>
      </w:pPr>
      <w:r>
        <w:rPr>
          <w:rFonts w:ascii="Courier New" w:cs="Courier New" w:eastAsia="Courier New" w:hAnsi="Courier New"/>
          <w:sz w:val="18"/>
          <w:szCs w:val="18"/>
          <w:color w:val="auto"/>
        </w:rPr>
        <w:t>We intend to pursue opportunities to obtain additional financing in the future through equity and debt financings, grants and collaborative research arrangements. The source, timing and availability of any future financing will depend principally upon market conditions, interest rates and, more specifically, on our progress in our exploratory, preclinical and future clinical development programs. Funding may not be available when needed--at all, or on terms acceptable to us. While our cash requirements may vary, we currently expect that our existing capital resources will be sufficient to fund our operations through December of 2002. Lack of necessary funds may require us to delay, scale back or eliminate some or all of our research and product development programs and/or our capital expenditures or to license our potential products or technologies to third parties.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8"/>
          <w:szCs w:val="18"/>
          <w:color w:val="auto"/>
        </w:rPr>
        <w:t>ITEM 3. QUANTITATIVE AND QUALITATIVE DISCLOSURES ABOUT MARKET RISK</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No significant changes in our quantitative and qualitative disclosures from the Form 10-K</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LEGAL PROCEEDINGS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CHANGES IN SECURITIES AND USE OF PROCEEDS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4</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ITEM 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EXHIBITS AND REPORTS ON FORM 8-K</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19"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STEMCELLS, INC.</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of Registrant)</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August 2,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Controller and Acting Chief</w:t>
      </w:r>
    </w:p>
    <w:p>
      <w:pPr>
        <w:spacing w:after="0" w:line="237" w:lineRule="auto"/>
        <w:rPr>
          <w:sz w:val="20"/>
          <w:szCs w:val="20"/>
          <w:color w:val="auto"/>
        </w:rPr>
      </w:pPr>
      <w:r>
        <w:rPr>
          <w:rFonts w:ascii="Courier New" w:cs="Courier New" w:eastAsia="Courier New" w:hAnsi="Courier New"/>
          <w:sz w:val="18"/>
          <w:szCs w:val="18"/>
          <w:color w:val="auto"/>
        </w:rPr>
        <w:t>Financial Officer (Duly</w:t>
      </w:r>
    </w:p>
    <w:p>
      <w:pPr>
        <w:spacing w:after="0" w:line="238" w:lineRule="auto"/>
        <w:rPr>
          <w:sz w:val="20"/>
          <w:szCs w:val="20"/>
          <w:color w:val="auto"/>
        </w:rPr>
      </w:pPr>
      <w:r>
        <w:rPr>
          <w:rFonts w:ascii="Courier New" w:cs="Courier New" w:eastAsia="Courier New" w:hAnsi="Courier New"/>
          <w:sz w:val="18"/>
          <w:szCs w:val="18"/>
          <w:color w:val="auto"/>
        </w:rPr>
        <w:t>authorized officer, principal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financial officer and principal</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officer)</w:t>
      </w:r>
    </w:p>
    <w:p>
      <w:pPr>
        <w:sectPr>
          <w:pgSz w:w="11900" w:h="16838" w:orient="portrait"/>
          <w:cols w:equalWidth="0" w:num="2">
            <w:col w:w="4020" w:space="720"/>
            <w:col w:w="5479"/>
          </w:cols>
          <w:pgMar w:left="240" w:top="919" w:right="1440" w:bottom="1440" w:gutter="0" w:footer="0" w:header="0"/>
          <w:type w:val="continuous"/>
        </w:sectPr>
      </w:pPr>
    </w:p>
    <w:bookmarkStart w:id="21" w:name="page22"/>
    <w:bookmarkEnd w:id="21"/>
    <w:p>
      <w:pPr>
        <w:ind w:left="3280"/>
        <w:spacing w:after="0"/>
        <w:rPr>
          <w:sz w:val="20"/>
          <w:szCs w:val="20"/>
          <w:color w:val="auto"/>
        </w:rPr>
      </w:pPr>
      <w:r>
        <w:rPr>
          <w:rFonts w:ascii="Courier New" w:cs="Courier New" w:eastAsia="Courier New" w:hAnsi="Courier New"/>
          <w:sz w:val="18"/>
          <w:szCs w:val="18"/>
          <w:color w:val="auto"/>
        </w:rPr>
        <w:t>Certification</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 the extent required by the Sarbanes-Oxley Act of 2002, each of the undersigned hereby certifies, to their knowledge, that (i) this report fully complies with the requirements of Section 13(a) of the Securities Exchange Act of 1934 and (ii) the information contained in this report fairly presents, in all material respects, the financial condition and results of operations of the registrant.</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 McGlynn</w:t>
      </w:r>
    </w:p>
    <w:p>
      <w:pPr>
        <w:ind w:left="220" w:hanging="212"/>
        <w:spacing w:after="0" w:line="238" w:lineRule="auto"/>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Martin McGlynn</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George Koshy</w:t>
      </w:r>
    </w:p>
    <w:p>
      <w:pPr>
        <w:ind w:left="220" w:hanging="212"/>
        <w:spacing w:after="0" w:line="238" w:lineRule="auto"/>
        <w:tabs>
          <w:tab w:leader="none" w:pos="2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George Koshy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Controller and Acting Chief Financial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August 2, 2002</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2019-12-13T21:01:16Z</dcterms:created>
  <dcterms:modified xsi:type="dcterms:W3CDTF">2019-12-13T21:01:16Z</dcterms:modified>
</cp:coreProperties>
</file>