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40101__20"/>
      <w:bookmarkEnd w:id="2"/>
      <w:r>
        <w:rPr>
          <w:rFonts w:ascii="Times New Roman;Times;Serif" w:hAnsi="Times New Roman;Times;Serif"/>
          <w:b/>
          <w:i w:val="false"/>
          <w:caps w:val="false"/>
          <w:smallCaps w:val="false"/>
          <w:sz w:val="36"/>
        </w:rPr>
        <w:t>10-Q</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245"/>
        <w:gridCol w:w="9425"/>
      </w:tblGrid>
      <w:tr>
        <w:trPr/>
        <w:tc>
          <w:tcPr>
            <w:tcW w:w="245" w:type="dxa"/>
            <w:tcBorders/>
            <w:vAlign w:val="center"/>
          </w:tcPr>
          <w:p>
            <w:pPr>
              <w:pStyle w:val="TableContents"/>
              <w:bidi w:val="0"/>
              <w:spacing w:before="0" w:after="283"/>
              <w:jc w:val="left"/>
              <w:rPr/>
            </w:pPr>
            <w:bookmarkStart w:id="3" w:name="xdx_903_edei--DocumentQuarterlyReport_c2"/>
            <w:bookmarkEnd w:id="3"/>
            <w:r>
              <w:rPr/>
              <w:t>☒</w:t>
            </w:r>
          </w:p>
        </w:tc>
        <w:tc>
          <w:tcPr>
            <w:tcW w:w="9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3_edei--DocumentPeriodEndDate_c202"/>
      <w:bookmarkEnd w:id="4"/>
      <w:r>
        <w:rPr>
          <w:rFonts w:ascii="Times New Roman;Times;Serif" w:hAnsi="Times New Roman;Times;Serif"/>
          <w:b w:val="false"/>
          <w:i w:val="false"/>
          <w:caps w:val="false"/>
          <w:smallCaps w:val="false"/>
          <w:sz w:val="20"/>
        </w:rPr>
        <w:t xml:space="preserve">September 30, </w:t>
      </w:r>
      <w:bookmarkStart w:id="5" w:name="xdx_902_edei--DocumentFiscalYearFocus_c2"/>
      <w:bookmarkEnd w:id="5"/>
      <w:r>
        <w:rPr>
          <w:rFonts w:ascii="Times New Roman;Times;Serif" w:hAnsi="Times New Roman;Times;Serif"/>
          <w:b w:val="false"/>
          <w:i w:val="false"/>
          <w:caps w:val="false"/>
          <w:smallCaps w:val="false"/>
          <w:sz w:val="20"/>
        </w:rPr>
        <w:t>2024</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6" w:name="xdx_909_edei--DocumentTransitionReport_c"/>
            <w:bookmarkEnd w:id="6"/>
            <w:r>
              <w:rPr/>
              <w:t>☐</w:t>
            </w:r>
          </w:p>
        </w:tc>
        <w:tc>
          <w:tcPr>
            <w:tcW w:w="9960" w:type="dxa"/>
            <w:tcBorders/>
            <w:vAlign w:val="center"/>
          </w:tcPr>
          <w:p>
            <w:pPr>
              <w:pStyle w:val="TableContents"/>
              <w:bidi w:val="0"/>
              <w:spacing w:before="0" w:after="283"/>
              <w:jc w:val="left"/>
              <w:rPr/>
            </w:pPr>
            <w:r>
              <w:rPr/>
              <w:t>TRANSITION REPORT PURSUANT TO SECTION 13 OR 15(d) OF THE SECURITIES EXCHANGE ACT OF</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1934. For the transition period from ________ to____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B_edei--EntityFileNumber_c20240101"/>
      <w:bookmarkEnd w:id="7"/>
      <w:r>
        <w:rPr>
          <w:rFonts w:ascii="Times New Roman;Times;Serif" w:hAnsi="Times New Roman;Times;Serif"/>
          <w:b w:val="false"/>
          <w:i w:val="false"/>
          <w:caps w:val="false"/>
          <w:smallCaps w:val="false"/>
          <w:sz w:val="20"/>
        </w:rPr>
        <w:t>000-19871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4_edei--EntityRegistrantName_c2024"/>
      <w:bookmarkEnd w:id="8"/>
      <w:r>
        <w:rPr>
          <w:rFonts w:ascii="Times New Roman;Times;Serif" w:hAnsi="Times New Roman;Times;Serif"/>
          <w:b/>
          <w:i w:val="false"/>
          <w:caps w:val="false"/>
          <w:smallCaps w:val="false"/>
          <w:sz w:val="36"/>
        </w:rPr>
        <w:t>MICROBOT MEDICAL INC.</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Registrant in Its Charter)</w:t>
      </w:r>
    </w:p>
    <w:p>
      <w:pPr>
        <w:pStyle w:val="TextBody"/>
        <w:bidi w:val="0"/>
        <w:spacing w:before="0" w:after="0"/>
        <w:jc w:val="center"/>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615"/>
        <w:gridCol w:w="60"/>
        <w:gridCol w:w="1550"/>
      </w:tblGrid>
      <w:tr>
        <w:trPr/>
        <w:tc>
          <w:tcPr>
            <w:tcW w:w="26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9_edei--EntityIncorporationStateCo"/>
            <w:bookmarkEnd w:id="9"/>
            <w:r>
              <w:rPr>
                <w:rFonts w:ascii="Times New Roman;Times;Serif" w:hAnsi="Times New Roman;Times;Serif"/>
                <w:b w:val="false"/>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15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5_edei--EntityTaxIdentificationNum"/>
            <w:bookmarkEnd w:id="10"/>
            <w:r>
              <w:rPr>
                <w:rFonts w:ascii="Times New Roman;Times;Serif" w:hAnsi="Times New Roman;Times;Serif"/>
                <w:b w:val="false"/>
                <w:i w:val="false"/>
                <w:caps w:val="false"/>
                <w:smallCaps w:val="false"/>
                <w:sz w:val="20"/>
              </w:rPr>
              <w:t>94-3078125</w:t>
            </w:r>
          </w:p>
        </w:tc>
      </w:tr>
      <w:tr>
        <w:trPr/>
        <w:tc>
          <w:tcPr>
            <w:tcW w:w="261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r>
          </w:p>
        </w:tc>
        <w:tc>
          <w:tcPr>
            <w:tcW w:w="60" w:type="dxa"/>
            <w:tcBorders/>
            <w:vAlign w:val="center"/>
          </w:tcPr>
          <w:p>
            <w:pPr>
              <w:pStyle w:val="TableContents"/>
              <w:bidi w:val="0"/>
              <w:spacing w:before="0" w:after="283"/>
              <w:jc w:val="center"/>
              <w:rPr/>
            </w:pPr>
            <w:r>
              <w:rPr/>
              <w:t> </w:t>
            </w:r>
          </w:p>
        </w:tc>
        <w:tc>
          <w:tcPr>
            <w:tcW w:w="155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tc>
      </w:tr>
      <w:tr>
        <w:trPr/>
        <w:tc>
          <w:tcPr>
            <w:tcW w:w="261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 or Organization)</w:t>
            </w:r>
          </w:p>
        </w:tc>
        <w:tc>
          <w:tcPr>
            <w:tcW w:w="60" w:type="dxa"/>
            <w:tcBorders/>
            <w:vAlign w:val="center"/>
          </w:tcPr>
          <w:p>
            <w:pPr>
              <w:pStyle w:val="TableContents"/>
              <w:bidi w:val="0"/>
              <w:spacing w:before="0" w:after="283"/>
              <w:jc w:val="center"/>
              <w:rPr/>
            </w:pPr>
            <w:r>
              <w:rPr/>
              <w:t> </w:t>
            </w:r>
          </w:p>
        </w:tc>
        <w:tc>
          <w:tcPr>
            <w:tcW w:w="155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1" w:name="xdx_900_edei--EntityAddressAddressLine1_"/>
      <w:bookmarkEnd w:id="11"/>
      <w:r>
        <w:rPr>
          <w:rFonts w:ascii="Times New Roman;Times;Serif" w:hAnsi="Times New Roman;Times;Serif"/>
          <w:b w:val="false"/>
          <w:i w:val="false"/>
          <w:caps w:val="false"/>
          <w:smallCaps w:val="false"/>
          <w:sz w:val="20"/>
        </w:rPr>
        <w:t xml:space="preserve">288 Grove Street, </w:t>
      </w:r>
      <w:bookmarkStart w:id="12" w:name="xdx_903_edei--EntityAddressAddressLine2_"/>
      <w:bookmarkEnd w:id="12"/>
      <w:r>
        <w:rPr>
          <w:rFonts w:ascii="Times New Roman;Times;Serif" w:hAnsi="Times New Roman;Times;Serif"/>
          <w:b w:val="false"/>
          <w:i w:val="false"/>
          <w:caps w:val="false"/>
          <w:smallCaps w:val="false"/>
          <w:sz w:val="20"/>
        </w:rPr>
        <w:t>Suite 388</w:t>
        <w:br/>
      </w:r>
      <w:bookmarkStart w:id="13" w:name="xdx_90B_edei--EntityAddressCityOrTown_c2"/>
      <w:bookmarkEnd w:id="13"/>
      <w:r>
        <w:rPr>
          <w:rFonts w:ascii="Times New Roman;Times;Serif" w:hAnsi="Times New Roman;Times;Serif"/>
          <w:b w:val="false"/>
          <w:i w:val="false"/>
          <w:caps w:val="false"/>
          <w:smallCaps w:val="false"/>
          <w:sz w:val="20"/>
        </w:rPr>
        <w:t xml:space="preserve">Braintree, </w:t>
      </w:r>
      <w:bookmarkStart w:id="14" w:name="xdx_909_edei--EntityAddressStateOrProvin"/>
      <w:bookmarkEnd w:id="14"/>
      <w:r>
        <w:rPr>
          <w:rFonts w:ascii="Times New Roman;Times;Serif" w:hAnsi="Times New Roman;Times;Serif"/>
          <w:b w:val="false"/>
          <w:i w:val="false"/>
          <w:caps w:val="false"/>
          <w:smallCaps w:val="false"/>
          <w:sz w:val="20"/>
        </w:rPr>
        <w:t xml:space="preserve">MA </w:t>
      </w:r>
      <w:bookmarkStart w:id="15" w:name="xdx_90B_edei--EntityAddressPostalZipCode"/>
      <w:bookmarkEnd w:id="15"/>
      <w:r>
        <w:rPr>
          <w:rFonts w:ascii="Times New Roman;Times;Serif" w:hAnsi="Times New Roman;Times;Serif"/>
          <w:b w:val="false"/>
          <w:i w:val="false"/>
          <w:caps w:val="false"/>
          <w:smallCaps w:val="false"/>
          <w:sz w:val="20"/>
        </w:rPr>
        <w:t>02184</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6" w:name="xdx_909_edei--CityAreaCode_c20240101__20"/>
      <w:bookmarkEnd w:id="16"/>
      <w:r>
        <w:rPr>
          <w:rFonts w:ascii="Times New Roman;Times;Serif" w:hAnsi="Times New Roman;Times;Serif"/>
          <w:b w:val="false"/>
          <w:i w:val="false"/>
          <w:caps w:val="false"/>
          <w:smallCaps w:val="false"/>
          <w:sz w:val="20"/>
        </w:rPr>
        <w:t xml:space="preserve">(781) </w:t>
      </w:r>
      <w:bookmarkStart w:id="17" w:name="xdx_90A_edei--LocalPhoneNumber_c20240101"/>
      <w:bookmarkEnd w:id="17"/>
      <w:r>
        <w:rPr>
          <w:rFonts w:ascii="Times New Roman;Times;Serif" w:hAnsi="Times New Roman;Times;Serif"/>
          <w:b w:val="false"/>
          <w:i w:val="false"/>
          <w:caps w:val="false"/>
          <w:smallCaps w:val="false"/>
          <w:sz w:val="20"/>
        </w:rPr>
        <w:t>875-3605</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2448"/>
        <w:jc w:val="left"/>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1610"/>
        <w:gridCol w:w="60"/>
        <w:gridCol w:w="1535"/>
        <w:gridCol w:w="60"/>
        <w:gridCol w:w="3170"/>
      </w:tblGrid>
      <w:tr>
        <w:trPr/>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of Each Class </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1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exchange on which registered</w:t>
            </w:r>
          </w:p>
        </w:tc>
      </w:tr>
      <w:tr>
        <w:trPr/>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E_edei--Security12bTitle_c20240101"/>
            <w:bookmarkEnd w:id="18"/>
            <w:r>
              <w:rPr>
                <w:rFonts w:ascii="Times New Roman;Times;Serif" w:hAnsi="Times New Roman;Times;Serif"/>
                <w:b w:val="false"/>
                <w:i w:val="false"/>
                <w:caps w:val="false"/>
                <w:smallCaps w:val="false"/>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TradingSymbol_c20240101__2"/>
            <w:bookmarkEnd w:id="19"/>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SecurityExchangeName_c2024"/>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firstLine="28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5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firstLine="28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bookmarkStart w:id="22" w:name="xdx_907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firstLine="28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caps w:val="false"/>
          <w:smallCaps w:val="false"/>
        </w:rPr>
      </w:pPr>
      <w:r>
        <w:rPr>
          <w:caps w:val="false"/>
          <w:smallCaps w:val="false"/>
        </w:rPr>
        <w:t> </w:t>
      </w:r>
    </w:p>
    <w:tbl>
      <w:tblPr>
        <w:tblW w:w="6975" w:type="dxa"/>
        <w:jc w:val="left"/>
        <w:tblInd w:w="0" w:type="dxa"/>
        <w:tblLayout w:type="fixed"/>
        <w:tblCellMar>
          <w:top w:w="0" w:type="dxa"/>
          <w:left w:w="0" w:type="dxa"/>
          <w:bottom w:w="0" w:type="dxa"/>
          <w:right w:w="0" w:type="dxa"/>
        </w:tblCellMar>
      </w:tblPr>
      <w:tblGrid>
        <w:gridCol w:w="2060"/>
        <w:gridCol w:w="245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24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0_edei--EntityFilerCategory_c20240"/>
            <w:bookmarkEnd w:id="23"/>
            <w:r>
              <w:rPr>
                <w:rFonts w:ascii="Times New Roman;Times;Serif" w:hAnsi="Times New Roman;Times;Serif"/>
                <w:b w:val="false"/>
                <w:i w:val="false"/>
                <w:caps w:val="false"/>
                <w:smallCaps w:val="false"/>
                <w:sz w:val="20"/>
              </w:rPr>
              <w:t>Non-accelerated filer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4" w:name="xdx_90B_edei--EntitySmallBusiness_c20240"/>
            <w:bookmarkEnd w:id="24"/>
            <w:r>
              <w:rPr>
                <w:rFonts w:ascii="Times New Roman;Times;Serif" w:hAnsi="Times New Roman;Times;Serif"/>
                <w:b w:val="false"/>
                <w:i w:val="false"/>
                <w:caps w:val="false"/>
                <w:smallCaps w:val="false"/>
                <w:sz w:val="20"/>
              </w:rPr>
              <w:t>☒</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2_edei--EntityEmergingGrowthCompan"/>
            <w:bookmarkEnd w:id="25"/>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288"/>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288"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No </w:t>
      </w:r>
      <w:bookmarkStart w:id="26" w:name="xdx_906_edei--EntityShellCompany_dbF_c20"/>
      <w:bookmarkEnd w:id="26"/>
      <w:r>
        <w:rPr>
          <w:rFonts w:ascii="Times New Roman;Times;Serif" w:hAnsi="Times New Roman;Times;Serif"/>
          <w:b w:val="false"/>
          <w:i w:val="false"/>
          <w:caps w:val="false"/>
          <w:smallCaps w:val="false"/>
          <w:sz w:val="20"/>
        </w:rPr>
        <w:t>☒</w:t>
      </w:r>
    </w:p>
    <w:p>
      <w:pPr>
        <w:pStyle w:val="TextBody"/>
        <w:bidi w:val="0"/>
        <w:spacing w:before="0" w:after="0"/>
        <w:ind w:left="0" w:right="0" w:firstLine="288"/>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the number of shares outstanding of each of the issuer’s classes of common stock, as of the latest practicable date: </w:t>
      </w:r>
      <w:bookmarkStart w:id="27" w:name="xdx_90A_edei--EntityCommonStockSharesOut"/>
      <w:bookmarkEnd w:id="27"/>
      <w:r>
        <w:rPr>
          <w:rFonts w:ascii="Times New Roman;Times;Serif" w:hAnsi="Times New Roman;Times;Serif"/>
          <w:b w:val="false"/>
          <w:i w:val="false"/>
          <w:caps w:val="false"/>
          <w:smallCaps w:val="false"/>
          <w:sz w:val="20"/>
        </w:rPr>
        <w:t>16,932,341 shares of Common Stock, $</w:t>
      </w:r>
      <w:bookmarkStart w:id="28" w:name="xdx_90C_edei--EntityListingParValuePerSh"/>
      <w:bookmarkEnd w:id="28"/>
      <w:r>
        <w:rPr>
          <w:rFonts w:ascii="Times New Roman;Times;Serif" w:hAnsi="Times New Roman;Times;Serif"/>
          <w:b w:val="false"/>
          <w:i w:val="false"/>
          <w:caps w:val="false"/>
          <w:smallCaps w:val="false"/>
          <w:sz w:val="20"/>
        </w:rPr>
        <w:t>0.01 par value at November 11, 2024.</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 AND SUBSIDIARY</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9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96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Financial Information</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1 - Financial Statements</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6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Interim Condensed Consolidated Balance Sheets as of September 30, 2024 (Unaudited) and December 31, 2023 (Audited)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6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Interim Condensed Consolidated Statements of Comprehensive Loss for the Three and Nine Months Ended September 30, 2024 and 2023 (Unaudited)</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96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Interim Condensed Consolidated Statements of Shareholders’ Equity for the Three and Nine Months Ended September 30, 2024 and 2023 (Unaudited)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96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Interim Condensed Consolidated Statements of Cash Flows for the Nine Months Ended September 30, 2024 and 2023 (Unaudited)</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960"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Notes to Interim Condensed Consolidated Financial Statements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960" w:type="dxa"/>
            <w:tcBorders/>
            <w:shd w:fill="FFFF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Item 2 - Management’s Discussion and Analysis of Financial Condition and Results of Operations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960"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Item 3 - Quantitative and Qualitative Disclosures About Market Risk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60" w:type="dxa"/>
            <w:tcBorders/>
            <w:shd w:fill="FFFF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Item 4 - Controls and Procedures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60"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b/>
                  <w:i w:val="false"/>
                  <w:caps w:val="false"/>
                  <w:smallCaps w:val="false"/>
                  <w:sz w:val="20"/>
                </w:rPr>
                <w:t>Part II - Other Information</w:t>
              </w:r>
            </w:hyperlink>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960" w:type="dxa"/>
            <w:tcBorders/>
            <w:shd w:fill="FFFF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Item 1 - Legal Proceedings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960"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Item 1A - 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960" w:type="dxa"/>
            <w:tcBorders/>
            <w:shd w:fill="FFFF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Item 2 - Unregistered Sales of Equity Securities and Use of Proceeds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960"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Item 3 - Defaults Upon Senior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960" w:type="dxa"/>
            <w:tcBorders/>
            <w:shd w:fill="FFFF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Item 4 - Mine Safety Disclosures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960"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Item 5 - Other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960" w:type="dxa"/>
            <w:tcBorders/>
            <w:shd w:fill="FFFF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Item 6 - Exhibits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60" w:type="dxa"/>
            <w:tcBorders/>
            <w:shd w:fill="CCEEFF" w:val="clear"/>
            <w:vAlign w:val="center"/>
          </w:tcPr>
          <w:p>
            <w:pPr>
              <w:pStyle w:val="TableContents"/>
              <w:bidi w:val="0"/>
              <w:spacing w:before="0" w:after="283"/>
              <w:jc w:val="both"/>
              <w:rPr/>
            </w:pPr>
            <w:hyperlink w:anchor="a_017">
              <w:r>
                <w:rPr>
                  <w:rStyle w:val="InternetLink"/>
                  <w:rFonts w:ascii="Times New Roman;Times;Serif" w:hAnsi="Times New Roman;Times;Serif"/>
                  <w:b/>
                  <w:i w:val="false"/>
                  <w:caps w:val="false"/>
                  <w:smallCaps w:val="false"/>
                  <w:sz w:val="20"/>
                </w:rPr>
                <w:t>Signatures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29" w:name="a_001"/>
      <w:bookmarkEnd w:id="29"/>
      <w:r>
        <w:rPr>
          <w:rFonts w:ascii="Times New Roman;Times;Serif" w:hAnsi="Times New Roman;Times;Serif"/>
          <w:b/>
          <w:i w:val="false"/>
          <w:caps w:val="false"/>
          <w:smallCaps w:val="false"/>
          <w:sz w:val="20"/>
          <w:u w:val="single"/>
        </w:rPr>
        <w:t>MICROBOT MEDICAL INC.</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Interim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share and per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 w:name="xdx_309_111_pn3n3_zn5eVmPKSUOc"/>
      <w:bookmarkStart w:id="31" w:name="xdx_309_111_pn3n3_zn5eVmPKSUOc"/>
      <w:bookmarkEnd w:id="31"/>
    </w:p>
    <w:tbl>
      <w:tblPr>
        <w:tblW w:w="10205" w:type="dxa"/>
        <w:jc w:val="left"/>
        <w:tblInd w:w="0" w:type="dxa"/>
        <w:tblLayout w:type="fixed"/>
        <w:tblCellMar>
          <w:top w:w="0" w:type="dxa"/>
          <w:left w:w="0" w:type="dxa"/>
          <w:bottom w:w="0" w:type="dxa"/>
          <w:right w:w="0" w:type="dxa"/>
        </w:tblCellMar>
      </w:tblPr>
      <w:tblGrid>
        <w:gridCol w:w="6541"/>
        <w:gridCol w:w="60"/>
        <w:gridCol w:w="590"/>
        <w:gridCol w:w="60"/>
        <w:gridCol w:w="214"/>
        <w:gridCol w:w="1159"/>
        <w:gridCol w:w="95"/>
        <w:gridCol w:w="60"/>
        <w:gridCol w:w="205"/>
        <w:gridCol w:w="1108"/>
        <w:gridCol w:w="113"/>
      </w:tblGrid>
      <w:tr>
        <w:trPr/>
        <w:tc>
          <w:tcPr>
            <w:tcW w:w="65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2" w:name="xdx_49D_20240930_zmiUAA1VUlB7"/>
            <w:bookmarkEnd w:id="32"/>
          </w:p>
        </w:tc>
        <w:tc>
          <w:tcPr>
            <w:tcW w:w="1373" w:type="dxa"/>
            <w:gridSpan w:val="2"/>
            <w:tcBorders/>
            <w:vAlign w:val="center"/>
          </w:tcPr>
          <w:p>
            <w:pPr>
              <w:pStyle w:val="TableContents"/>
              <w:bidi w:val="0"/>
              <w:spacing w:before="0" w:after="283"/>
              <w:jc w:val="center"/>
              <w:rPr>
                <w:b/>
              </w:rPr>
            </w:pPr>
            <w:r>
              <w:rPr>
                <w:b/>
              </w:rPr>
              <w:t>As of</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3" w:name="xdx_499_20231231_z8XCeGVFpPe4"/>
            <w:bookmarkEnd w:id="33"/>
          </w:p>
        </w:tc>
        <w:tc>
          <w:tcPr>
            <w:tcW w:w="1313" w:type="dxa"/>
            <w:gridSpan w:val="2"/>
            <w:tcBorders/>
            <w:vAlign w:val="center"/>
          </w:tcPr>
          <w:p>
            <w:pPr>
              <w:pStyle w:val="TableContents"/>
              <w:bidi w:val="0"/>
              <w:spacing w:before="0" w:after="283"/>
              <w:jc w:val="center"/>
              <w:rPr>
                <w:b/>
              </w:rPr>
            </w:pPr>
            <w:r>
              <w:rPr>
                <w:b/>
              </w:rPr>
              <w:t>As of</w:t>
            </w:r>
          </w:p>
        </w:tc>
        <w:tc>
          <w:tcPr>
            <w:tcW w:w="113" w:type="dxa"/>
            <w:tcBorders/>
            <w:vAlign w:val="center"/>
          </w:tcPr>
          <w:p>
            <w:pPr>
              <w:pStyle w:val="TableContents"/>
              <w:bidi w:val="0"/>
              <w:spacing w:before="0" w:after="283"/>
              <w:jc w:val="center"/>
              <w:rPr/>
            </w:pPr>
            <w:r>
              <w:rPr/>
              <w:t> </w:t>
            </w:r>
          </w:p>
        </w:tc>
      </w:tr>
      <w:tr>
        <w:trPr/>
        <w:tc>
          <w:tcPr>
            <w:tcW w:w="65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3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113" w:type="dxa"/>
            <w:tcBorders/>
            <w:vAlign w:val="center"/>
          </w:tcPr>
          <w:p>
            <w:pPr>
              <w:pStyle w:val="TableContents"/>
              <w:bidi w:val="0"/>
              <w:spacing w:before="0" w:after="283"/>
              <w:jc w:val="center"/>
              <w:rPr/>
            </w:pPr>
            <w:r>
              <w:rPr/>
              <w:t> </w:t>
            </w:r>
          </w:p>
        </w:tc>
      </w:tr>
      <w:tr>
        <w:trPr/>
        <w:tc>
          <w:tcPr>
            <w:tcW w:w="65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3"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3" w:type="dxa"/>
            <w:gridSpan w:val="2"/>
            <w:tcBorders/>
            <w:vAlign w:val="center"/>
          </w:tcPr>
          <w:p>
            <w:pPr>
              <w:pStyle w:val="TableContents"/>
              <w:bidi w:val="0"/>
              <w:spacing w:before="0" w:after="283"/>
              <w:jc w:val="center"/>
              <w:rPr/>
            </w:pPr>
            <w:r>
              <w:rPr/>
              <w:t>Audited</w:t>
            </w:r>
          </w:p>
        </w:tc>
        <w:tc>
          <w:tcPr>
            <w:tcW w:w="113" w:type="dxa"/>
            <w:tcBorders/>
            <w:vAlign w:val="center"/>
          </w:tcPr>
          <w:p>
            <w:pPr>
              <w:pStyle w:val="TableContents"/>
              <w:bidi w:val="0"/>
              <w:spacing w:before="0" w:after="283"/>
              <w:jc w:val="center"/>
              <w:rPr/>
            </w:pPr>
            <w:r>
              <w:rPr/>
              <w:t> </w:t>
            </w:r>
            <w:bookmarkStart w:id="34" w:name="xdx_40E_eus-gaap--AssetsAbstract_iB"/>
            <w:bookmarkEnd w:id="34"/>
          </w:p>
        </w:tc>
      </w:tr>
      <w:tr>
        <w:trPr/>
        <w:tc>
          <w:tcPr>
            <w:tcW w:w="6541"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5" w:name="xdx_402_eus-gaap--AssetsCurrentAbstract_"/>
            <w:bookmarkEnd w:id="35"/>
          </w:p>
        </w:tc>
      </w:tr>
      <w:tr>
        <w:trPr/>
        <w:tc>
          <w:tcPr>
            <w:tcW w:w="6541"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6" w:name="xdx_40C_eus-gaap--CashAndCashEquivalents"/>
            <w:bookmarkEnd w:id="36"/>
          </w:p>
        </w:tc>
      </w:tr>
      <w:tr>
        <w:trPr/>
        <w:tc>
          <w:tcPr>
            <w:tcW w:w="6541"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479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2,468</w:t>
            </w:r>
          </w:p>
        </w:tc>
        <w:tc>
          <w:tcPr>
            <w:tcW w:w="113" w:type="dxa"/>
            <w:tcBorders/>
            <w:shd w:fill="CCEEFF" w:val="clear"/>
            <w:vAlign w:val="center"/>
          </w:tcPr>
          <w:p>
            <w:pPr>
              <w:pStyle w:val="TableContents"/>
              <w:bidi w:val="0"/>
              <w:spacing w:before="0" w:after="283"/>
              <w:jc w:val="left"/>
              <w:rPr/>
            </w:pPr>
            <w:r>
              <w:rPr/>
              <w:t> </w:t>
            </w:r>
            <w:bookmarkStart w:id="37" w:name="xdx_403_eus-gaap--MarketableSecuritiesCu"/>
            <w:bookmarkEnd w:id="37"/>
          </w:p>
        </w:tc>
      </w:tr>
      <w:tr>
        <w:trPr/>
        <w:tc>
          <w:tcPr>
            <w:tcW w:w="6541"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2</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3,859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3,917</w:t>
            </w:r>
          </w:p>
        </w:tc>
        <w:tc>
          <w:tcPr>
            <w:tcW w:w="113" w:type="dxa"/>
            <w:tcBorders/>
            <w:shd w:fill="FFFFFF" w:val="clear"/>
            <w:vAlign w:val="center"/>
          </w:tcPr>
          <w:p>
            <w:pPr>
              <w:pStyle w:val="TableContents"/>
              <w:bidi w:val="0"/>
              <w:spacing w:before="0" w:after="283"/>
              <w:jc w:val="left"/>
              <w:rPr/>
            </w:pPr>
            <w:r>
              <w:rPr/>
              <w:t> </w:t>
            </w:r>
            <w:bookmarkStart w:id="38" w:name="xdx_406_eus-gaap--RestrictedCashAndCashE"/>
            <w:bookmarkEnd w:id="38"/>
          </w:p>
        </w:tc>
      </w:tr>
      <w:tr>
        <w:trPr/>
        <w:tc>
          <w:tcPr>
            <w:tcW w:w="6541"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49</w:t>
            </w:r>
          </w:p>
        </w:tc>
        <w:tc>
          <w:tcPr>
            <w:tcW w:w="113" w:type="dxa"/>
            <w:tcBorders/>
            <w:shd w:fill="CCEEFF" w:val="clear"/>
            <w:vAlign w:val="center"/>
          </w:tcPr>
          <w:p>
            <w:pPr>
              <w:pStyle w:val="TableContents"/>
              <w:bidi w:val="0"/>
              <w:spacing w:before="0" w:after="283"/>
              <w:jc w:val="left"/>
              <w:rPr/>
            </w:pPr>
            <w:r>
              <w:rPr/>
              <w:t> </w:t>
            </w:r>
            <w:bookmarkStart w:id="39" w:name="xdx_40B_eus-gaap--OtherAssetsCurrent_i02"/>
            <w:bookmarkEnd w:id="39"/>
          </w:p>
        </w:tc>
      </w:tr>
      <w:tr>
        <w:trPr/>
        <w:tc>
          <w:tcPr>
            <w:tcW w:w="6541" w:type="dxa"/>
            <w:tcBorders/>
            <w:shd w:fill="FFFFFF" w:val="clear"/>
            <w:vAlign w:val="center"/>
          </w:tcPr>
          <w:p>
            <w:pPr>
              <w:pStyle w:val="TableContents"/>
              <w:bidi w:val="0"/>
              <w:spacing w:before="0" w:after="283"/>
              <w:jc w:val="left"/>
              <w:rPr/>
            </w:pPr>
            <w:r>
              <w:rPr/>
              <w:t>Insurance recovery receivable related to legal settlement and legal expenses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3G</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1,335</w:t>
            </w:r>
          </w:p>
        </w:tc>
        <w:tc>
          <w:tcPr>
            <w:tcW w:w="113" w:type="dxa"/>
            <w:tcBorders/>
            <w:shd w:fill="FFFFFF" w:val="clear"/>
            <w:vAlign w:val="center"/>
          </w:tcPr>
          <w:p>
            <w:pPr>
              <w:pStyle w:val="TableContents"/>
              <w:bidi w:val="0"/>
              <w:spacing w:before="0" w:after="283"/>
              <w:jc w:val="left"/>
              <w:rPr/>
            </w:pPr>
            <w:r>
              <w:rPr/>
              <w:t> </w:t>
            </w:r>
            <w:bookmarkStart w:id="40" w:name="xdx_407_eus-gaap--PrepaidExpenseAndOther"/>
            <w:bookmarkEnd w:id="40"/>
          </w:p>
        </w:tc>
      </w:tr>
      <w:tr>
        <w:trPr/>
        <w:tc>
          <w:tcPr>
            <w:tcW w:w="6541"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pPr>
            <w:r>
              <w:rPr/>
              <w:t>152</w:t>
            </w:r>
          </w:p>
        </w:tc>
        <w:tc>
          <w:tcPr>
            <w:tcW w:w="113" w:type="dxa"/>
            <w:tcBorders/>
            <w:shd w:fill="CCEEFF" w:val="clear"/>
            <w:vAlign w:val="center"/>
          </w:tcPr>
          <w:p>
            <w:pPr>
              <w:pStyle w:val="TableContents"/>
              <w:bidi w:val="0"/>
              <w:spacing w:before="0" w:after="283"/>
              <w:jc w:val="left"/>
              <w:rPr/>
            </w:pPr>
            <w:r>
              <w:rPr/>
              <w:t> </w:t>
            </w:r>
            <w:bookmarkStart w:id="41" w:name="xdx_405_eus-gaap--AssetsCurrent_i02TI_pn"/>
            <w:bookmarkEnd w:id="41"/>
          </w:p>
        </w:tc>
      </w:tr>
      <w:tr>
        <w:trPr/>
        <w:tc>
          <w:tcPr>
            <w:tcW w:w="6541"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4,995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7,921</w:t>
            </w:r>
          </w:p>
        </w:tc>
        <w:tc>
          <w:tcPr>
            <w:tcW w:w="113"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2" w:name="xdx_400_eus-gaap--PropertyPlantAndEquipm"/>
            <w:bookmarkEnd w:id="42"/>
          </w:p>
        </w:tc>
      </w:tr>
      <w:tr>
        <w:trPr/>
        <w:tc>
          <w:tcPr>
            <w:tcW w:w="6541"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146</w:t>
            </w:r>
          </w:p>
        </w:tc>
        <w:tc>
          <w:tcPr>
            <w:tcW w:w="113" w:type="dxa"/>
            <w:tcBorders/>
            <w:shd w:fill="FFFFFF" w:val="clear"/>
            <w:vAlign w:val="center"/>
          </w:tcPr>
          <w:p>
            <w:pPr>
              <w:pStyle w:val="TableContents"/>
              <w:bidi w:val="0"/>
              <w:spacing w:before="0" w:after="283"/>
              <w:jc w:val="left"/>
              <w:rPr/>
            </w:pPr>
            <w:r>
              <w:rPr/>
              <w:t> </w:t>
            </w:r>
            <w:bookmarkStart w:id="43" w:name="xdx_407_eus-gaap--OperatingLeaseRightOfU"/>
            <w:bookmarkEnd w:id="43"/>
          </w:p>
        </w:tc>
      </w:tr>
      <w:tr>
        <w:trPr/>
        <w:tc>
          <w:tcPr>
            <w:tcW w:w="6541" w:type="dxa"/>
            <w:tcBorders/>
            <w:shd w:fill="CCEEFF" w:val="clear"/>
            <w:vAlign w:val="center"/>
          </w:tcPr>
          <w:p>
            <w:pPr>
              <w:pStyle w:val="TableContents"/>
              <w:bidi w:val="0"/>
              <w:spacing w:before="0" w:after="283"/>
              <w:jc w:val="left"/>
              <w:rPr/>
            </w:pPr>
            <w:r>
              <w:rPr/>
              <w:t>Operating right-of-use 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pPr>
            <w:r>
              <w:rPr/>
              <w:t>260</w:t>
            </w:r>
          </w:p>
        </w:tc>
        <w:tc>
          <w:tcPr>
            <w:tcW w:w="113" w:type="dxa"/>
            <w:tcBorders/>
            <w:shd w:fill="CCEEFF" w:val="clear"/>
            <w:vAlign w:val="center"/>
          </w:tcPr>
          <w:p>
            <w:pPr>
              <w:pStyle w:val="TableContents"/>
              <w:bidi w:val="0"/>
              <w:spacing w:before="0" w:after="283"/>
              <w:jc w:val="left"/>
              <w:rPr/>
            </w:pPr>
            <w:r>
              <w:rPr/>
              <w:t> </w:t>
            </w:r>
            <w:bookmarkStart w:id="44" w:name="xdx_407_eus-gaap--Assets_i01TI_pn3n3_mtA"/>
            <w:bookmarkEnd w:id="44"/>
          </w:p>
        </w:tc>
      </w:tr>
      <w:tr>
        <w:trPr/>
        <w:tc>
          <w:tcPr>
            <w:tcW w:w="6541"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FFFFFF" w:val="clear"/>
            <w:tcMar>
              <w:bottom w:w="28" w:type="dxa"/>
            </w:tcMar>
            <w:vAlign w:val="center"/>
          </w:tcPr>
          <w:p>
            <w:pPr>
              <w:pStyle w:val="TableContents"/>
              <w:bidi w:val="0"/>
              <w:spacing w:before="0" w:after="283"/>
              <w:jc w:val="right"/>
              <w:rPr/>
            </w:pPr>
            <w:r>
              <w:rPr/>
              <w:t>5,208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8" w:type="dxa"/>
            <w:tcBorders>
              <w:bottom w:val="double" w:sz="6" w:space="0" w:color="000000"/>
            </w:tcBorders>
            <w:shd w:fill="FFFFFF" w:val="clear"/>
            <w:tcMar>
              <w:bottom w:w="28" w:type="dxa"/>
            </w:tcMar>
            <w:vAlign w:val="center"/>
          </w:tcPr>
          <w:p>
            <w:pPr>
              <w:pStyle w:val="TableContents"/>
              <w:bidi w:val="0"/>
              <w:spacing w:before="0" w:after="283"/>
              <w:jc w:val="right"/>
              <w:rPr/>
            </w:pPr>
            <w:r>
              <w:rPr/>
              <w:t>8,327</w:t>
            </w:r>
          </w:p>
        </w:tc>
        <w:tc>
          <w:tcPr>
            <w:tcW w:w="113"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5" w:name="xdx_40C_eus-gaap--LiabilitiesAndStockhol"/>
            <w:bookmarkEnd w:id="45"/>
          </w:p>
        </w:tc>
      </w:tr>
      <w:tr>
        <w:trPr/>
        <w:tc>
          <w:tcPr>
            <w:tcW w:w="6541" w:type="dxa"/>
            <w:tcBorders/>
            <w:shd w:fill="FFFFFF" w:val="clear"/>
            <w:vAlign w:val="center"/>
          </w:tcPr>
          <w:p>
            <w:pPr>
              <w:pStyle w:val="TableContents"/>
              <w:bidi w:val="0"/>
              <w:spacing w:before="0" w:after="283"/>
              <w:jc w:val="left"/>
              <w:rPr/>
            </w:pPr>
            <w:r>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6" w:name="xdx_409_eus-gaap--LiabilitiesCurrentAbst"/>
            <w:bookmarkEnd w:id="46"/>
          </w:p>
        </w:tc>
      </w:tr>
      <w:tr>
        <w:trPr/>
        <w:tc>
          <w:tcPr>
            <w:tcW w:w="6541"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7" w:name="xdx_40A_eus-gaap--AccountsPayableCurrent"/>
            <w:bookmarkEnd w:id="47"/>
          </w:p>
        </w:tc>
      </w:tr>
      <w:tr>
        <w:trPr/>
        <w:tc>
          <w:tcPr>
            <w:tcW w:w="6541"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159" w:type="dxa"/>
            <w:tcBorders/>
            <w:shd w:fill="FFFFFF" w:val="clear"/>
            <w:vAlign w:val="center"/>
          </w:tcPr>
          <w:p>
            <w:pPr>
              <w:pStyle w:val="TableContents"/>
              <w:bidi w:val="0"/>
              <w:spacing w:before="0" w:after="283"/>
              <w:jc w:val="right"/>
              <w:rPr/>
            </w:pPr>
            <w:r>
              <w:rPr/>
              <w:t>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w:t>
            </w:r>
          </w:p>
        </w:tc>
        <w:tc>
          <w:tcPr>
            <w:tcW w:w="1108" w:type="dxa"/>
            <w:tcBorders/>
            <w:shd w:fill="FFFFFF" w:val="clear"/>
            <w:vAlign w:val="center"/>
          </w:tcPr>
          <w:p>
            <w:pPr>
              <w:pStyle w:val="TableContents"/>
              <w:bidi w:val="0"/>
              <w:spacing w:before="0" w:after="283"/>
              <w:jc w:val="right"/>
              <w:rPr/>
            </w:pPr>
            <w:r>
              <w:rPr/>
              <w:t>357</w:t>
            </w:r>
          </w:p>
        </w:tc>
        <w:tc>
          <w:tcPr>
            <w:tcW w:w="113" w:type="dxa"/>
            <w:tcBorders/>
            <w:shd w:fill="FFFFFF" w:val="clear"/>
            <w:vAlign w:val="center"/>
          </w:tcPr>
          <w:p>
            <w:pPr>
              <w:pStyle w:val="TableContents"/>
              <w:bidi w:val="0"/>
              <w:spacing w:before="0" w:after="283"/>
              <w:jc w:val="left"/>
              <w:rPr/>
            </w:pPr>
            <w:r>
              <w:rPr/>
              <w:t> </w:t>
            </w:r>
            <w:bookmarkStart w:id="48" w:name="xdx_40E_eus-gaap--OperatingLeaseLiabilit"/>
            <w:bookmarkEnd w:id="48"/>
          </w:p>
        </w:tc>
      </w:tr>
      <w:tr>
        <w:trPr/>
        <w:tc>
          <w:tcPr>
            <w:tcW w:w="6541"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191</w:t>
            </w:r>
          </w:p>
        </w:tc>
        <w:tc>
          <w:tcPr>
            <w:tcW w:w="113" w:type="dxa"/>
            <w:tcBorders/>
            <w:shd w:fill="CCEEFF" w:val="clear"/>
            <w:vAlign w:val="center"/>
          </w:tcPr>
          <w:p>
            <w:pPr>
              <w:pStyle w:val="TableContents"/>
              <w:bidi w:val="0"/>
              <w:spacing w:before="0" w:after="283"/>
              <w:jc w:val="left"/>
              <w:rPr/>
            </w:pPr>
            <w:r>
              <w:rPr/>
              <w:t> </w:t>
            </w:r>
            <w:bookmarkStart w:id="49" w:name="xdx_402_eus-gaap--LitigationReserveCurre"/>
            <w:bookmarkEnd w:id="49"/>
          </w:p>
        </w:tc>
      </w:tr>
      <w:tr>
        <w:trPr/>
        <w:tc>
          <w:tcPr>
            <w:tcW w:w="6541" w:type="dxa"/>
            <w:tcBorders/>
            <w:shd w:fill="FFFFFF" w:val="clear"/>
            <w:vAlign w:val="center"/>
          </w:tcPr>
          <w:p>
            <w:pPr>
              <w:pStyle w:val="TableContents"/>
              <w:bidi w:val="0"/>
              <w:spacing w:before="0" w:after="283"/>
              <w:jc w:val="left"/>
              <w:rPr/>
            </w:pPr>
            <w:r>
              <w:rPr/>
              <w:t>Legal settlement accrual</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3G</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2,211</w:t>
            </w:r>
          </w:p>
        </w:tc>
        <w:tc>
          <w:tcPr>
            <w:tcW w:w="113" w:type="dxa"/>
            <w:tcBorders/>
            <w:shd w:fill="FFFFFF" w:val="clear"/>
            <w:vAlign w:val="center"/>
          </w:tcPr>
          <w:p>
            <w:pPr>
              <w:pStyle w:val="TableContents"/>
              <w:bidi w:val="0"/>
              <w:spacing w:before="0" w:after="283"/>
              <w:jc w:val="left"/>
              <w:rPr/>
            </w:pPr>
            <w:r>
              <w:rPr/>
              <w:t> </w:t>
            </w:r>
            <w:bookmarkStart w:id="50" w:name="xdx_401_eus-gaap--AccruedLiabilitiesCurr"/>
            <w:bookmarkEnd w:id="50"/>
          </w:p>
        </w:tc>
      </w:tr>
      <w:tr>
        <w:trPr/>
        <w:tc>
          <w:tcPr>
            <w:tcW w:w="6541"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1,060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pPr>
            <w:r>
              <w:rPr/>
              <w:t>1,027</w:t>
            </w:r>
          </w:p>
        </w:tc>
        <w:tc>
          <w:tcPr>
            <w:tcW w:w="113" w:type="dxa"/>
            <w:tcBorders/>
            <w:shd w:fill="CCEEFF" w:val="clear"/>
            <w:vAlign w:val="center"/>
          </w:tcPr>
          <w:p>
            <w:pPr>
              <w:pStyle w:val="TableContents"/>
              <w:bidi w:val="0"/>
              <w:spacing w:before="0" w:after="283"/>
              <w:jc w:val="left"/>
              <w:rPr/>
            </w:pPr>
            <w:r>
              <w:rPr/>
              <w:t> </w:t>
            </w:r>
            <w:bookmarkStart w:id="51" w:name="xdx_400_eus-gaap--LiabilitiesCurrent_i02"/>
            <w:bookmarkEnd w:id="51"/>
          </w:p>
        </w:tc>
      </w:tr>
      <w:tr>
        <w:trPr/>
        <w:tc>
          <w:tcPr>
            <w:tcW w:w="6541"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1,371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3,786</w:t>
            </w:r>
          </w:p>
        </w:tc>
        <w:tc>
          <w:tcPr>
            <w:tcW w:w="113"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2" w:name="xdx_402_eus-gaap--LiabilitiesNoncurrentA"/>
            <w:bookmarkEnd w:id="52"/>
          </w:p>
        </w:tc>
      </w:tr>
      <w:tr>
        <w:trPr/>
        <w:tc>
          <w:tcPr>
            <w:tcW w:w="6541" w:type="dxa"/>
            <w:tcBorders/>
            <w:shd w:fill="FFFFFF" w:val="clear"/>
            <w:vAlign w:val="center"/>
          </w:tcPr>
          <w:p>
            <w:pPr>
              <w:pStyle w:val="TableContents"/>
              <w:bidi w:val="0"/>
              <w:spacing w:before="0" w:after="283"/>
              <w:jc w:val="left"/>
              <w:rPr/>
            </w:pPr>
            <w:r>
              <w:rPr/>
              <w:t>Non-current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3" w:name="xdx_404_eus-gaap--OperatingLeaseLiabilit"/>
            <w:bookmarkEnd w:id="53"/>
          </w:p>
        </w:tc>
      </w:tr>
      <w:tr>
        <w:trPr/>
        <w:tc>
          <w:tcPr>
            <w:tcW w:w="6541" w:type="dxa"/>
            <w:tcBorders/>
            <w:shd w:fill="CCEEFF" w:val="clear"/>
            <w:vAlign w:val="center"/>
          </w:tcPr>
          <w:p>
            <w:pPr>
              <w:pStyle w:val="TableContents"/>
              <w:bidi w:val="0"/>
              <w:spacing w:before="0" w:after="283"/>
              <w:jc w:val="left"/>
              <w:rPr/>
            </w:pPr>
            <w:r>
              <w:rPr/>
              <w:t>Long-term lease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13" w:type="dxa"/>
            <w:tcBorders/>
            <w:shd w:fill="CCEEFF" w:val="clear"/>
            <w:vAlign w:val="center"/>
          </w:tcPr>
          <w:p>
            <w:pPr>
              <w:pStyle w:val="TableContents"/>
              <w:bidi w:val="0"/>
              <w:spacing w:before="0" w:after="283"/>
              <w:jc w:val="left"/>
              <w:rPr/>
            </w:pPr>
            <w:r>
              <w:rPr/>
              <w:t> </w:t>
            </w:r>
            <w:bookmarkStart w:id="54" w:name="xdx_403_eus-gaap--Liabilities_i01TI_pn3n"/>
            <w:bookmarkEnd w:id="54"/>
          </w:p>
        </w:tc>
      </w:tr>
      <w:tr>
        <w:trPr/>
        <w:tc>
          <w:tcPr>
            <w:tcW w:w="6541"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1,400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3,826</w:t>
            </w:r>
          </w:p>
        </w:tc>
        <w:tc>
          <w:tcPr>
            <w:tcW w:w="113"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5" w:name="xdx_402_eus-gaap--StockholdersEquityAbst"/>
            <w:bookmarkEnd w:id="55"/>
          </w:p>
        </w:tc>
      </w:tr>
      <w:tr>
        <w:trPr/>
        <w:tc>
          <w:tcPr>
            <w:tcW w:w="6541"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6" w:name="xdx_408_eus-gaap--CommonStockValue_i02I_"/>
            <w:bookmarkEnd w:id="56"/>
          </w:p>
        </w:tc>
      </w:tr>
      <w:tr>
        <w:trPr/>
        <w:tc>
          <w:tcPr>
            <w:tcW w:w="6541" w:type="dxa"/>
            <w:tcBorders/>
            <w:shd w:fill="FFFFFF" w:val="clear"/>
            <w:vAlign w:val="center"/>
          </w:tcPr>
          <w:p>
            <w:pPr>
              <w:pStyle w:val="TableContents"/>
              <w:bidi w:val="0"/>
              <w:spacing w:before="0" w:after="283"/>
              <w:jc w:val="left"/>
              <w:rPr/>
            </w:pPr>
            <w:r>
              <w:rPr/>
              <w:t>Common stock; $</w:t>
            </w:r>
            <w:bookmarkStart w:id="57" w:name="xdx_907_eus-gaap--CommonStockParOrStated"/>
            <w:bookmarkStart w:id="58" w:name="xdx_90F_eus-gaap--CommonStockParOrStated"/>
            <w:bookmarkEnd w:id="57"/>
            <w:bookmarkEnd w:id="58"/>
            <w:r>
              <w:rPr/>
              <w:t xml:space="preserve">0.01 par value; </w:t>
            </w:r>
            <w:bookmarkStart w:id="59" w:name="xdx_904_eus-gaap--CommonStockSharesAutho"/>
            <w:bookmarkStart w:id="60" w:name="xdx_90D_eus-gaap--CommonStockSharesAutho"/>
            <w:bookmarkEnd w:id="59"/>
            <w:bookmarkEnd w:id="60"/>
            <w:r>
              <w:rPr/>
              <w:t xml:space="preserve">60,000,000 shares authorized; </w:t>
            </w:r>
            <w:bookmarkStart w:id="61" w:name="xdx_908_eus-gaap--CommonStockSharesOutst"/>
            <w:bookmarkStart w:id="62" w:name="xdx_909_eus-gaap--CommonStockSharesIssue"/>
            <w:bookmarkEnd w:id="61"/>
            <w:bookmarkEnd w:id="62"/>
            <w:r>
              <w:rPr/>
              <w:t xml:space="preserve">16,651,433 and </w:t>
            </w:r>
            <w:bookmarkStart w:id="63" w:name="xdx_901_eus-gaap--CommonStockSharesOutst"/>
            <w:bookmarkStart w:id="64" w:name="xdx_90F_eus-gaap--CommonStockSharesIssue"/>
            <w:bookmarkEnd w:id="63"/>
            <w:bookmarkEnd w:id="64"/>
            <w:r>
              <w:rPr/>
              <w:t>11,707,317 shares issued and outstanding as of September 30, 2024 and December 31, 2023, respectively</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118</w:t>
            </w:r>
          </w:p>
        </w:tc>
        <w:tc>
          <w:tcPr>
            <w:tcW w:w="113" w:type="dxa"/>
            <w:tcBorders/>
            <w:shd w:fill="FFFFFF" w:val="clear"/>
            <w:vAlign w:val="center"/>
          </w:tcPr>
          <w:p>
            <w:pPr>
              <w:pStyle w:val="TableContents"/>
              <w:bidi w:val="0"/>
              <w:spacing w:before="0" w:after="283"/>
              <w:jc w:val="left"/>
              <w:rPr/>
            </w:pPr>
            <w:r>
              <w:rPr/>
              <w:t> </w:t>
            </w:r>
            <w:bookmarkStart w:id="65" w:name="xdx_407_eus-gaap--AdditionalPaidInCapita"/>
            <w:bookmarkEnd w:id="65"/>
          </w:p>
        </w:tc>
      </w:tr>
      <w:tr>
        <w:trPr/>
        <w:tc>
          <w:tcPr>
            <w:tcW w:w="6541"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91,192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83,884</w:t>
            </w:r>
          </w:p>
        </w:tc>
        <w:tc>
          <w:tcPr>
            <w:tcW w:w="113" w:type="dxa"/>
            <w:tcBorders/>
            <w:shd w:fill="CCEEFF" w:val="clear"/>
            <w:vAlign w:val="center"/>
          </w:tcPr>
          <w:p>
            <w:pPr>
              <w:pStyle w:val="TableContents"/>
              <w:bidi w:val="0"/>
              <w:spacing w:before="0" w:after="283"/>
              <w:jc w:val="left"/>
              <w:rPr/>
            </w:pPr>
            <w:r>
              <w:rPr/>
              <w:t> </w:t>
            </w:r>
            <w:bookmarkStart w:id="66" w:name="xdx_405_eus-gaap--RetainedEarningsAccumu"/>
            <w:bookmarkEnd w:id="66"/>
          </w:p>
        </w:tc>
      </w:tr>
      <w:tr>
        <w:trPr/>
        <w:tc>
          <w:tcPr>
            <w:tcW w:w="6541"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(87,552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(79,501</w:t>
            </w:r>
          </w:p>
        </w:tc>
        <w:tc>
          <w:tcPr>
            <w:tcW w:w="113" w:type="dxa"/>
            <w:tcBorders/>
            <w:shd w:fill="FFFFFF" w:val="clear"/>
            <w:vAlign w:val="center"/>
          </w:tcPr>
          <w:p>
            <w:pPr>
              <w:pStyle w:val="TableContents"/>
              <w:bidi w:val="0"/>
              <w:spacing w:before="0" w:after="283"/>
              <w:jc w:val="left"/>
              <w:rPr/>
            </w:pPr>
            <w:r>
              <w:rPr/>
              <w:t>)</w:t>
            </w:r>
            <w:bookmarkStart w:id="67" w:name="xdx_402_eus-gaap--StockholdersEquity_i02"/>
            <w:bookmarkEnd w:id="67"/>
          </w:p>
        </w:tc>
      </w:tr>
      <w:tr>
        <w:trPr/>
        <w:tc>
          <w:tcPr>
            <w:tcW w:w="6541" w:type="dxa"/>
            <w:tcBorders/>
            <w:shd w:fill="CCEEFF" w:val="clear"/>
            <w:vAlign w:val="center"/>
          </w:tcPr>
          <w:p>
            <w:pPr>
              <w:pStyle w:val="TableContents"/>
              <w:bidi w:val="0"/>
              <w:spacing w:before="0" w:after="283"/>
              <w:jc w:val="left"/>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pPr>
            <w:r>
              <w:rPr/>
              <w:t>4,501</w:t>
            </w:r>
          </w:p>
        </w:tc>
        <w:tc>
          <w:tcPr>
            <w:tcW w:w="113" w:type="dxa"/>
            <w:tcBorders/>
            <w:shd w:fill="CCEEFF" w:val="clear"/>
            <w:vAlign w:val="center"/>
          </w:tcPr>
          <w:p>
            <w:pPr>
              <w:pStyle w:val="TableContents"/>
              <w:bidi w:val="0"/>
              <w:spacing w:before="0" w:after="283"/>
              <w:jc w:val="left"/>
              <w:rPr/>
            </w:pPr>
            <w:r>
              <w:rPr/>
              <w:t> </w:t>
            </w:r>
            <w:bookmarkStart w:id="68" w:name="xdx_409_eus-gaap--LiabilitiesAndStockhol"/>
            <w:bookmarkEnd w:id="68"/>
          </w:p>
        </w:tc>
      </w:tr>
      <w:tr>
        <w:trPr/>
        <w:tc>
          <w:tcPr>
            <w:tcW w:w="6541" w:type="dxa"/>
            <w:tcBorders/>
            <w:shd w:fill="FFFFFF" w:val="clear"/>
            <w:vAlign w:val="center"/>
          </w:tcPr>
          <w:p>
            <w:pPr>
              <w:pStyle w:val="TableContents"/>
              <w:bidi w:val="0"/>
              <w:spacing w:before="0" w:after="283"/>
              <w:jc w:val="left"/>
              <w:rPr/>
            </w:pPr>
            <w:r>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FFFFFF" w:val="clear"/>
            <w:tcMar>
              <w:bottom w:w="28" w:type="dxa"/>
            </w:tcMar>
            <w:vAlign w:val="center"/>
          </w:tcPr>
          <w:p>
            <w:pPr>
              <w:pStyle w:val="TableContents"/>
              <w:bidi w:val="0"/>
              <w:spacing w:before="0" w:after="283"/>
              <w:jc w:val="right"/>
              <w:rPr/>
            </w:pPr>
            <w:r>
              <w:rPr/>
              <w:t>5,208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8" w:type="dxa"/>
            <w:tcBorders>
              <w:bottom w:val="double" w:sz="6" w:space="0" w:color="000000"/>
            </w:tcBorders>
            <w:shd w:fill="FFFFFF" w:val="clear"/>
            <w:tcMar>
              <w:bottom w:w="28" w:type="dxa"/>
            </w:tcMar>
            <w:vAlign w:val="center"/>
          </w:tcPr>
          <w:p>
            <w:pPr>
              <w:pStyle w:val="TableContents"/>
              <w:bidi w:val="0"/>
              <w:spacing w:before="0" w:after="283"/>
              <w:jc w:val="right"/>
              <w:rPr/>
            </w:pPr>
            <w:r>
              <w:rPr/>
              <w:t>8,327</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69" w:name="a_002"/>
      <w:bookmarkEnd w:id="69"/>
      <w:r>
        <w:rPr>
          <w:rFonts w:ascii="Times New Roman;Times;Serif" w:hAnsi="Times New Roman;Times;Serif"/>
          <w:b/>
          <w:i w:val="false"/>
          <w:caps w:val="false"/>
          <w:smallCaps w:val="false"/>
          <w:sz w:val="20"/>
          <w:u w:val="single"/>
        </w:rPr>
        <w:t>MICROBOT MEDICAL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Interim Condensed Consolidated Statements of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0" w:name="xdx_300_113_pn3n3_ztahdL8ojZtb"/>
      <w:bookmarkStart w:id="71" w:name="xdx_300_113_pn3n3_ztahdL8ojZtb"/>
      <w:bookmarkEnd w:id="71"/>
    </w:p>
    <w:tbl>
      <w:tblPr>
        <w:tblW w:w="10205" w:type="dxa"/>
        <w:jc w:val="left"/>
        <w:tblInd w:w="0" w:type="dxa"/>
        <w:tblLayout w:type="fixed"/>
        <w:tblCellMar>
          <w:top w:w="0" w:type="dxa"/>
          <w:left w:w="0" w:type="dxa"/>
          <w:bottom w:w="0" w:type="dxa"/>
          <w:right w:w="0" w:type="dxa"/>
        </w:tblCellMar>
      </w:tblPr>
      <w:tblGrid>
        <w:gridCol w:w="4272"/>
        <w:gridCol w:w="60"/>
        <w:gridCol w:w="152"/>
        <w:gridCol w:w="1198"/>
        <w:gridCol w:w="102"/>
        <w:gridCol w:w="64"/>
        <w:gridCol w:w="152"/>
        <w:gridCol w:w="1198"/>
        <w:gridCol w:w="95"/>
        <w:gridCol w:w="60"/>
        <w:gridCol w:w="152"/>
        <w:gridCol w:w="1198"/>
        <w:gridCol w:w="102"/>
        <w:gridCol w:w="64"/>
        <w:gridCol w:w="152"/>
        <w:gridCol w:w="1068"/>
        <w:gridCol w:w="116"/>
      </w:tblGrid>
      <w:tr>
        <w:trPr/>
        <w:tc>
          <w:tcPr>
            <w:tcW w:w="42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2" w:name="xdx_49A_20240701__20240930_zQAqAahP6Ypb"/>
            <w:bookmarkEnd w:id="72"/>
          </w:p>
        </w:tc>
        <w:tc>
          <w:tcPr>
            <w:tcW w:w="13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2"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bookmarkStart w:id="73" w:name="xdx_49D_20230701__20230930_zUntQMJgtYnd"/>
            <w:bookmarkEnd w:id="73"/>
          </w:p>
        </w:tc>
        <w:tc>
          <w:tcPr>
            <w:tcW w:w="13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4" w:name="xdx_49E_20240101__20240930_zy7UQEiMj7w5"/>
            <w:bookmarkEnd w:id="74"/>
          </w:p>
        </w:tc>
        <w:tc>
          <w:tcPr>
            <w:tcW w:w="13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2"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bookmarkStart w:id="75" w:name="xdx_496_20230101__20230930_zus7qLnAX8Z3"/>
            <w:bookmarkEnd w:id="75"/>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6" w:type="dxa"/>
            <w:tcBorders/>
            <w:vAlign w:val="center"/>
          </w:tcPr>
          <w:p>
            <w:pPr>
              <w:pStyle w:val="TableContents"/>
              <w:bidi w:val="0"/>
              <w:spacing w:before="0" w:after="283"/>
              <w:jc w:val="center"/>
              <w:rPr/>
            </w:pPr>
            <w:r>
              <w:rPr/>
              <w:t> </w:t>
            </w:r>
          </w:p>
        </w:tc>
      </w:tr>
      <w:tr>
        <w:trPr/>
        <w:tc>
          <w:tcPr>
            <w:tcW w:w="42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66" w:type="dxa"/>
            <w:gridSpan w:val="6"/>
            <w:tcBorders/>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36" w:type="dxa"/>
            <w:gridSpan w:val="6"/>
            <w:tcBorders/>
            <w:vAlign w:val="center"/>
          </w:tcPr>
          <w:p>
            <w:pPr>
              <w:pStyle w:val="TableContents"/>
              <w:bidi w:val="0"/>
              <w:spacing w:before="0" w:after="283"/>
              <w:jc w:val="center"/>
              <w:rPr>
                <w:b/>
              </w:rPr>
            </w:pPr>
            <w:r>
              <w:rPr>
                <w:b/>
              </w:rPr>
              <w:t>For the Nine Months Ended</w:t>
            </w:r>
          </w:p>
        </w:tc>
        <w:tc>
          <w:tcPr>
            <w:tcW w:w="116" w:type="dxa"/>
            <w:tcBorders/>
            <w:vAlign w:val="center"/>
          </w:tcPr>
          <w:p>
            <w:pPr>
              <w:pStyle w:val="TableContents"/>
              <w:bidi w:val="0"/>
              <w:spacing w:before="0" w:after="283"/>
              <w:jc w:val="center"/>
              <w:rPr/>
            </w:pPr>
            <w:r>
              <w:rPr/>
              <w:t> </w:t>
            </w:r>
          </w:p>
        </w:tc>
      </w:tr>
      <w:tr>
        <w:trPr/>
        <w:tc>
          <w:tcPr>
            <w:tcW w:w="42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6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6" w:type="dxa"/>
            <w:tcBorders/>
            <w:vAlign w:val="center"/>
          </w:tcPr>
          <w:p>
            <w:pPr>
              <w:pStyle w:val="TableContents"/>
              <w:bidi w:val="0"/>
              <w:spacing w:before="0" w:after="283"/>
              <w:jc w:val="center"/>
              <w:rPr/>
            </w:pPr>
            <w:r>
              <w:rPr/>
              <w:t> </w:t>
            </w:r>
          </w:p>
        </w:tc>
      </w:tr>
      <w:tr>
        <w:trPr/>
        <w:tc>
          <w:tcPr>
            <w:tcW w:w="42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2"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13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2"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6" w:type="dxa"/>
            <w:tcBorders/>
            <w:vAlign w:val="center"/>
          </w:tcPr>
          <w:p>
            <w:pPr>
              <w:pStyle w:val="TableContents"/>
              <w:bidi w:val="0"/>
              <w:spacing w:before="0" w:after="283"/>
              <w:jc w:val="center"/>
              <w:rPr/>
            </w:pPr>
            <w:r>
              <w:rPr/>
              <w:t> </w:t>
            </w:r>
          </w:p>
        </w:tc>
      </w:tr>
      <w:tr>
        <w:trPr/>
        <w:tc>
          <w:tcPr>
            <w:tcW w:w="42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66" w:type="dxa"/>
            <w:gridSpan w:val="6"/>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36" w:type="dxa"/>
            <w:gridSpan w:val="6"/>
            <w:tcBorders/>
            <w:vAlign w:val="center"/>
          </w:tcPr>
          <w:p>
            <w:pPr>
              <w:pStyle w:val="TableContents"/>
              <w:bidi w:val="0"/>
              <w:spacing w:before="0" w:after="283"/>
              <w:jc w:val="center"/>
              <w:rPr/>
            </w:pPr>
            <w:r>
              <w:rPr/>
              <w:t>Unaudited</w:t>
            </w:r>
          </w:p>
        </w:tc>
        <w:tc>
          <w:tcPr>
            <w:tcW w:w="116" w:type="dxa"/>
            <w:tcBorders/>
            <w:vAlign w:val="center"/>
          </w:tcPr>
          <w:p>
            <w:pPr>
              <w:pStyle w:val="TableContents"/>
              <w:bidi w:val="0"/>
              <w:spacing w:before="0" w:after="283"/>
              <w:jc w:val="center"/>
              <w:rPr/>
            </w:pPr>
            <w:r>
              <w:rPr/>
              <w:t> </w:t>
            </w:r>
            <w:bookmarkStart w:id="76" w:name="xdx_407_eus-gaap--ResearchAndDevelopment"/>
            <w:bookmarkEnd w:id="76"/>
          </w:p>
        </w:tc>
      </w:tr>
      <w:tr>
        <w:trPr/>
        <w:tc>
          <w:tcPr>
            <w:tcW w:w="4272"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2,060</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1,612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4,646</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4,594</w:t>
            </w:r>
          </w:p>
        </w:tc>
        <w:tc>
          <w:tcPr>
            <w:tcW w:w="116" w:type="dxa"/>
            <w:tcBorders/>
            <w:shd w:fill="CCEEFF" w:val="clear"/>
            <w:vAlign w:val="center"/>
          </w:tcPr>
          <w:p>
            <w:pPr>
              <w:pStyle w:val="TableContents"/>
              <w:bidi w:val="0"/>
              <w:spacing w:before="0" w:after="283"/>
              <w:jc w:val="left"/>
              <w:rPr/>
            </w:pPr>
            <w:r>
              <w:rPr/>
              <w:t> </w:t>
            </w:r>
            <w:bookmarkStart w:id="77" w:name="xdx_405_eus-gaap--GeneralAndAdministrati"/>
            <w:bookmarkEnd w:id="77"/>
          </w:p>
        </w:tc>
      </w:tr>
      <w:tr>
        <w:trPr/>
        <w:tc>
          <w:tcPr>
            <w:tcW w:w="4272" w:type="dxa"/>
            <w:tcBorders/>
            <w:shd w:fill="FFFFFF" w:val="clear"/>
            <w:vAlign w:val="center"/>
          </w:tcPr>
          <w:p>
            <w:pPr>
              <w:pStyle w:val="TableContents"/>
              <w:bidi w:val="0"/>
              <w:spacing w:before="0" w:after="283"/>
              <w:jc w:val="left"/>
              <w:rPr/>
            </w:pPr>
            <w:r>
              <w:rPr/>
              <w:t>General and administrative, net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pPr>
            <w:r>
              <w:rPr/>
              <w:t>1,240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pPr>
            <w:r>
              <w:rPr/>
              <w:t>932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pPr>
            <w:r>
              <w:rPr/>
              <w:t>3,549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pPr>
            <w:r>
              <w:rPr/>
              <w:t>3,193</w:t>
            </w:r>
          </w:p>
        </w:tc>
        <w:tc>
          <w:tcPr>
            <w:tcW w:w="116" w:type="dxa"/>
            <w:tcBorders/>
            <w:shd w:fill="FFFFFF" w:val="clear"/>
            <w:vAlign w:val="center"/>
          </w:tcPr>
          <w:p>
            <w:pPr>
              <w:pStyle w:val="TableContents"/>
              <w:bidi w:val="0"/>
              <w:spacing w:before="0" w:after="283"/>
              <w:jc w:val="left"/>
              <w:rPr/>
            </w:pPr>
            <w:r>
              <w:rPr/>
              <w:t> </w:t>
            </w:r>
            <w:bookmarkStart w:id="78" w:name="xdx_40E_eus-gaap--OperatingIncomeLoss_iT"/>
            <w:bookmarkEnd w:id="78"/>
          </w:p>
        </w:tc>
      </w:tr>
      <w:tr>
        <w:trPr/>
        <w:tc>
          <w:tcPr>
            <w:tcW w:w="4272"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(3,300</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(2,544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(8,195</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(7,787</w:t>
            </w:r>
          </w:p>
        </w:tc>
        <w:tc>
          <w:tcPr>
            <w:tcW w:w="116" w:type="dxa"/>
            <w:tcBorders/>
            <w:shd w:fill="CCEEFF" w:val="clear"/>
            <w:vAlign w:val="center"/>
          </w:tcPr>
          <w:p>
            <w:pPr>
              <w:pStyle w:val="TableContents"/>
              <w:bidi w:val="0"/>
              <w:spacing w:before="0" w:after="283"/>
              <w:jc w:val="left"/>
              <w:rPr/>
            </w:pPr>
            <w:r>
              <w:rPr/>
              <w:t>)</w:t>
            </w:r>
          </w:p>
        </w:tc>
      </w:tr>
      <w:tr>
        <w:trPr/>
        <w:tc>
          <w:tcPr>
            <w:tcW w:w="42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79" w:name="xdx_408_eus-gaap--InterestIncomeExpenseN"/>
            <w:bookmarkEnd w:id="79"/>
          </w:p>
        </w:tc>
      </w:tr>
      <w:tr>
        <w:trPr/>
        <w:tc>
          <w:tcPr>
            <w:tcW w:w="4272" w:type="dxa"/>
            <w:tcBorders/>
            <w:shd w:fill="CCEEFF" w:val="clear"/>
            <w:vAlign w:val="center"/>
          </w:tcPr>
          <w:p>
            <w:pPr>
              <w:pStyle w:val="TableContents"/>
              <w:bidi w:val="0"/>
              <w:spacing w:before="0" w:after="283"/>
              <w:jc w:val="left"/>
              <w:rPr/>
            </w:pPr>
            <w:r>
              <w:rPr/>
              <w:t>Financing income, net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144</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201</w:t>
            </w:r>
          </w:p>
        </w:tc>
        <w:tc>
          <w:tcPr>
            <w:tcW w:w="116" w:type="dxa"/>
            <w:tcBorders/>
            <w:shd w:fill="CCEEFF" w:val="clear"/>
            <w:vAlign w:val="center"/>
          </w:tcPr>
          <w:p>
            <w:pPr>
              <w:pStyle w:val="TableContents"/>
              <w:bidi w:val="0"/>
              <w:spacing w:before="0" w:after="283"/>
              <w:jc w:val="left"/>
              <w:rPr/>
            </w:pPr>
            <w:r>
              <w:rPr/>
              <w:t> </w:t>
            </w:r>
            <w:bookmarkStart w:id="80" w:name="xdx_400_eus-gaap--NetIncomeLoss_iT_pn3n3"/>
            <w:bookmarkEnd w:id="80"/>
          </w:p>
        </w:tc>
      </w:tr>
      <w:tr>
        <w:trPr/>
        <w:tc>
          <w:tcPr>
            <w:tcW w:w="4272"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pPr>
            <w:r>
              <w:rPr/>
              <w:t>(3,215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pPr>
            <w:r>
              <w:rPr/>
              <w:t>(2,446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pPr>
            <w:r>
              <w:rPr/>
              <w:t>(8,051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r>
              <w:rPr/>
              <w:t>(7,586</w:t>
            </w:r>
          </w:p>
        </w:tc>
        <w:tc>
          <w:tcPr>
            <w:tcW w:w="116" w:type="dxa"/>
            <w:tcBorders/>
            <w:shd w:fill="FFFFFF" w:val="clear"/>
            <w:vAlign w:val="center"/>
          </w:tcPr>
          <w:p>
            <w:pPr>
              <w:pStyle w:val="TableContents"/>
              <w:bidi w:val="0"/>
              <w:spacing w:before="0" w:after="283"/>
              <w:jc w:val="left"/>
              <w:rPr/>
            </w:pPr>
            <w:r>
              <w:rPr/>
              <w:t>)</w:t>
            </w:r>
          </w:p>
        </w:tc>
      </w:tr>
      <w:tr>
        <w:trPr/>
        <w:tc>
          <w:tcPr>
            <w:tcW w:w="42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272"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81" w:name="xdx_908_eus-gaap--EarningsPerShareDilute"/>
            <w:bookmarkStart w:id="82" w:name="xdx_90F_eus-gaap--EarningsPerShareBasic_"/>
            <w:bookmarkEnd w:id="81"/>
            <w:bookmarkEnd w:id="82"/>
            <w:r>
              <w:rPr/>
              <w:t>(0.20</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83" w:name="xdx_901_eus-gaap--EarningsPerShareDilute"/>
            <w:bookmarkStart w:id="84" w:name="xdx_901_eus-gaap--EarningsPerShareBasic_"/>
            <w:bookmarkEnd w:id="83"/>
            <w:bookmarkEnd w:id="84"/>
            <w:r>
              <w:rPr/>
              <w:t>(0.21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85" w:name="xdx_906_eus-gaap--EarningsPerShareDilute"/>
            <w:bookmarkStart w:id="86" w:name="xdx_909_eus-gaap--EarningsPerShareBasic_"/>
            <w:bookmarkEnd w:id="85"/>
            <w:bookmarkEnd w:id="86"/>
            <w:r>
              <w:rPr/>
              <w:t>(0.53</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87" w:name="xdx_90F_eus-gaap--EarningsPerShareDilute"/>
            <w:bookmarkStart w:id="88" w:name="xdx_90D_eus-gaap--EarningsPerShareBasic_"/>
            <w:bookmarkEnd w:id="87"/>
            <w:bookmarkEnd w:id="88"/>
            <w:r>
              <w:rPr/>
              <w:t>(0.79</w:t>
            </w:r>
          </w:p>
        </w:tc>
        <w:tc>
          <w:tcPr>
            <w:tcW w:w="116" w:type="dxa"/>
            <w:tcBorders/>
            <w:shd w:fill="FFFFFF" w:val="clear"/>
            <w:vAlign w:val="center"/>
          </w:tcPr>
          <w:p>
            <w:pPr>
              <w:pStyle w:val="TableContents"/>
              <w:bidi w:val="0"/>
              <w:spacing w:before="0" w:after="283"/>
              <w:jc w:val="left"/>
              <w:rPr/>
            </w:pPr>
            <w:r>
              <w:rPr/>
              <w:t>)</w:t>
            </w:r>
          </w:p>
        </w:tc>
      </w:tr>
      <w:tr>
        <w:trPr/>
        <w:tc>
          <w:tcPr>
            <w:tcW w:w="4272" w:type="dxa"/>
            <w:tcBorders/>
            <w:shd w:fill="CCEEFF" w:val="clear"/>
            <w:vAlign w:val="center"/>
          </w:tcPr>
          <w:p>
            <w:pPr>
              <w:pStyle w:val="TableContents"/>
              <w:bidi w:val="0"/>
              <w:spacing w:before="0" w:after="283"/>
              <w:jc w:val="left"/>
              <w:rPr/>
            </w:pPr>
            <w:r>
              <w:rPr/>
              <w:t>Basic and diluted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89" w:name="xdx_909_eus-gaap--WeightedAverageNumberO"/>
            <w:bookmarkStart w:id="90" w:name="xdx_903_eus-gaap--WeightedAverageNumberO"/>
            <w:bookmarkEnd w:id="89"/>
            <w:bookmarkEnd w:id="90"/>
            <w:r>
              <w:rPr/>
              <w:t>16,471,419</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1" w:name="xdx_906_eus-gaap--WeightedAverageNumberO"/>
            <w:bookmarkStart w:id="92" w:name="xdx_90F_eus-gaap--WeightedAverageNumberO"/>
            <w:bookmarkEnd w:id="91"/>
            <w:bookmarkEnd w:id="92"/>
            <w:r>
              <w:rPr/>
              <w:t>11,707,317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3" w:name="xdx_903_eus-gaap--WeightedAverageNumberO"/>
            <w:bookmarkStart w:id="94" w:name="xdx_900_eus-gaap--WeightedAverageNumberO"/>
            <w:bookmarkEnd w:id="93"/>
            <w:bookmarkEnd w:id="94"/>
            <w:r>
              <w:rPr/>
              <w:t>15,129,574</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5" w:name="xdx_905_eus-gaap--WeightedAverageNumberO"/>
            <w:bookmarkStart w:id="96" w:name="xdx_908_eus-gaap--WeightedAverageNumberO"/>
            <w:bookmarkEnd w:id="95"/>
            <w:bookmarkEnd w:id="96"/>
            <w:r>
              <w:rPr/>
              <w:t>9,653,337</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97" w:name="a_003"/>
      <w:bookmarkEnd w:id="97"/>
      <w:r>
        <w:rPr>
          <w:rFonts w:ascii="Times New Roman;Times;Serif" w:hAnsi="Times New Roman;Times;Serif"/>
          <w:b/>
          <w:i w:val="false"/>
          <w:caps w:val="false"/>
          <w:smallCaps w:val="false"/>
          <w:sz w:val="20"/>
          <w:u w:val="single"/>
        </w:rPr>
        <w:t>MICROBOT MEDICAL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Interim Condensed Consolidated Statements of Shareholders’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8" w:name="xdx_304_114_pn3n3_z0vSiea9Miq1"/>
      <w:bookmarkStart w:id="99" w:name="xdx_304_114_pn3n3_z0vSiea9Miq1"/>
      <w:bookmarkEnd w:id="99"/>
    </w:p>
    <w:tbl>
      <w:tblPr>
        <w:tblW w:w="10205" w:type="dxa"/>
        <w:jc w:val="left"/>
        <w:tblInd w:w="0" w:type="dxa"/>
        <w:tblLayout w:type="fixed"/>
        <w:tblCellMar>
          <w:top w:w="0" w:type="dxa"/>
          <w:left w:w="0" w:type="dxa"/>
          <w:bottom w:w="0" w:type="dxa"/>
          <w:right w:w="0" w:type="dxa"/>
        </w:tblCellMar>
      </w:tblPr>
      <w:tblGrid>
        <w:gridCol w:w="3587"/>
        <w:gridCol w:w="60"/>
        <w:gridCol w:w="60"/>
        <w:gridCol w:w="1100"/>
        <w:gridCol w:w="60"/>
        <w:gridCol w:w="60"/>
        <w:gridCol w:w="231"/>
        <w:gridCol w:w="629"/>
        <w:gridCol w:w="60"/>
        <w:gridCol w:w="60"/>
        <w:gridCol w:w="187"/>
        <w:gridCol w:w="913"/>
        <w:gridCol w:w="95"/>
        <w:gridCol w:w="60"/>
        <w:gridCol w:w="214"/>
        <w:gridCol w:w="1156"/>
        <w:gridCol w:w="95"/>
        <w:gridCol w:w="60"/>
        <w:gridCol w:w="239"/>
        <w:gridCol w:w="1168"/>
        <w:gridCol w:w="111"/>
      </w:tblGrid>
      <w:tr>
        <w:trPr/>
        <w:tc>
          <w:tcPr>
            <w:tcW w:w="3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0" w:name="xdx_4BC_us-gaap--StatementEquityComponen"/>
            <w:bookmarkEnd w:id="100"/>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 w:name="xdx_4B5_us-gaap--StatementEquityComponen"/>
            <w:bookmarkEnd w:id="101"/>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2" w:name="xdx_4BE_us-gaap--StatementEquityComponen"/>
            <w:bookmarkEnd w:id="102"/>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 w:name="xdx_4B8_zPbtFeLA1vt9"/>
            <w:bookmarkEnd w:id="103"/>
          </w:p>
        </w:tc>
        <w:tc>
          <w:tcPr>
            <w:tcW w:w="14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1" w:type="dxa"/>
            <w:tcBorders/>
            <w:vAlign w:val="center"/>
          </w:tcPr>
          <w:p>
            <w:pPr>
              <w:pStyle w:val="TableContents"/>
              <w:bidi w:val="0"/>
              <w:spacing w:before="0" w:after="283"/>
              <w:jc w:val="left"/>
              <w:rPr/>
            </w:pPr>
            <w:r>
              <w:rPr/>
              <w:t> </w:t>
            </w:r>
          </w:p>
        </w:tc>
      </w:tr>
      <w:tr>
        <w:trPr/>
        <w:tc>
          <w:tcPr>
            <w:tcW w:w="3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jc w:val="left"/>
              <w:rPr/>
            </w:pPr>
            <w:r>
              <w:rPr/>
              <w:t> </w:t>
            </w:r>
          </w:p>
        </w:tc>
      </w:tr>
      <w:tr>
        <w:trPr/>
        <w:tc>
          <w:tcPr>
            <w:tcW w:w="3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vAlign w:val="center"/>
          </w:tcPr>
          <w:p>
            <w:pPr>
              <w:pStyle w:val="TableContents"/>
              <w:bidi w:val="0"/>
              <w:spacing w:before="0" w:after="283"/>
              <w:jc w:val="center"/>
              <w:rPr>
                <w:b/>
              </w:rPr>
            </w:pPr>
            <w:r>
              <w:rPr>
                <w:b/>
              </w:rPr>
              <w:t>Shareholders’</w:t>
            </w:r>
          </w:p>
        </w:tc>
        <w:tc>
          <w:tcPr>
            <w:tcW w:w="111" w:type="dxa"/>
            <w:tcBorders/>
            <w:vAlign w:val="center"/>
          </w:tcPr>
          <w:p>
            <w:pPr>
              <w:pStyle w:val="TableContents"/>
              <w:bidi w:val="0"/>
              <w:spacing w:before="0" w:after="283"/>
              <w:jc w:val="left"/>
              <w:rPr/>
            </w:pPr>
            <w:r>
              <w:rPr/>
              <w:t> </w:t>
            </w:r>
          </w:p>
        </w:tc>
      </w:tr>
      <w:tr>
        <w:trPr/>
        <w:tc>
          <w:tcPr>
            <w:tcW w:w="35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1" w:type="dxa"/>
            <w:tcBorders/>
            <w:vAlign w:val="center"/>
          </w:tcPr>
          <w:p>
            <w:pPr>
              <w:pStyle w:val="TableContents"/>
              <w:bidi w:val="0"/>
              <w:spacing w:before="0" w:after="283"/>
              <w:jc w:val="left"/>
              <w:rPr/>
            </w:pPr>
            <w:r>
              <w:rPr/>
              <w:t> </w:t>
            </w:r>
          </w:p>
        </w:tc>
      </w:tr>
      <w:tr>
        <w:trPr/>
        <w:tc>
          <w:tcPr>
            <w:tcW w:w="35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bookmarkStart w:id="104" w:name="xdx_439_c20230101__20230331_eus-gaap--St"/>
            <w:bookmarkEnd w:id="104"/>
          </w:p>
        </w:tc>
      </w:tr>
      <w:tr>
        <w:trPr/>
        <w:tc>
          <w:tcPr>
            <w:tcW w:w="3587" w:type="dxa"/>
            <w:tcBorders/>
            <w:shd w:fill="CCEEFF" w:val="clear"/>
            <w:vAlign w:val="center"/>
          </w:tcPr>
          <w:p>
            <w:pPr>
              <w:pStyle w:val="TableContents"/>
              <w:bidi w:val="0"/>
              <w:spacing w:before="0" w:after="283"/>
              <w:jc w:val="left"/>
              <w:rPr/>
            </w:pPr>
            <w:r>
              <w:rPr/>
              <w:t>Balances, December 31, 2022 (Audited)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5" w:name="xdx_98F_eus-gaap--SharesOutstanding_iS_p"/>
            <w:bookmarkEnd w:id="105"/>
          </w:p>
        </w:tc>
        <w:tc>
          <w:tcPr>
            <w:tcW w:w="1100" w:type="dxa"/>
            <w:tcBorders/>
            <w:shd w:fill="CCEEFF" w:val="clear"/>
            <w:vAlign w:val="center"/>
          </w:tcPr>
          <w:p>
            <w:pPr>
              <w:pStyle w:val="TableContents"/>
              <w:bidi w:val="0"/>
              <w:spacing w:before="0" w:after="283"/>
              <w:jc w:val="right"/>
              <w:rPr/>
            </w:pPr>
            <w:r>
              <w:rPr/>
              <w:t>7,890,628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75,970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(68,761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  </w:t>
            </w:r>
            <w:r>
              <w:rPr/>
              <w:t>7,289</w:t>
            </w:r>
          </w:p>
        </w:tc>
        <w:tc>
          <w:tcPr>
            <w:tcW w:w="111" w:type="dxa"/>
            <w:tcBorders/>
            <w:shd w:fill="CCEEFF" w:val="clear"/>
            <w:vAlign w:val="center"/>
          </w:tcPr>
          <w:p>
            <w:pPr>
              <w:pStyle w:val="TableContents"/>
              <w:bidi w:val="0"/>
              <w:spacing w:before="0" w:after="283"/>
              <w:jc w:val="left"/>
              <w:rPr/>
            </w:pPr>
            <w:r>
              <w:rPr/>
              <w:t> </w:t>
            </w:r>
            <w:bookmarkStart w:id="106" w:name="xdx_40C_eus-gaap--AdjustmentsToAdditiona"/>
            <w:bookmarkEnd w:id="106"/>
          </w:p>
        </w:tc>
      </w:tr>
      <w:tr>
        <w:trPr/>
        <w:tc>
          <w:tcPr>
            <w:tcW w:w="3587"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412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412</w:t>
            </w:r>
          </w:p>
        </w:tc>
        <w:tc>
          <w:tcPr>
            <w:tcW w:w="111" w:type="dxa"/>
            <w:tcBorders/>
            <w:shd w:fill="FFFFFF" w:val="clear"/>
            <w:vAlign w:val="center"/>
          </w:tcPr>
          <w:p>
            <w:pPr>
              <w:pStyle w:val="TableContents"/>
              <w:bidi w:val="0"/>
              <w:spacing w:before="0" w:after="283"/>
              <w:jc w:val="left"/>
              <w:rPr/>
            </w:pPr>
            <w:r>
              <w:rPr/>
              <w:t> </w:t>
            </w:r>
            <w:bookmarkStart w:id="107" w:name="xdx_404_ecustom--IssuanceOfCommonStockVa"/>
            <w:bookmarkEnd w:id="107"/>
          </w:p>
        </w:tc>
      </w:tr>
      <w:tr>
        <w:trPr/>
        <w:tc>
          <w:tcPr>
            <w:tcW w:w="3587" w:type="dxa"/>
            <w:tcBorders/>
            <w:shd w:fill="CCEEFF" w:val="clear"/>
            <w:vAlign w:val="center"/>
          </w:tcPr>
          <w:p>
            <w:pPr>
              <w:pStyle w:val="TableContents"/>
              <w:bidi w:val="0"/>
              <w:spacing w:before="0" w:after="283"/>
              <w:jc w:val="left"/>
              <w:rPr/>
            </w:pPr>
            <w:r>
              <w:rPr/>
              <w:t>Issuance of common stock upon 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 w:name="xdx_98B_ecustom--IssuanceOfCommonStockSh"/>
            <w:bookmarkEnd w:id="108"/>
          </w:p>
        </w:tc>
        <w:tc>
          <w:tcPr>
            <w:tcW w:w="1100" w:type="dxa"/>
            <w:tcBorders/>
            <w:shd w:fill="CCEEFF" w:val="clear"/>
            <w:vAlign w:val="center"/>
          </w:tcPr>
          <w:p>
            <w:pPr>
              <w:pStyle w:val="TableContents"/>
              <w:bidi w:val="0"/>
              <w:spacing w:before="0" w:after="283"/>
              <w:jc w:val="right"/>
              <w:rPr/>
            </w:pPr>
            <w:r>
              <w:rPr/>
              <w:t>240,000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bookmarkStart w:id="109" w:name="xdx_402_eus-gaap--NetIncomeLoss_z2f5NW5T"/>
            <w:bookmarkEnd w:id="109"/>
          </w:p>
        </w:tc>
      </w:tr>
      <w:tr>
        <w:trPr/>
        <w:tc>
          <w:tcPr>
            <w:tcW w:w="3587"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(2,853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(2,853</w:t>
            </w:r>
          </w:p>
        </w:tc>
        <w:tc>
          <w:tcPr>
            <w:tcW w:w="111" w:type="dxa"/>
            <w:tcBorders/>
            <w:shd w:fill="FFFFFF" w:val="clear"/>
            <w:vAlign w:val="center"/>
          </w:tcPr>
          <w:p>
            <w:pPr>
              <w:pStyle w:val="TableContents"/>
              <w:bidi w:val="0"/>
              <w:spacing w:before="0" w:after="283"/>
              <w:jc w:val="left"/>
              <w:rPr/>
            </w:pPr>
            <w:r>
              <w:rPr/>
              <w:t>)</w:t>
            </w:r>
            <w:bookmarkStart w:id="110" w:name="xdx_437_c20230401__20230630_eus-gaap--St"/>
            <w:bookmarkEnd w:id="110"/>
          </w:p>
        </w:tc>
      </w:tr>
      <w:tr>
        <w:trPr/>
        <w:tc>
          <w:tcPr>
            <w:tcW w:w="3587" w:type="dxa"/>
            <w:tcBorders/>
            <w:shd w:fill="CCEEFF" w:val="clear"/>
            <w:vAlign w:val="center"/>
          </w:tcPr>
          <w:p>
            <w:pPr>
              <w:pStyle w:val="TableContents"/>
              <w:bidi w:val="0"/>
              <w:spacing w:before="0" w:after="283"/>
              <w:jc w:val="left"/>
              <w:rPr/>
            </w:pPr>
            <w:r>
              <w:rPr/>
              <w:t>Balances, March 31, 2023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1" w:name="xdx_98F_eus-gaap--SharesOutstanding_iS_p"/>
            <w:bookmarkEnd w:id="11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8,130,628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76,379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pPr>
            <w:r>
              <w:rPr/>
              <w:t>(71,614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4,848</w:t>
            </w:r>
          </w:p>
        </w:tc>
        <w:tc>
          <w:tcPr>
            <w:tcW w:w="111" w:type="dxa"/>
            <w:tcBorders/>
            <w:shd w:fill="CCEEFF" w:val="clear"/>
            <w:vAlign w:val="center"/>
          </w:tcPr>
          <w:p>
            <w:pPr>
              <w:pStyle w:val="TableContents"/>
              <w:bidi w:val="0"/>
              <w:spacing w:before="0" w:after="283"/>
              <w:jc w:val="left"/>
              <w:rPr/>
            </w:pPr>
            <w:r>
              <w:rPr/>
              <w:t> </w:t>
            </w:r>
            <w:bookmarkStart w:id="112" w:name="xdx_40E_eus-gaap--AdjustmentsToAdditiona"/>
            <w:bookmarkEnd w:id="112"/>
          </w:p>
        </w:tc>
      </w:tr>
      <w:tr>
        <w:trPr/>
        <w:tc>
          <w:tcPr>
            <w:tcW w:w="3587"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349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349</w:t>
            </w:r>
          </w:p>
        </w:tc>
        <w:tc>
          <w:tcPr>
            <w:tcW w:w="111" w:type="dxa"/>
            <w:tcBorders/>
            <w:shd w:fill="FFFFFF" w:val="clear"/>
            <w:vAlign w:val="center"/>
          </w:tcPr>
          <w:p>
            <w:pPr>
              <w:pStyle w:val="TableContents"/>
              <w:bidi w:val="0"/>
              <w:spacing w:before="0" w:after="283"/>
              <w:jc w:val="left"/>
              <w:rPr/>
            </w:pPr>
            <w:r>
              <w:rPr/>
              <w:t> </w:t>
            </w:r>
            <w:bookmarkStart w:id="113" w:name="xdx_406_eus-gaap--StockIssuedDuringPerio"/>
            <w:bookmarkEnd w:id="113"/>
          </w:p>
        </w:tc>
      </w:tr>
      <w:tr>
        <w:trPr/>
        <w:tc>
          <w:tcPr>
            <w:tcW w:w="3587" w:type="dxa"/>
            <w:tcBorders/>
            <w:shd w:fill="CCEEFF" w:val="clear"/>
            <w:vAlign w:val="center"/>
          </w:tcPr>
          <w:p>
            <w:pPr>
              <w:pStyle w:val="TableContents"/>
              <w:bidi w:val="0"/>
              <w:spacing w:before="0" w:after="283"/>
              <w:jc w:val="left"/>
              <w:rPr/>
            </w:pPr>
            <w:r>
              <w:rPr/>
              <w:t>Issuance of common stock and warrants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4" w:name="xdx_987_eus-gaap--StockIssuedDuringPerio"/>
            <w:bookmarkEnd w:id="114"/>
          </w:p>
        </w:tc>
        <w:tc>
          <w:tcPr>
            <w:tcW w:w="1100" w:type="dxa"/>
            <w:tcBorders/>
            <w:shd w:fill="CCEEFF" w:val="clear"/>
            <w:vAlign w:val="center"/>
          </w:tcPr>
          <w:p>
            <w:pPr>
              <w:pStyle w:val="TableContents"/>
              <w:bidi w:val="0"/>
              <w:spacing w:before="0" w:after="283"/>
              <w:jc w:val="right"/>
              <w:rPr/>
            </w:pPr>
            <w:r>
              <w:rPr/>
              <w:t>3,576,689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6,523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6,558</w:t>
            </w:r>
          </w:p>
        </w:tc>
        <w:tc>
          <w:tcPr>
            <w:tcW w:w="111" w:type="dxa"/>
            <w:tcBorders/>
            <w:shd w:fill="CCEEFF" w:val="clear"/>
            <w:vAlign w:val="center"/>
          </w:tcPr>
          <w:p>
            <w:pPr>
              <w:pStyle w:val="TableContents"/>
              <w:bidi w:val="0"/>
              <w:spacing w:before="0" w:after="283"/>
              <w:jc w:val="left"/>
              <w:rPr/>
            </w:pPr>
            <w:r>
              <w:rPr/>
              <w:t> </w:t>
            </w:r>
            <w:bookmarkStart w:id="115" w:name="xdx_409_eus-gaap--NetIncomeLoss_zZkkdz1d"/>
            <w:bookmarkEnd w:id="115"/>
          </w:p>
        </w:tc>
      </w:tr>
      <w:tr>
        <w:trPr/>
        <w:tc>
          <w:tcPr>
            <w:tcW w:w="3587"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(2,287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(2,287</w:t>
            </w:r>
          </w:p>
        </w:tc>
        <w:tc>
          <w:tcPr>
            <w:tcW w:w="111" w:type="dxa"/>
            <w:tcBorders/>
            <w:shd w:fill="FFFFFF" w:val="clear"/>
            <w:vAlign w:val="center"/>
          </w:tcPr>
          <w:p>
            <w:pPr>
              <w:pStyle w:val="TableContents"/>
              <w:bidi w:val="0"/>
              <w:spacing w:before="0" w:after="283"/>
              <w:jc w:val="left"/>
              <w:rPr/>
            </w:pPr>
            <w:r>
              <w:rPr/>
              <w:t>)</w:t>
            </w:r>
            <w:bookmarkStart w:id="116" w:name="xdx_43F_c20230701__20230930_eus-gaap--St"/>
            <w:bookmarkEnd w:id="116"/>
          </w:p>
        </w:tc>
      </w:tr>
      <w:tr>
        <w:trPr/>
        <w:tc>
          <w:tcPr>
            <w:tcW w:w="3587" w:type="dxa"/>
            <w:tcBorders/>
            <w:shd w:fill="CCEEFF" w:val="clear"/>
            <w:vAlign w:val="center"/>
          </w:tcPr>
          <w:p>
            <w:pPr>
              <w:pStyle w:val="TableContents"/>
              <w:bidi w:val="0"/>
              <w:spacing w:before="0" w:after="283"/>
              <w:jc w:val="left"/>
              <w:rPr/>
            </w:pPr>
            <w:r>
              <w:rPr/>
              <w:t>Balances, June 30, 2023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7" w:name="xdx_983_eus-gaap--SharesOutstanding_iS_p"/>
            <w:bookmarkEnd w:id="117"/>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11,707,317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83,251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pPr>
            <w:r>
              <w:rPr/>
              <w:t>(73,901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9,468</w:t>
            </w:r>
          </w:p>
        </w:tc>
        <w:tc>
          <w:tcPr>
            <w:tcW w:w="111" w:type="dxa"/>
            <w:tcBorders/>
            <w:shd w:fill="CCEEFF" w:val="clear"/>
            <w:vAlign w:val="center"/>
          </w:tcPr>
          <w:p>
            <w:pPr>
              <w:pStyle w:val="TableContents"/>
              <w:bidi w:val="0"/>
              <w:spacing w:before="0" w:after="283"/>
              <w:jc w:val="left"/>
              <w:rPr/>
            </w:pPr>
            <w:r>
              <w:rPr/>
              <w:t> </w:t>
            </w:r>
            <w:bookmarkStart w:id="118" w:name="xdx_40C_eus-gaap--AdjustmentsToAdditiona"/>
            <w:bookmarkEnd w:id="118"/>
          </w:p>
        </w:tc>
      </w:tr>
      <w:tr>
        <w:trPr/>
        <w:tc>
          <w:tcPr>
            <w:tcW w:w="3587"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336</w:t>
            </w:r>
          </w:p>
        </w:tc>
        <w:tc>
          <w:tcPr>
            <w:tcW w:w="111" w:type="dxa"/>
            <w:tcBorders/>
            <w:shd w:fill="FFFFFF" w:val="clear"/>
            <w:vAlign w:val="center"/>
          </w:tcPr>
          <w:p>
            <w:pPr>
              <w:pStyle w:val="TableContents"/>
              <w:bidi w:val="0"/>
              <w:spacing w:before="0" w:after="283"/>
              <w:jc w:val="left"/>
              <w:rPr/>
            </w:pPr>
            <w:r>
              <w:rPr/>
              <w:t> </w:t>
            </w:r>
            <w:bookmarkStart w:id="119" w:name="xdx_402_eus-gaap--NetIncomeLoss_zgGgK8wj"/>
            <w:bookmarkEnd w:id="119"/>
          </w:p>
        </w:tc>
      </w:tr>
      <w:tr>
        <w:trPr/>
        <w:tc>
          <w:tcPr>
            <w:tcW w:w="358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(2,446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(2,446</w:t>
            </w:r>
          </w:p>
        </w:tc>
        <w:tc>
          <w:tcPr>
            <w:tcW w:w="111" w:type="dxa"/>
            <w:tcBorders/>
            <w:shd w:fill="CCEEFF" w:val="clear"/>
            <w:vAlign w:val="center"/>
          </w:tcPr>
          <w:p>
            <w:pPr>
              <w:pStyle w:val="TableContents"/>
              <w:bidi w:val="0"/>
              <w:spacing w:before="0" w:after="283"/>
              <w:jc w:val="left"/>
              <w:rPr/>
            </w:pPr>
            <w:r>
              <w:rPr/>
              <w:t>)</w:t>
            </w:r>
            <w:bookmarkStart w:id="120" w:name="xdx_437_c20230701__20230930_eus-gaap--St"/>
            <w:bookmarkEnd w:id="120"/>
          </w:p>
        </w:tc>
      </w:tr>
      <w:tr>
        <w:trPr/>
        <w:tc>
          <w:tcPr>
            <w:tcW w:w="3587" w:type="dxa"/>
            <w:tcBorders/>
            <w:shd w:fill="FFFFFF" w:val="clear"/>
            <w:vAlign w:val="center"/>
          </w:tcPr>
          <w:p>
            <w:pPr>
              <w:pStyle w:val="TableContents"/>
              <w:bidi w:val="0"/>
              <w:spacing w:before="0" w:after="283"/>
              <w:jc w:val="left"/>
              <w:rPr/>
            </w:pPr>
            <w:r>
              <w:rPr/>
              <w:t>Balances, September 30, 2023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1" w:name="xdx_986_eus-gaap--SharesOutstanding_iE_p"/>
            <w:bookmarkEnd w:id="121"/>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11,707,317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FFFFFF" w:val="clear"/>
            <w:tcMar>
              <w:bottom w:w="28" w:type="dxa"/>
            </w:tcMar>
            <w:vAlign w:val="center"/>
          </w:tcPr>
          <w:p>
            <w:pPr>
              <w:pStyle w:val="TableContents"/>
              <w:bidi w:val="0"/>
              <w:spacing w:before="0" w:after="283"/>
              <w:jc w:val="right"/>
              <w:rPr/>
            </w:pPr>
            <w:r>
              <w:rPr/>
              <w:t>83,587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(76,347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7,358</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8"/>
        <w:gridCol w:w="60"/>
        <w:gridCol w:w="60"/>
        <w:gridCol w:w="1100"/>
        <w:gridCol w:w="60"/>
        <w:gridCol w:w="60"/>
        <w:gridCol w:w="231"/>
        <w:gridCol w:w="629"/>
        <w:gridCol w:w="60"/>
        <w:gridCol w:w="60"/>
        <w:gridCol w:w="187"/>
        <w:gridCol w:w="913"/>
        <w:gridCol w:w="60"/>
        <w:gridCol w:w="60"/>
        <w:gridCol w:w="214"/>
        <w:gridCol w:w="1156"/>
        <w:gridCol w:w="95"/>
        <w:gridCol w:w="60"/>
        <w:gridCol w:w="236"/>
        <w:gridCol w:w="1155"/>
        <w:gridCol w:w="111"/>
      </w:tblGrid>
      <w:tr>
        <w:trPr/>
        <w:tc>
          <w:tcPr>
            <w:tcW w:w="36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91" w:type="dxa"/>
            <w:gridSpan w:val="2"/>
            <w:tcBorders/>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jc w:val="center"/>
              <w:rPr/>
            </w:pPr>
            <w:r>
              <w:rPr/>
              <w:t> </w:t>
            </w:r>
          </w:p>
        </w:tc>
      </w:tr>
      <w:tr>
        <w:trPr/>
        <w:tc>
          <w:tcPr>
            <w:tcW w:w="36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91" w:type="dxa"/>
            <w:gridSpan w:val="2"/>
            <w:tcBorders/>
            <w:vAlign w:val="center"/>
          </w:tcPr>
          <w:p>
            <w:pPr>
              <w:pStyle w:val="TableContents"/>
              <w:bidi w:val="0"/>
              <w:spacing w:before="0" w:after="283"/>
              <w:jc w:val="center"/>
              <w:rPr>
                <w:b/>
              </w:rPr>
            </w:pPr>
            <w:r>
              <w:rPr>
                <w:b/>
              </w:rPr>
              <w:t>Shareholders’</w:t>
            </w:r>
          </w:p>
        </w:tc>
        <w:tc>
          <w:tcPr>
            <w:tcW w:w="111" w:type="dxa"/>
            <w:tcBorders/>
            <w:vAlign w:val="center"/>
          </w:tcPr>
          <w:p>
            <w:pPr>
              <w:pStyle w:val="TableContents"/>
              <w:bidi w:val="0"/>
              <w:spacing w:before="0" w:after="283"/>
              <w:jc w:val="center"/>
              <w:rPr/>
            </w:pPr>
            <w:r>
              <w:rPr/>
              <w:t> </w:t>
            </w:r>
          </w:p>
        </w:tc>
      </w:tr>
      <w:tr>
        <w:trPr/>
        <w:tc>
          <w:tcPr>
            <w:tcW w:w="36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1" w:type="dxa"/>
            <w:tcBorders/>
            <w:vAlign w:val="center"/>
          </w:tcPr>
          <w:p>
            <w:pPr>
              <w:pStyle w:val="TableContents"/>
              <w:bidi w:val="0"/>
              <w:spacing w:before="0" w:after="283"/>
              <w:jc w:val="center"/>
              <w:rPr/>
            </w:pPr>
            <w:r>
              <w:rPr/>
              <w:t> </w:t>
            </w:r>
          </w:p>
        </w:tc>
      </w:tr>
      <w:tr>
        <w:trPr/>
        <w:tc>
          <w:tcPr>
            <w:tcW w:w="36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1"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bookmarkStart w:id="122" w:name="xdx_43A_c20240101__20240331_eus-gaap--St"/>
            <w:bookmarkEnd w:id="122"/>
          </w:p>
        </w:tc>
      </w:tr>
      <w:tr>
        <w:trPr/>
        <w:tc>
          <w:tcPr>
            <w:tcW w:w="3638" w:type="dxa"/>
            <w:tcBorders/>
            <w:shd w:fill="CCEEFF" w:val="clear"/>
            <w:vAlign w:val="center"/>
          </w:tcPr>
          <w:p>
            <w:pPr>
              <w:pStyle w:val="TableContents"/>
              <w:bidi w:val="0"/>
              <w:spacing w:before="0" w:after="283"/>
              <w:jc w:val="left"/>
              <w:rPr/>
            </w:pPr>
            <w:r>
              <w:rPr/>
              <w:t>Balances, December 31, 2023 (Audited)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3" w:name="xdx_981_eus-gaap--SharesOutstanding_iS_p"/>
            <w:bookmarkEnd w:id="123"/>
          </w:p>
        </w:tc>
        <w:tc>
          <w:tcPr>
            <w:tcW w:w="1100" w:type="dxa"/>
            <w:tcBorders/>
            <w:shd w:fill="CCEEFF" w:val="clear"/>
            <w:vAlign w:val="center"/>
          </w:tcPr>
          <w:p>
            <w:pPr>
              <w:pStyle w:val="TableContents"/>
              <w:bidi w:val="0"/>
              <w:spacing w:before="0" w:after="283"/>
              <w:jc w:val="right"/>
              <w:rPr/>
            </w:pPr>
            <w:r>
              <w:rPr/>
              <w:t>11,707,317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83,884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(79,501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155" w:type="dxa"/>
            <w:tcBorders/>
            <w:shd w:fill="CCEEFF" w:val="clear"/>
            <w:vAlign w:val="center"/>
          </w:tcPr>
          <w:p>
            <w:pPr>
              <w:pStyle w:val="TableContents"/>
              <w:bidi w:val="0"/>
              <w:spacing w:before="0" w:after="283"/>
              <w:jc w:val="right"/>
              <w:rPr/>
            </w:pPr>
            <w:r>
              <w:rPr/>
              <w:t>  </w:t>
            </w:r>
            <w:r>
              <w:rPr/>
              <w:t>4,501</w:t>
            </w:r>
          </w:p>
        </w:tc>
        <w:tc>
          <w:tcPr>
            <w:tcW w:w="111" w:type="dxa"/>
            <w:tcBorders/>
            <w:shd w:fill="CCEEFF" w:val="clear"/>
            <w:vAlign w:val="center"/>
          </w:tcPr>
          <w:p>
            <w:pPr>
              <w:pStyle w:val="TableContents"/>
              <w:bidi w:val="0"/>
              <w:spacing w:before="0" w:after="283"/>
              <w:jc w:val="left"/>
              <w:rPr/>
            </w:pPr>
            <w:r>
              <w:rPr/>
              <w:t> </w:t>
            </w:r>
            <w:bookmarkStart w:id="124" w:name="xdx_40E_eus-gaap--AdjustmentsToAdditiona"/>
            <w:bookmarkEnd w:id="124"/>
          </w:p>
        </w:tc>
      </w:tr>
      <w:tr>
        <w:trPr/>
        <w:tc>
          <w:tcPr>
            <w:tcW w:w="3638"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529</w:t>
            </w:r>
          </w:p>
        </w:tc>
        <w:tc>
          <w:tcPr>
            <w:tcW w:w="111" w:type="dxa"/>
            <w:tcBorders/>
            <w:shd w:fill="FFFFFF" w:val="clear"/>
            <w:vAlign w:val="center"/>
          </w:tcPr>
          <w:p>
            <w:pPr>
              <w:pStyle w:val="TableContents"/>
              <w:bidi w:val="0"/>
              <w:spacing w:before="0" w:after="283"/>
              <w:jc w:val="left"/>
              <w:rPr/>
            </w:pPr>
            <w:r>
              <w:rPr/>
              <w:t> </w:t>
            </w:r>
            <w:bookmarkStart w:id="125" w:name="xdx_404_eus-gaap--StockIssuedDuringPerio"/>
            <w:bookmarkEnd w:id="125"/>
          </w:p>
        </w:tc>
      </w:tr>
      <w:tr>
        <w:trPr/>
        <w:tc>
          <w:tcPr>
            <w:tcW w:w="3638" w:type="dxa"/>
            <w:tcBorders/>
            <w:shd w:fill="CCEEFF" w:val="clear"/>
            <w:vAlign w:val="center"/>
          </w:tcPr>
          <w:p>
            <w:pPr>
              <w:pStyle w:val="TableContents"/>
              <w:bidi w:val="0"/>
              <w:spacing w:before="0" w:after="283"/>
              <w:jc w:val="left"/>
              <w:rPr/>
            </w:pPr>
            <w:r>
              <w:rPr/>
              <w:t xml:space="preserve">Issuance of common stock and warrants net of issuance costs </w:t>
            </w:r>
            <w:bookmarkStart w:id="126" w:name="xdx_F41_zuoSStlHNPQi"/>
            <w:bookmarkEnd w:id="126"/>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7" w:name="xdx_98A_eus-gaap--StockIssuedDuringPerio"/>
            <w:bookmarkEnd w:id="127"/>
          </w:p>
        </w:tc>
        <w:tc>
          <w:tcPr>
            <w:tcW w:w="1100" w:type="dxa"/>
            <w:tcBorders/>
            <w:shd w:fill="CCEEFF" w:val="clear"/>
            <w:vAlign w:val="center"/>
          </w:tcPr>
          <w:p>
            <w:pPr>
              <w:pStyle w:val="TableContents"/>
              <w:bidi w:val="0"/>
              <w:spacing w:before="0" w:after="283"/>
              <w:jc w:val="right"/>
              <w:rPr/>
            </w:pPr>
            <w:r>
              <w:rPr/>
              <w:t>1,685,682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2,397</w:t>
            </w:r>
          </w:p>
        </w:tc>
        <w:tc>
          <w:tcPr>
            <w:tcW w:w="111" w:type="dxa"/>
            <w:tcBorders/>
            <w:shd w:fill="CCEEFF" w:val="clear"/>
            <w:vAlign w:val="center"/>
          </w:tcPr>
          <w:p>
            <w:pPr>
              <w:pStyle w:val="TableContents"/>
              <w:bidi w:val="0"/>
              <w:spacing w:before="0" w:after="283"/>
              <w:jc w:val="left"/>
              <w:rPr/>
            </w:pPr>
            <w:r>
              <w:rPr/>
              <w:t> </w:t>
            </w:r>
            <w:bookmarkStart w:id="128" w:name="xdx_404_eus-gaap--StockIssuedDuringPerio"/>
            <w:bookmarkEnd w:id="128"/>
          </w:p>
        </w:tc>
      </w:tr>
      <w:tr>
        <w:trPr/>
        <w:tc>
          <w:tcPr>
            <w:tcW w:w="3638" w:type="dxa"/>
            <w:tcBorders/>
            <w:shd w:fill="CCEEFF" w:val="clear"/>
            <w:vAlign w:val="center"/>
          </w:tcPr>
          <w:p>
            <w:pPr>
              <w:pStyle w:val="TableContents"/>
              <w:bidi w:val="0"/>
              <w:spacing w:before="0" w:after="283"/>
              <w:jc w:val="left"/>
              <w:rPr/>
            </w:pPr>
            <w:r>
              <w:rPr/>
              <w:t xml:space="preserve">Issuance of common stock and warrants net of issuance costs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1,685,682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2,397</w:t>
            </w:r>
          </w:p>
        </w:tc>
        <w:tc>
          <w:tcPr>
            <w:tcW w:w="111" w:type="dxa"/>
            <w:tcBorders/>
            <w:shd w:fill="CCEEFF" w:val="clear"/>
            <w:vAlign w:val="center"/>
          </w:tcPr>
          <w:p>
            <w:pPr>
              <w:pStyle w:val="TableContents"/>
              <w:bidi w:val="0"/>
              <w:spacing w:before="0" w:after="283"/>
              <w:jc w:val="left"/>
              <w:rPr/>
            </w:pPr>
            <w:r>
              <w:rPr/>
              <w:t> </w:t>
            </w:r>
            <w:bookmarkStart w:id="129" w:name="xdx_405_ecustom--IssuanceOfCommonStockVa"/>
            <w:bookmarkEnd w:id="129"/>
          </w:p>
        </w:tc>
      </w:tr>
      <w:tr>
        <w:trPr/>
        <w:tc>
          <w:tcPr>
            <w:tcW w:w="3638" w:type="dxa"/>
            <w:tcBorders/>
            <w:shd w:fill="FFFFFF" w:val="clear"/>
            <w:vAlign w:val="center"/>
          </w:tcPr>
          <w:p>
            <w:pPr>
              <w:pStyle w:val="TableContents"/>
              <w:bidi w:val="0"/>
              <w:spacing w:before="0" w:after="283"/>
              <w:jc w:val="left"/>
              <w:rPr/>
            </w:pPr>
            <w:r>
              <w:rPr/>
              <w:t xml:space="preserve">Issuance of common stock relating to settlement agreement </w:t>
            </w:r>
            <w:bookmarkStart w:id="130" w:name="xdx_F44_zxQW9qXZlAP"/>
            <w:bookmarkEnd w:id="130"/>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1" w:name="xdx_98A_ecustom--IssuanceOfCommonStockSh"/>
            <w:bookmarkEnd w:id="131"/>
          </w:p>
        </w:tc>
        <w:tc>
          <w:tcPr>
            <w:tcW w:w="1100" w:type="dxa"/>
            <w:tcBorders/>
            <w:shd w:fill="FFFFFF" w:val="clear"/>
            <w:vAlign w:val="center"/>
          </w:tcPr>
          <w:p>
            <w:pPr>
              <w:pStyle w:val="TableContents"/>
              <w:bidi w:val="0"/>
              <w:spacing w:before="0" w:after="283"/>
              <w:jc w:val="right"/>
              <w:rPr/>
            </w:pPr>
            <w:r>
              <w:rPr/>
              <w:t>1,005,965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1,111</w:t>
            </w:r>
          </w:p>
        </w:tc>
        <w:tc>
          <w:tcPr>
            <w:tcW w:w="111" w:type="dxa"/>
            <w:tcBorders/>
            <w:shd w:fill="FFFFFF" w:val="clear"/>
            <w:vAlign w:val="center"/>
          </w:tcPr>
          <w:p>
            <w:pPr>
              <w:pStyle w:val="TableContents"/>
              <w:bidi w:val="0"/>
              <w:spacing w:before="0" w:after="283"/>
              <w:jc w:val="left"/>
              <w:rPr/>
            </w:pPr>
            <w:r>
              <w:rPr/>
              <w:t> </w:t>
            </w:r>
            <w:bookmarkStart w:id="132" w:name="xdx_403_ecustom--IssuanceOfCommonStockVa"/>
            <w:bookmarkEnd w:id="132"/>
          </w:p>
        </w:tc>
      </w:tr>
      <w:tr>
        <w:trPr/>
        <w:tc>
          <w:tcPr>
            <w:tcW w:w="3638" w:type="dxa"/>
            <w:tcBorders/>
            <w:shd w:fill="FFFFFF" w:val="clear"/>
            <w:vAlign w:val="center"/>
          </w:tcPr>
          <w:p>
            <w:pPr>
              <w:pStyle w:val="TableContents"/>
              <w:bidi w:val="0"/>
              <w:spacing w:before="0" w:after="283"/>
              <w:jc w:val="left"/>
              <w:rPr/>
            </w:pPr>
            <w:r>
              <w:rPr/>
              <w:t xml:space="preserve">Issuance of common stock relating to settlement agreement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1,005,965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1,111</w:t>
            </w:r>
          </w:p>
        </w:tc>
        <w:tc>
          <w:tcPr>
            <w:tcW w:w="111" w:type="dxa"/>
            <w:tcBorders/>
            <w:shd w:fill="FFFFFF" w:val="clear"/>
            <w:vAlign w:val="center"/>
          </w:tcPr>
          <w:p>
            <w:pPr>
              <w:pStyle w:val="TableContents"/>
              <w:bidi w:val="0"/>
              <w:spacing w:before="0" w:after="283"/>
              <w:jc w:val="left"/>
              <w:rPr/>
            </w:pPr>
            <w:r>
              <w:rPr/>
              <w:t> </w:t>
            </w:r>
            <w:bookmarkStart w:id="133" w:name="xdx_409_eus-gaap--NetIncomeLoss_zZzukCw1"/>
            <w:bookmarkEnd w:id="133"/>
          </w:p>
        </w:tc>
      </w:tr>
      <w:tr>
        <w:trPr/>
        <w:tc>
          <w:tcPr>
            <w:tcW w:w="363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(2,371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(2,371</w:t>
            </w:r>
          </w:p>
        </w:tc>
        <w:tc>
          <w:tcPr>
            <w:tcW w:w="111" w:type="dxa"/>
            <w:tcBorders/>
            <w:shd w:fill="CCEEFF" w:val="clear"/>
            <w:vAlign w:val="center"/>
          </w:tcPr>
          <w:p>
            <w:pPr>
              <w:pStyle w:val="TableContents"/>
              <w:bidi w:val="0"/>
              <w:spacing w:before="0" w:after="283"/>
              <w:jc w:val="left"/>
              <w:rPr/>
            </w:pPr>
            <w:r>
              <w:rPr/>
              <w:t>)</w:t>
            </w:r>
            <w:bookmarkStart w:id="134" w:name="xdx_43B_c20240401__20240630_eus-gaap--St"/>
            <w:bookmarkEnd w:id="134"/>
          </w:p>
        </w:tc>
      </w:tr>
      <w:tr>
        <w:trPr/>
        <w:tc>
          <w:tcPr>
            <w:tcW w:w="3638" w:type="dxa"/>
            <w:tcBorders/>
            <w:shd w:fill="FFFFFF" w:val="clear"/>
            <w:vAlign w:val="center"/>
          </w:tcPr>
          <w:p>
            <w:pPr>
              <w:pStyle w:val="TableContents"/>
              <w:bidi w:val="0"/>
              <w:spacing w:before="0" w:after="283"/>
              <w:jc w:val="left"/>
              <w:rPr/>
            </w:pPr>
            <w:r>
              <w:rPr/>
              <w:t>Balances, March 31, 2024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5" w:name="xdx_984_eus-gaap--SharesOutstanding_iS_p"/>
            <w:bookmarkEnd w:id="135"/>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14,398,964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FFFFFF" w:val="clear"/>
            <w:tcMar>
              <w:bottom w:w="28" w:type="dxa"/>
            </w:tcMar>
            <w:vAlign w:val="center"/>
          </w:tcPr>
          <w:p>
            <w:pPr>
              <w:pStyle w:val="TableContents"/>
              <w:bidi w:val="0"/>
              <w:spacing w:before="0" w:after="283"/>
              <w:jc w:val="right"/>
              <w:rPr/>
            </w:pPr>
            <w:r>
              <w:rPr/>
              <w:t>87,894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(81,872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jc w:val="right"/>
              <w:rPr/>
            </w:pPr>
            <w:r>
              <w:rPr/>
              <w:t>6,167</w:t>
            </w:r>
          </w:p>
        </w:tc>
        <w:tc>
          <w:tcPr>
            <w:tcW w:w="111" w:type="dxa"/>
            <w:tcBorders/>
            <w:shd w:fill="FFFFFF" w:val="clear"/>
            <w:vAlign w:val="center"/>
          </w:tcPr>
          <w:p>
            <w:pPr>
              <w:pStyle w:val="TableContents"/>
              <w:bidi w:val="0"/>
              <w:spacing w:before="0" w:after="283"/>
              <w:jc w:val="left"/>
              <w:rPr/>
            </w:pPr>
            <w:r>
              <w:rPr/>
              <w:t> </w:t>
            </w:r>
            <w:bookmarkStart w:id="136" w:name="xdx_40B_eus-gaap--AdjustmentsToAdditiona"/>
            <w:bookmarkEnd w:id="136"/>
          </w:p>
        </w:tc>
      </w:tr>
      <w:tr>
        <w:trPr/>
        <w:tc>
          <w:tcPr>
            <w:tcW w:w="3638"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331</w:t>
            </w:r>
          </w:p>
        </w:tc>
        <w:tc>
          <w:tcPr>
            <w:tcW w:w="111" w:type="dxa"/>
            <w:tcBorders/>
            <w:shd w:fill="CCEEFF" w:val="clear"/>
            <w:vAlign w:val="center"/>
          </w:tcPr>
          <w:p>
            <w:pPr>
              <w:pStyle w:val="TableContents"/>
              <w:bidi w:val="0"/>
              <w:spacing w:before="0" w:after="283"/>
              <w:jc w:val="left"/>
              <w:rPr/>
            </w:pPr>
            <w:r>
              <w:rPr/>
              <w:t> </w:t>
            </w:r>
            <w:bookmarkStart w:id="137" w:name="xdx_40F_eus-gaap--StockIssuedDuringPerio"/>
            <w:bookmarkEnd w:id="137"/>
          </w:p>
        </w:tc>
      </w:tr>
      <w:tr>
        <w:trPr/>
        <w:tc>
          <w:tcPr>
            <w:tcW w:w="3638" w:type="dxa"/>
            <w:tcBorders/>
            <w:shd w:fill="FFFFFF" w:val="clear"/>
            <w:vAlign w:val="center"/>
          </w:tcPr>
          <w:p>
            <w:pPr>
              <w:pStyle w:val="TableContents"/>
              <w:bidi w:val="0"/>
              <w:spacing w:before="0" w:after="283"/>
              <w:jc w:val="left"/>
              <w:rPr/>
            </w:pPr>
            <w:r>
              <w:rPr/>
              <w:t xml:space="preserve">Issuance of common stock and warrants net of issuance costs </w:t>
            </w:r>
            <w:bookmarkStart w:id="138" w:name="xdx_F4F_zG7GQyNf0JQd"/>
            <w:bookmarkEnd w:id="138"/>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9" w:name="xdx_98E_eus-gaap--StockIssuedDuringPerio"/>
            <w:bookmarkEnd w:id="139"/>
          </w:p>
        </w:tc>
        <w:tc>
          <w:tcPr>
            <w:tcW w:w="1100" w:type="dxa"/>
            <w:tcBorders/>
            <w:shd w:fill="FFFFFF" w:val="clear"/>
            <w:vAlign w:val="center"/>
          </w:tcPr>
          <w:p>
            <w:pPr>
              <w:pStyle w:val="TableContents"/>
              <w:bidi w:val="0"/>
              <w:spacing w:before="0" w:after="283"/>
              <w:jc w:val="right"/>
              <w:rPr/>
            </w:pPr>
            <w:r>
              <w:rPr/>
              <w:t>1,566,669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2,006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2,022</w:t>
            </w:r>
          </w:p>
        </w:tc>
        <w:tc>
          <w:tcPr>
            <w:tcW w:w="111" w:type="dxa"/>
            <w:tcBorders/>
            <w:shd w:fill="FFFFFF" w:val="clear"/>
            <w:vAlign w:val="center"/>
          </w:tcPr>
          <w:p>
            <w:pPr>
              <w:pStyle w:val="TableContents"/>
              <w:bidi w:val="0"/>
              <w:spacing w:before="0" w:after="283"/>
              <w:jc w:val="left"/>
              <w:rPr/>
            </w:pPr>
            <w:r>
              <w:rPr/>
              <w:t> </w:t>
            </w:r>
            <w:bookmarkStart w:id="140" w:name="xdx_40A_eus-gaap--StockIssuedDuringPerio"/>
            <w:bookmarkEnd w:id="140"/>
          </w:p>
        </w:tc>
      </w:tr>
      <w:tr>
        <w:trPr/>
        <w:tc>
          <w:tcPr>
            <w:tcW w:w="3638" w:type="dxa"/>
            <w:tcBorders/>
            <w:shd w:fill="FFFFFF" w:val="clear"/>
            <w:vAlign w:val="center"/>
          </w:tcPr>
          <w:p>
            <w:pPr>
              <w:pStyle w:val="TableContents"/>
              <w:bidi w:val="0"/>
              <w:spacing w:before="0" w:after="283"/>
              <w:jc w:val="left"/>
              <w:rPr/>
            </w:pPr>
            <w:r>
              <w:rPr/>
              <w:t xml:space="preserve">Issuance of common stock and warrants net of issuance costs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1,566,669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2,006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2,022</w:t>
            </w:r>
          </w:p>
        </w:tc>
        <w:tc>
          <w:tcPr>
            <w:tcW w:w="111" w:type="dxa"/>
            <w:tcBorders/>
            <w:shd w:fill="FFFFFF" w:val="clear"/>
            <w:vAlign w:val="center"/>
          </w:tcPr>
          <w:p>
            <w:pPr>
              <w:pStyle w:val="TableContents"/>
              <w:bidi w:val="0"/>
              <w:spacing w:before="0" w:after="283"/>
              <w:jc w:val="left"/>
              <w:rPr/>
            </w:pPr>
            <w:r>
              <w:rPr/>
              <w:t> </w:t>
            </w:r>
            <w:bookmarkStart w:id="141" w:name="xdx_409_eus-gaap--NetIncomeLoss_zVjQ69uN"/>
            <w:bookmarkEnd w:id="141"/>
          </w:p>
        </w:tc>
      </w:tr>
      <w:tr>
        <w:trPr/>
        <w:tc>
          <w:tcPr>
            <w:tcW w:w="363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(2,465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(2,465</w:t>
            </w:r>
          </w:p>
        </w:tc>
        <w:tc>
          <w:tcPr>
            <w:tcW w:w="111" w:type="dxa"/>
            <w:tcBorders/>
            <w:shd w:fill="CCEEFF" w:val="clear"/>
            <w:vAlign w:val="center"/>
          </w:tcPr>
          <w:p>
            <w:pPr>
              <w:pStyle w:val="TableContents"/>
              <w:bidi w:val="0"/>
              <w:spacing w:before="0" w:after="283"/>
              <w:jc w:val="left"/>
              <w:rPr/>
            </w:pPr>
            <w:r>
              <w:rPr/>
              <w:t>)</w:t>
            </w:r>
            <w:bookmarkStart w:id="142" w:name="xdx_43C_c20240701__20240930_eus-gaap--St"/>
            <w:bookmarkEnd w:id="142"/>
          </w:p>
        </w:tc>
      </w:tr>
      <w:tr>
        <w:trPr/>
        <w:tc>
          <w:tcPr>
            <w:tcW w:w="3638" w:type="dxa"/>
            <w:tcBorders/>
            <w:shd w:fill="FFFFFF" w:val="clear"/>
            <w:vAlign w:val="center"/>
          </w:tcPr>
          <w:p>
            <w:pPr>
              <w:pStyle w:val="TableContents"/>
              <w:bidi w:val="0"/>
              <w:spacing w:before="0" w:after="283"/>
              <w:jc w:val="left"/>
              <w:rPr/>
            </w:pPr>
            <w:r>
              <w:rPr/>
              <w:t>Balances, June 30, 2024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3" w:name="xdx_983_eus-gaap--SharesOutstanding_iS_p"/>
            <w:bookmarkEnd w:id="143"/>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15,965,633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FFFFFF" w:val="clear"/>
            <w:tcMar>
              <w:bottom w:w="28" w:type="dxa"/>
            </w:tcMar>
            <w:vAlign w:val="center"/>
          </w:tcPr>
          <w:p>
            <w:pPr>
              <w:pStyle w:val="TableContents"/>
              <w:bidi w:val="0"/>
              <w:spacing w:before="0" w:after="283"/>
              <w:jc w:val="right"/>
              <w:rPr/>
            </w:pPr>
            <w:r>
              <w:rPr/>
              <w:t>90,231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(84,337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jc w:val="right"/>
              <w:rPr/>
            </w:pPr>
            <w:r>
              <w:rPr/>
              <w:t>6,055</w:t>
            </w:r>
          </w:p>
        </w:tc>
        <w:tc>
          <w:tcPr>
            <w:tcW w:w="111" w:type="dxa"/>
            <w:tcBorders/>
            <w:shd w:fill="FFFFFF" w:val="clear"/>
            <w:vAlign w:val="center"/>
          </w:tcPr>
          <w:p>
            <w:pPr>
              <w:pStyle w:val="TableContents"/>
              <w:bidi w:val="0"/>
              <w:spacing w:before="0" w:after="283"/>
              <w:jc w:val="left"/>
              <w:rPr/>
            </w:pPr>
            <w:r>
              <w:rPr/>
              <w:t> </w:t>
            </w:r>
            <w:bookmarkStart w:id="144" w:name="xdx_43B_c20240701__20240930_eus-gaap--St"/>
            <w:bookmarkEnd w:id="144"/>
          </w:p>
        </w:tc>
      </w:tr>
      <w:tr>
        <w:trPr/>
        <w:tc>
          <w:tcPr>
            <w:tcW w:w="3638" w:type="dxa"/>
            <w:tcBorders/>
            <w:shd w:fill="FFFFFF" w:val="clear"/>
            <w:vAlign w:val="center"/>
          </w:tcPr>
          <w:p>
            <w:pPr>
              <w:pStyle w:val="TableContents"/>
              <w:bidi w:val="0"/>
              <w:spacing w:before="0" w:after="283"/>
              <w:jc w:val="left"/>
              <w:rPr/>
            </w:pPr>
            <w:r>
              <w:rPr/>
              <w:t>Balances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5" w:name="xdx_989_eus-gaap--SharesOutstanding_iS_p"/>
            <w:bookmarkEnd w:id="145"/>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15,965,633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FFFFFF" w:val="clear"/>
            <w:tcMar>
              <w:bottom w:w="28" w:type="dxa"/>
            </w:tcMar>
            <w:vAlign w:val="center"/>
          </w:tcPr>
          <w:p>
            <w:pPr>
              <w:pStyle w:val="TableContents"/>
              <w:bidi w:val="0"/>
              <w:spacing w:before="0" w:after="283"/>
              <w:jc w:val="right"/>
              <w:rPr/>
            </w:pPr>
            <w:r>
              <w:rPr/>
              <w:t>90,231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(84,337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jc w:val="right"/>
              <w:rPr/>
            </w:pPr>
            <w:r>
              <w:rPr/>
              <w:t>6,055</w:t>
            </w:r>
          </w:p>
        </w:tc>
        <w:tc>
          <w:tcPr>
            <w:tcW w:w="111" w:type="dxa"/>
            <w:tcBorders/>
            <w:shd w:fill="FFFFFF" w:val="clear"/>
            <w:vAlign w:val="center"/>
          </w:tcPr>
          <w:p>
            <w:pPr>
              <w:pStyle w:val="TableContents"/>
              <w:bidi w:val="0"/>
              <w:spacing w:before="0" w:after="283"/>
              <w:jc w:val="left"/>
              <w:rPr/>
            </w:pPr>
            <w:r>
              <w:rPr/>
              <w:t> </w:t>
            </w:r>
          </w:p>
        </w:tc>
      </w:tr>
      <w:tr>
        <w:trPr/>
        <w:tc>
          <w:tcPr>
            <w:tcW w:w="36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146" w:name="xdx_40B_eus-gaap--AdjustmentsToAdditiona"/>
            <w:bookmarkEnd w:id="146"/>
          </w:p>
        </w:tc>
      </w:tr>
      <w:tr>
        <w:trPr/>
        <w:tc>
          <w:tcPr>
            <w:tcW w:w="3638"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283</w:t>
            </w:r>
          </w:p>
        </w:tc>
        <w:tc>
          <w:tcPr>
            <w:tcW w:w="111" w:type="dxa"/>
            <w:tcBorders/>
            <w:shd w:fill="FFFFFF" w:val="clear"/>
            <w:vAlign w:val="center"/>
          </w:tcPr>
          <w:p>
            <w:pPr>
              <w:pStyle w:val="TableContents"/>
              <w:bidi w:val="0"/>
              <w:spacing w:before="0" w:after="283"/>
              <w:jc w:val="left"/>
              <w:rPr/>
            </w:pPr>
            <w:r>
              <w:rPr/>
              <w:t> </w:t>
            </w:r>
            <w:bookmarkStart w:id="147" w:name="xdx_407_ecustom--IssuanceOfCommonStockUn"/>
            <w:bookmarkEnd w:id="147"/>
          </w:p>
        </w:tc>
      </w:tr>
      <w:tr>
        <w:trPr/>
        <w:tc>
          <w:tcPr>
            <w:tcW w:w="3638" w:type="dxa"/>
            <w:tcBorders/>
            <w:shd w:fill="CCEEFF" w:val="clear"/>
            <w:vAlign w:val="center"/>
          </w:tcPr>
          <w:p>
            <w:pPr>
              <w:pStyle w:val="TableContents"/>
              <w:bidi w:val="0"/>
              <w:spacing w:before="0" w:after="283"/>
              <w:jc w:val="left"/>
              <w:rPr/>
            </w:pPr>
            <w:r>
              <w:rPr/>
              <w:t xml:space="preserve">Issuance of common stock under the at-the-market offering program, net of issuance costs </w:t>
            </w:r>
            <w:bookmarkStart w:id="148" w:name="xdx_F41_zX7LiyPWM2Vg"/>
            <w:bookmarkEnd w:id="148"/>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9" w:name="xdx_986_ecustom--IssuanceOfCommonStockSh"/>
            <w:bookmarkEnd w:id="149"/>
          </w:p>
        </w:tc>
        <w:tc>
          <w:tcPr>
            <w:tcW w:w="1100" w:type="dxa"/>
            <w:tcBorders/>
            <w:shd w:fill="CCEEFF" w:val="clear"/>
            <w:vAlign w:val="center"/>
          </w:tcPr>
          <w:p>
            <w:pPr>
              <w:pStyle w:val="TableContents"/>
              <w:bidi w:val="0"/>
              <w:spacing w:before="0" w:after="283"/>
              <w:jc w:val="right"/>
              <w:rPr/>
            </w:pPr>
            <w:r>
              <w:rPr/>
              <w:t>685,800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685</w:t>
            </w:r>
          </w:p>
        </w:tc>
        <w:tc>
          <w:tcPr>
            <w:tcW w:w="111" w:type="dxa"/>
            <w:tcBorders/>
            <w:shd w:fill="CCEEFF" w:val="clear"/>
            <w:vAlign w:val="center"/>
          </w:tcPr>
          <w:p>
            <w:pPr>
              <w:pStyle w:val="TableContents"/>
              <w:bidi w:val="0"/>
              <w:spacing w:before="0" w:after="283"/>
              <w:jc w:val="left"/>
              <w:rPr/>
            </w:pPr>
            <w:r>
              <w:rPr/>
              <w:t> </w:t>
            </w:r>
            <w:bookmarkStart w:id="150" w:name="xdx_408_ecustom--IssuanceOfCommonStockUn"/>
            <w:bookmarkEnd w:id="150"/>
          </w:p>
        </w:tc>
      </w:tr>
      <w:tr>
        <w:trPr/>
        <w:tc>
          <w:tcPr>
            <w:tcW w:w="3638" w:type="dxa"/>
            <w:tcBorders/>
            <w:shd w:fill="CCEEFF" w:val="clear"/>
            <w:vAlign w:val="center"/>
          </w:tcPr>
          <w:p>
            <w:pPr>
              <w:pStyle w:val="TableContents"/>
              <w:bidi w:val="0"/>
              <w:spacing w:before="0" w:after="283"/>
              <w:jc w:val="left"/>
              <w:rPr/>
            </w:pPr>
            <w:r>
              <w:rPr/>
              <w:t xml:space="preserve">Issuance of common stock under the at-the-market offering program, net of issuance costs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685,800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685</w:t>
            </w:r>
          </w:p>
        </w:tc>
        <w:tc>
          <w:tcPr>
            <w:tcW w:w="111" w:type="dxa"/>
            <w:tcBorders/>
            <w:shd w:fill="CCEEFF" w:val="clear"/>
            <w:vAlign w:val="center"/>
          </w:tcPr>
          <w:p>
            <w:pPr>
              <w:pStyle w:val="TableContents"/>
              <w:bidi w:val="0"/>
              <w:spacing w:before="0" w:after="283"/>
              <w:jc w:val="left"/>
              <w:rPr/>
            </w:pPr>
            <w:r>
              <w:rPr/>
              <w:t> </w:t>
            </w:r>
            <w:bookmarkStart w:id="151" w:name="xdx_409_eus-gaap--NetIncomeLoss_zBdjyLOa"/>
            <w:bookmarkEnd w:id="151"/>
          </w:p>
        </w:tc>
      </w:tr>
      <w:tr>
        <w:trPr/>
        <w:tc>
          <w:tcPr>
            <w:tcW w:w="363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(3,215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pPr>
            <w:r>
              <w:rPr/>
              <w:t>(3,215</w:t>
            </w:r>
          </w:p>
        </w:tc>
        <w:tc>
          <w:tcPr>
            <w:tcW w:w="111" w:type="dxa"/>
            <w:tcBorders/>
            <w:shd w:fill="FFFFFF" w:val="clear"/>
            <w:vAlign w:val="center"/>
          </w:tcPr>
          <w:p>
            <w:pPr>
              <w:pStyle w:val="TableContents"/>
              <w:bidi w:val="0"/>
              <w:spacing w:before="0" w:after="283"/>
              <w:jc w:val="left"/>
              <w:rPr/>
            </w:pPr>
            <w:r>
              <w:rPr/>
              <w:t>)</w:t>
            </w:r>
            <w:bookmarkStart w:id="152" w:name="xdx_439_c20240701__20240930_eus-gaap--St"/>
            <w:bookmarkEnd w:id="152"/>
          </w:p>
        </w:tc>
      </w:tr>
      <w:tr>
        <w:trPr/>
        <w:tc>
          <w:tcPr>
            <w:tcW w:w="3638" w:type="dxa"/>
            <w:tcBorders/>
            <w:shd w:fill="CCEEFF" w:val="clear"/>
            <w:vAlign w:val="center"/>
          </w:tcPr>
          <w:p>
            <w:pPr>
              <w:pStyle w:val="TableContents"/>
              <w:bidi w:val="0"/>
              <w:spacing w:before="0" w:after="283"/>
              <w:jc w:val="left"/>
              <w:rPr/>
            </w:pPr>
            <w:r>
              <w:rPr/>
              <w:t>Balances, September 30, 2024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3" w:name="xdx_989_eus-gaap--SharesOutstanding_iE_p"/>
            <w:bookmarkEnd w:id="15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16,651,433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91,192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pPr>
            <w:r>
              <w:rPr/>
              <w:t>(87,552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jc w:val="right"/>
              <w:rPr/>
            </w:pPr>
            <w:r>
              <w:rPr/>
              <w:t>3,808</w:t>
            </w:r>
          </w:p>
        </w:tc>
        <w:tc>
          <w:tcPr>
            <w:tcW w:w="111" w:type="dxa"/>
            <w:tcBorders/>
            <w:shd w:fill="CCEEFF" w:val="clear"/>
            <w:vAlign w:val="center"/>
          </w:tcPr>
          <w:p>
            <w:pPr>
              <w:pStyle w:val="TableContents"/>
              <w:bidi w:val="0"/>
              <w:spacing w:before="0" w:after="283"/>
              <w:jc w:val="left"/>
              <w:rPr/>
            </w:pPr>
            <w:r>
              <w:rPr/>
              <w:t> </w:t>
            </w:r>
            <w:bookmarkStart w:id="154" w:name="xdx_43F_c20240701__20240930_eus-gaap--St"/>
            <w:bookmarkEnd w:id="154"/>
          </w:p>
        </w:tc>
      </w:tr>
      <w:tr>
        <w:trPr/>
        <w:tc>
          <w:tcPr>
            <w:tcW w:w="3638" w:type="dxa"/>
            <w:tcBorders/>
            <w:shd w:fill="CCEEFF" w:val="clear"/>
            <w:vAlign w:val="center"/>
          </w:tcPr>
          <w:p>
            <w:pPr>
              <w:pStyle w:val="TableContents"/>
              <w:bidi w:val="0"/>
              <w:spacing w:before="0" w:after="283"/>
              <w:jc w:val="left"/>
              <w:rPr/>
            </w:pPr>
            <w:r>
              <w:rPr/>
              <w:t>Balances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5" w:name="xdx_98B_eus-gaap--SharesOutstanding_iE_p"/>
            <w:bookmarkEnd w:id="15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16,651,433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91,192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pPr>
            <w:r>
              <w:rPr/>
              <w:t>(87,552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double" w:sz="6" w:space="0" w:color="000000"/>
            </w:tcBorders>
            <w:shd w:fill="CCEEFF" w:val="clear"/>
            <w:tcMar>
              <w:bottom w:w="28" w:type="dxa"/>
            </w:tcMar>
            <w:vAlign w:val="center"/>
          </w:tcPr>
          <w:p>
            <w:pPr>
              <w:pStyle w:val="TableContents"/>
              <w:bidi w:val="0"/>
              <w:spacing w:before="0" w:after="283"/>
              <w:jc w:val="right"/>
              <w:rPr/>
            </w:pPr>
            <w:r>
              <w:rPr/>
              <w:t>3,808</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575"/>
        <w:gridCol w:w="6305"/>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56" w:name="xdx_F0C_zQNe1gQtENpk"/>
            <w:bookmarkEnd w:id="156"/>
            <w:r>
              <w:rPr>
                <w:rFonts w:ascii="Times New Roman;Times;Serif" w:hAnsi="Times New Roman;Times;Serif"/>
                <w:b w:val="false"/>
                <w:i w:val="false"/>
                <w:caps w:val="false"/>
                <w:smallCaps w:val="false"/>
                <w:sz w:val="20"/>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57" w:name="xdx_F1E_z2DQzRx5tkJc"/>
            <w:bookmarkEnd w:id="157"/>
            <w:r>
              <w:rPr>
                <w:rFonts w:ascii="Times New Roman;Times;Serif" w:hAnsi="Times New Roman;Times;Serif"/>
                <w:b w:val="false"/>
                <w:i w:val="false"/>
                <w:caps w:val="false"/>
                <w:smallCaps w:val="false"/>
                <w:sz w:val="20"/>
              </w:rPr>
              <w:t>Net of issuance costs in the amount of approximately $</w:t>
            </w:r>
            <w:bookmarkStart w:id="158" w:name="xdx_902_eus-gaap--PaymentsOfStockIssuanc"/>
            <w:bookmarkEnd w:id="158"/>
            <w:r>
              <w:rPr>
                <w:rFonts w:ascii="Times New Roman;Times;Serif" w:hAnsi="Times New Roman;Times;Serif"/>
                <w:b w:val="false"/>
                <w:i w:val="false"/>
                <w:caps w:val="false"/>
                <w:smallCaps w:val="false"/>
                <w:sz w:val="20"/>
              </w:rPr>
              <w:t>333. See Note 4A.</w:t>
            </w:r>
          </w:p>
        </w:tc>
      </w:tr>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59" w:name="xdx_F03_zBjUFTQFdJkl"/>
            <w:bookmarkEnd w:id="159"/>
            <w:r>
              <w:rPr>
                <w:rFonts w:ascii="Times New Roman;Times;Serif" w:hAnsi="Times New Roman;Times;Serif"/>
                <w:b w:val="false"/>
                <w:i w:val="false"/>
                <w:caps w:val="false"/>
                <w:smallCaps w:val="false"/>
                <w:sz w:val="20"/>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60" w:name="xdx_F17_zzWgo4hO4ARj"/>
            <w:bookmarkEnd w:id="160"/>
            <w:r>
              <w:rPr>
                <w:rFonts w:ascii="Times New Roman;Times;Serif" w:hAnsi="Times New Roman;Times;Serif"/>
                <w:b w:val="false"/>
                <w:i w:val="false"/>
                <w:caps w:val="false"/>
                <w:smallCaps w:val="false"/>
                <w:sz w:val="20"/>
              </w:rPr>
              <w:t>See Note 3G.</w:t>
            </w:r>
          </w:p>
        </w:tc>
      </w:tr>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61" w:name="xdx_F0A_zHFKQWR79aW"/>
            <w:bookmarkEnd w:id="161"/>
            <w:r>
              <w:rPr>
                <w:rFonts w:ascii="Times New Roman;Times;Serif" w:hAnsi="Times New Roman;Times;Serif"/>
                <w:b w:val="false"/>
                <w:i w:val="false"/>
                <w:caps w:val="false"/>
                <w:smallCaps w:val="false"/>
                <w:sz w:val="20"/>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62" w:name="xdx_F17_zDH4nm60m5ja"/>
            <w:bookmarkEnd w:id="162"/>
            <w:r>
              <w:rPr>
                <w:rFonts w:ascii="Times New Roman;Times;Serif" w:hAnsi="Times New Roman;Times;Serif"/>
                <w:b w:val="false"/>
                <w:i w:val="false"/>
                <w:caps w:val="false"/>
                <w:smallCaps w:val="false"/>
                <w:sz w:val="20"/>
              </w:rPr>
              <w:t>Net of issuance costs in the amount of approximately $</w:t>
            </w:r>
            <w:bookmarkStart w:id="163" w:name="xdx_905_eus-gaap--PaymentsOfStockIssuanc"/>
            <w:bookmarkEnd w:id="163"/>
            <w:r>
              <w:rPr>
                <w:rFonts w:ascii="Times New Roman;Times;Serif" w:hAnsi="Times New Roman;Times;Serif"/>
                <w:b w:val="false"/>
                <w:i w:val="false"/>
                <w:caps w:val="false"/>
                <w:smallCaps w:val="false"/>
                <w:sz w:val="20"/>
              </w:rPr>
              <w:t>328. See also Note 4B.</w:t>
            </w:r>
          </w:p>
        </w:tc>
      </w:tr>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64" w:name="xdx_F0B_zGNzs1F4A1U3"/>
            <w:bookmarkEnd w:id="164"/>
            <w:r>
              <w:rPr>
                <w:rFonts w:ascii="Times New Roman;Times;Serif" w:hAnsi="Times New Roman;Times;Serif"/>
                <w:b w:val="false"/>
                <w:i w:val="false"/>
                <w:caps w:val="false"/>
                <w:smallCaps w:val="false"/>
                <w:sz w:val="20"/>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65" w:name="xdx_F1F_zqyz3jBoOp4k"/>
            <w:bookmarkEnd w:id="165"/>
            <w:r>
              <w:rPr>
                <w:rFonts w:ascii="Times New Roman;Times;Serif" w:hAnsi="Times New Roman;Times;Serif"/>
                <w:b w:val="false"/>
                <w:i w:val="false"/>
                <w:caps w:val="false"/>
                <w:smallCaps w:val="false"/>
                <w:sz w:val="20"/>
              </w:rPr>
              <w:t>Net of issuance costs in the amount of approximately $</w:t>
            </w:r>
            <w:bookmarkStart w:id="166" w:name="xdx_90F_eus-gaap--PaymentsOfStockIssuanc"/>
            <w:bookmarkEnd w:id="166"/>
            <w:r>
              <w:rPr>
                <w:rFonts w:ascii="Times New Roman;Times;Serif" w:hAnsi="Times New Roman;Times;Serif"/>
                <w:b w:val="false"/>
                <w:i w:val="false"/>
                <w:caps w:val="false"/>
                <w:smallCaps w:val="false"/>
                <w:sz w:val="20"/>
              </w:rPr>
              <w:t>49. See also Note 4D.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167" w:name="a_004"/>
      <w:bookmarkEnd w:id="167"/>
      <w:r>
        <w:rPr>
          <w:rFonts w:ascii="Times New Roman;Times;Serif" w:hAnsi="Times New Roman;Times;Serif"/>
          <w:b/>
          <w:i w:val="false"/>
          <w:caps w:val="false"/>
          <w:smallCaps w:val="false"/>
          <w:sz w:val="20"/>
          <w:u w:val="single"/>
        </w:rPr>
        <w:t>MICROBOT MEDICAL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Interim 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firstLine="400"/>
        <w:jc w:val="center"/>
        <w:rPr>
          <w:caps w:val="false"/>
          <w:smallCaps w:val="false"/>
        </w:rPr>
      </w:pPr>
      <w:r>
        <w:rPr>
          <w:caps w:val="false"/>
          <w:smallCaps w:val="false"/>
        </w:rPr>
        <w:t> </w:t>
      </w:r>
    </w:p>
    <w:p>
      <w:pPr>
        <w:pStyle w:val="Normal"/>
        <w:bidi w:val="0"/>
        <w:spacing w:before="0" w:after="0"/>
        <w:ind w:left="0" w:right="0" w:firstLine="400"/>
        <w:jc w:val="left"/>
        <w:rPr>
          <w:sz w:val="4"/>
          <w:szCs w:val="4"/>
        </w:rPr>
      </w:pPr>
      <w:r>
        <w:rPr>
          <w:sz w:val="4"/>
          <w:szCs w:val="4"/>
        </w:rPr>
      </w:r>
      <w:bookmarkStart w:id="168" w:name="xdx_30A_112_pn3n3_zBk9gbzFX24b"/>
      <w:bookmarkStart w:id="169" w:name="xdx_30A_112_pn3n3_zBk9gbzFX24b"/>
      <w:bookmarkEnd w:id="169"/>
    </w:p>
    <w:tbl>
      <w:tblPr>
        <w:tblW w:w="10205" w:type="dxa"/>
        <w:jc w:val="left"/>
        <w:tblInd w:w="0" w:type="dxa"/>
        <w:tblLayout w:type="fixed"/>
        <w:tblCellMar>
          <w:top w:w="0" w:type="dxa"/>
          <w:left w:w="0" w:type="dxa"/>
          <w:bottom w:w="0" w:type="dxa"/>
          <w:right w:w="0" w:type="dxa"/>
        </w:tblCellMar>
      </w:tblPr>
      <w:tblGrid>
        <w:gridCol w:w="6168"/>
        <w:gridCol w:w="60"/>
        <w:gridCol w:w="361"/>
        <w:gridCol w:w="1401"/>
        <w:gridCol w:w="209"/>
        <w:gridCol w:w="131"/>
        <w:gridCol w:w="361"/>
        <w:gridCol w:w="1401"/>
        <w:gridCol w:w="113"/>
      </w:tblGrid>
      <w:tr>
        <w:trPr/>
        <w:tc>
          <w:tcPr>
            <w:tcW w:w="61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0" w:name="xdx_490_20240101__20240930_zTcmRU2lrSX"/>
            <w:bookmarkEnd w:id="170"/>
          </w:p>
        </w:tc>
        <w:tc>
          <w:tcPr>
            <w:tcW w:w="17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09" w:type="dxa"/>
            <w:tcBorders/>
            <w:vAlign w:val="center"/>
          </w:tcPr>
          <w:p>
            <w:pPr>
              <w:pStyle w:val="TableContents"/>
              <w:bidi w:val="0"/>
              <w:spacing w:before="0" w:after="283"/>
              <w:jc w:val="center"/>
              <w:rPr/>
            </w:pPr>
            <w:r>
              <w:rPr/>
              <w:t> </w:t>
            </w:r>
          </w:p>
        </w:tc>
        <w:tc>
          <w:tcPr>
            <w:tcW w:w="131" w:type="dxa"/>
            <w:tcBorders/>
            <w:vAlign w:val="center"/>
          </w:tcPr>
          <w:p>
            <w:pPr>
              <w:pStyle w:val="TableContents"/>
              <w:bidi w:val="0"/>
              <w:spacing w:before="0" w:after="283"/>
              <w:jc w:val="center"/>
              <w:rPr/>
            </w:pPr>
            <w:r>
              <w:rPr/>
              <w:t> </w:t>
            </w:r>
            <w:bookmarkStart w:id="171" w:name="xdx_49C_20230101__20230930_zXmhb1vxDrBf"/>
            <w:bookmarkEnd w:id="171"/>
          </w:p>
        </w:tc>
        <w:tc>
          <w:tcPr>
            <w:tcW w:w="17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3" w:type="dxa"/>
            <w:tcBorders/>
            <w:vAlign w:val="center"/>
          </w:tcPr>
          <w:p>
            <w:pPr>
              <w:pStyle w:val="TableContents"/>
              <w:bidi w:val="0"/>
              <w:spacing w:before="0" w:after="283"/>
              <w:jc w:val="center"/>
              <w:rPr/>
            </w:pPr>
            <w:r>
              <w:rPr/>
              <w:t> </w:t>
            </w:r>
          </w:p>
        </w:tc>
      </w:tr>
      <w:tr>
        <w:trPr/>
        <w:tc>
          <w:tcPr>
            <w:tcW w:w="61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86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Nine Months Ended September 30,</w:t>
            </w:r>
          </w:p>
        </w:tc>
        <w:tc>
          <w:tcPr>
            <w:tcW w:w="113" w:type="dxa"/>
            <w:tcBorders/>
            <w:vAlign w:val="center"/>
          </w:tcPr>
          <w:p>
            <w:pPr>
              <w:pStyle w:val="TableContents"/>
              <w:bidi w:val="0"/>
              <w:spacing w:before="0" w:after="283"/>
              <w:jc w:val="center"/>
              <w:rPr/>
            </w:pPr>
            <w:r>
              <w:rPr/>
              <w:t> </w:t>
            </w:r>
          </w:p>
        </w:tc>
      </w:tr>
      <w:tr>
        <w:trPr/>
        <w:tc>
          <w:tcPr>
            <w:tcW w:w="61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09" w:type="dxa"/>
            <w:tcBorders/>
            <w:vAlign w:val="center"/>
          </w:tcPr>
          <w:p>
            <w:pPr>
              <w:pStyle w:val="TableContents"/>
              <w:bidi w:val="0"/>
              <w:spacing w:before="0" w:after="283"/>
              <w:jc w:val="center"/>
              <w:rPr/>
            </w:pPr>
            <w:r>
              <w:rPr/>
              <w:t> </w:t>
            </w:r>
          </w:p>
        </w:tc>
        <w:tc>
          <w:tcPr>
            <w:tcW w:w="131" w:type="dxa"/>
            <w:tcBorders/>
            <w:vAlign w:val="center"/>
          </w:tcPr>
          <w:p>
            <w:pPr>
              <w:pStyle w:val="TableContents"/>
              <w:bidi w:val="0"/>
              <w:spacing w:before="0" w:after="283"/>
              <w:jc w:val="center"/>
              <w:rPr/>
            </w:pPr>
            <w:r>
              <w:rPr/>
              <w:t> </w:t>
            </w:r>
          </w:p>
        </w:tc>
        <w:tc>
          <w:tcPr>
            <w:tcW w:w="17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3" w:type="dxa"/>
            <w:tcBorders/>
            <w:vAlign w:val="center"/>
          </w:tcPr>
          <w:p>
            <w:pPr>
              <w:pStyle w:val="TableContents"/>
              <w:bidi w:val="0"/>
              <w:spacing w:before="0" w:after="283"/>
              <w:jc w:val="center"/>
              <w:rPr/>
            </w:pPr>
            <w:r>
              <w:rPr/>
              <w:t> </w:t>
            </w:r>
          </w:p>
        </w:tc>
      </w:tr>
      <w:tr>
        <w:trPr/>
        <w:tc>
          <w:tcPr>
            <w:tcW w:w="61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62" w:type="dxa"/>
            <w:gridSpan w:val="2"/>
            <w:tcBorders/>
            <w:vAlign w:val="center"/>
          </w:tcPr>
          <w:p>
            <w:pPr>
              <w:pStyle w:val="TableContents"/>
              <w:bidi w:val="0"/>
              <w:spacing w:before="0" w:after="283"/>
              <w:jc w:val="center"/>
              <w:rPr/>
            </w:pPr>
            <w:r>
              <w:rPr/>
              <w:t>Unaudited</w:t>
            </w:r>
          </w:p>
        </w:tc>
        <w:tc>
          <w:tcPr>
            <w:tcW w:w="209" w:type="dxa"/>
            <w:tcBorders/>
            <w:vAlign w:val="center"/>
          </w:tcPr>
          <w:p>
            <w:pPr>
              <w:pStyle w:val="TableContents"/>
              <w:bidi w:val="0"/>
              <w:spacing w:before="0" w:after="283"/>
              <w:jc w:val="center"/>
              <w:rPr/>
            </w:pPr>
            <w:r>
              <w:rPr/>
              <w:t> </w:t>
            </w:r>
          </w:p>
        </w:tc>
        <w:tc>
          <w:tcPr>
            <w:tcW w:w="131" w:type="dxa"/>
            <w:tcBorders/>
            <w:vAlign w:val="center"/>
          </w:tcPr>
          <w:p>
            <w:pPr>
              <w:pStyle w:val="TableContents"/>
              <w:bidi w:val="0"/>
              <w:spacing w:before="0" w:after="283"/>
              <w:jc w:val="center"/>
              <w:rPr/>
            </w:pPr>
            <w:r>
              <w:rPr/>
              <w:t> </w:t>
            </w:r>
          </w:p>
        </w:tc>
        <w:tc>
          <w:tcPr>
            <w:tcW w:w="1762" w:type="dxa"/>
            <w:gridSpan w:val="2"/>
            <w:tcBorders/>
            <w:vAlign w:val="center"/>
          </w:tcPr>
          <w:p>
            <w:pPr>
              <w:pStyle w:val="TableContents"/>
              <w:bidi w:val="0"/>
              <w:spacing w:before="0" w:after="283"/>
              <w:jc w:val="center"/>
              <w:rPr/>
            </w:pPr>
            <w:r>
              <w:rPr/>
              <w:t>Unaudited</w:t>
            </w:r>
          </w:p>
        </w:tc>
        <w:tc>
          <w:tcPr>
            <w:tcW w:w="113" w:type="dxa"/>
            <w:tcBorders/>
            <w:vAlign w:val="center"/>
          </w:tcPr>
          <w:p>
            <w:pPr>
              <w:pStyle w:val="TableContents"/>
              <w:bidi w:val="0"/>
              <w:spacing w:before="0" w:after="283"/>
              <w:jc w:val="center"/>
              <w:rPr/>
            </w:pPr>
            <w:r>
              <w:rPr/>
              <w:t> </w:t>
            </w:r>
            <w:bookmarkStart w:id="172" w:name="xdx_40D_eus-gaap--NetCashProvidedByUsedI"/>
            <w:bookmarkEnd w:id="172"/>
          </w:p>
        </w:tc>
      </w:tr>
      <w:tr>
        <w:trPr/>
        <w:tc>
          <w:tcPr>
            <w:tcW w:w="6168"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73" w:name="xdx_406_eus-gaap--NetIncomeLoss_i01_pn3n"/>
            <w:bookmarkEnd w:id="173"/>
          </w:p>
        </w:tc>
      </w:tr>
      <w:tr>
        <w:trPr/>
        <w:tc>
          <w:tcPr>
            <w:tcW w:w="616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w:t>
            </w:r>
          </w:p>
        </w:tc>
        <w:tc>
          <w:tcPr>
            <w:tcW w:w="1401" w:type="dxa"/>
            <w:tcBorders/>
            <w:shd w:fill="FFFFFF" w:val="clear"/>
            <w:vAlign w:val="center"/>
          </w:tcPr>
          <w:p>
            <w:pPr>
              <w:pStyle w:val="TableContents"/>
              <w:bidi w:val="0"/>
              <w:spacing w:before="0" w:after="283"/>
              <w:jc w:val="right"/>
              <w:rPr/>
            </w:pPr>
            <w:r>
              <w:rPr/>
              <w:t>(8,051</w:t>
            </w:r>
          </w:p>
        </w:tc>
        <w:tc>
          <w:tcPr>
            <w:tcW w:w="209"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w:t>
            </w:r>
          </w:p>
        </w:tc>
        <w:tc>
          <w:tcPr>
            <w:tcW w:w="1401" w:type="dxa"/>
            <w:tcBorders/>
            <w:shd w:fill="FFFFFF" w:val="clear"/>
            <w:vAlign w:val="center"/>
          </w:tcPr>
          <w:p>
            <w:pPr>
              <w:pStyle w:val="TableContents"/>
              <w:bidi w:val="0"/>
              <w:spacing w:before="0" w:after="283"/>
              <w:jc w:val="right"/>
              <w:rPr/>
            </w:pPr>
            <w:r>
              <w:rPr/>
              <w:t>(7,586</w:t>
            </w:r>
          </w:p>
        </w:tc>
        <w:tc>
          <w:tcPr>
            <w:tcW w:w="113" w:type="dxa"/>
            <w:tcBorders/>
            <w:shd w:fill="FFFFFF" w:val="clear"/>
            <w:vAlign w:val="center"/>
          </w:tcPr>
          <w:p>
            <w:pPr>
              <w:pStyle w:val="TableContents"/>
              <w:bidi w:val="0"/>
              <w:spacing w:before="0" w:after="283"/>
              <w:jc w:val="left"/>
              <w:rPr/>
            </w:pPr>
            <w:r>
              <w:rPr/>
              <w:t>)</w:t>
            </w:r>
            <w:bookmarkStart w:id="174" w:name="xdx_403_eus-gaap--AdjustmentsToReconcile"/>
            <w:bookmarkEnd w:id="174"/>
          </w:p>
        </w:tc>
      </w:tr>
      <w:tr>
        <w:trPr/>
        <w:tc>
          <w:tcPr>
            <w:tcW w:w="6168" w:type="dxa"/>
            <w:tcBorders/>
            <w:shd w:fill="CCEEFF" w:val="clear"/>
            <w:vAlign w:val="center"/>
          </w:tcPr>
          <w:p>
            <w:pPr>
              <w:pStyle w:val="TableContents"/>
              <w:bidi w:val="0"/>
              <w:spacing w:before="0" w:after="283"/>
              <w:jc w:val="left"/>
              <w:rPr/>
            </w:pPr>
            <w:r>
              <w:rPr/>
              <w:t>Adjustments to reconcile net loss to 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75" w:name="xdx_40B_eus-gaap--DepreciationDepletionA"/>
            <w:bookmarkEnd w:id="175"/>
          </w:p>
        </w:tc>
      </w:tr>
      <w:tr>
        <w:trPr/>
        <w:tc>
          <w:tcPr>
            <w:tcW w:w="6168" w:type="dxa"/>
            <w:tcBorders/>
            <w:shd w:fill="FFFFFF" w:val="clear"/>
            <w:vAlign w:val="center"/>
          </w:tcPr>
          <w:p>
            <w:pPr>
              <w:pStyle w:val="TableContents"/>
              <w:bidi w:val="0"/>
              <w:spacing w:before="0" w:after="283"/>
              <w:jc w:val="left"/>
              <w:rPr/>
            </w:pPr>
            <w:r>
              <w:rPr/>
              <w:t>Depreciation of property and equipment</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65</w:t>
            </w:r>
          </w:p>
        </w:tc>
        <w:tc>
          <w:tcPr>
            <w:tcW w:w="209"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71</w:t>
            </w:r>
          </w:p>
        </w:tc>
        <w:tc>
          <w:tcPr>
            <w:tcW w:w="113" w:type="dxa"/>
            <w:tcBorders/>
            <w:shd w:fill="FFFFFF" w:val="clear"/>
            <w:vAlign w:val="center"/>
          </w:tcPr>
          <w:p>
            <w:pPr>
              <w:pStyle w:val="TableContents"/>
              <w:bidi w:val="0"/>
              <w:spacing w:before="0" w:after="283"/>
              <w:jc w:val="left"/>
              <w:rPr/>
            </w:pPr>
            <w:r>
              <w:rPr/>
              <w:t> </w:t>
            </w:r>
            <w:bookmarkStart w:id="176" w:name="xdx_401_ecustom--InterestIncomeAndUnreal"/>
            <w:bookmarkEnd w:id="176"/>
          </w:p>
        </w:tc>
      </w:tr>
      <w:tr>
        <w:trPr/>
        <w:tc>
          <w:tcPr>
            <w:tcW w:w="6168" w:type="dxa"/>
            <w:tcBorders/>
            <w:shd w:fill="CCEEFF" w:val="clear"/>
            <w:vAlign w:val="center"/>
          </w:tcPr>
          <w:p>
            <w:pPr>
              <w:pStyle w:val="TableContents"/>
              <w:bidi w:val="0"/>
              <w:spacing w:before="0" w:after="283"/>
              <w:jc w:val="left"/>
              <w:rPr/>
            </w:pPr>
            <w:r>
              <w:rPr/>
              <w:t>Interest income and unrealized gains from marketable securities, net</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(2</w:t>
            </w:r>
          </w:p>
        </w:tc>
        <w:tc>
          <w:tcPr>
            <w:tcW w:w="209"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(105</w:t>
            </w:r>
          </w:p>
        </w:tc>
        <w:tc>
          <w:tcPr>
            <w:tcW w:w="113" w:type="dxa"/>
            <w:tcBorders/>
            <w:shd w:fill="CCEEFF" w:val="clear"/>
            <w:vAlign w:val="center"/>
          </w:tcPr>
          <w:p>
            <w:pPr>
              <w:pStyle w:val="TableContents"/>
              <w:bidi w:val="0"/>
              <w:spacing w:before="0" w:after="283"/>
              <w:jc w:val="left"/>
              <w:rPr/>
            </w:pPr>
            <w:r>
              <w:rPr/>
              <w:t>)</w:t>
            </w:r>
            <w:bookmarkStart w:id="177" w:name="xdx_402_eus-gaap--ShareBasedCompensation"/>
            <w:bookmarkEnd w:id="177"/>
          </w:p>
        </w:tc>
      </w:tr>
      <w:tr>
        <w:trPr/>
        <w:tc>
          <w:tcPr>
            <w:tcW w:w="6168"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1,067</w:t>
            </w:r>
          </w:p>
        </w:tc>
        <w:tc>
          <w:tcPr>
            <w:tcW w:w="209"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1,097</w:t>
            </w:r>
          </w:p>
        </w:tc>
        <w:tc>
          <w:tcPr>
            <w:tcW w:w="113" w:type="dxa"/>
            <w:tcBorders/>
            <w:shd w:fill="FFFFFF" w:val="clear"/>
            <w:vAlign w:val="center"/>
          </w:tcPr>
          <w:p>
            <w:pPr>
              <w:pStyle w:val="TableContents"/>
              <w:bidi w:val="0"/>
              <w:spacing w:before="0" w:after="283"/>
              <w:jc w:val="left"/>
              <w:rPr/>
            </w:pPr>
            <w:r>
              <w:rPr/>
              <w:t> </w:t>
            </w:r>
            <w:bookmarkStart w:id="178" w:name="xdx_40B_eus-gaap--IncreaseDecreaseInOper"/>
            <w:bookmarkEnd w:id="178"/>
          </w:p>
        </w:tc>
      </w:tr>
      <w:tr>
        <w:trPr/>
        <w:tc>
          <w:tcPr>
            <w:tcW w:w="6168"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79" w:name="xdx_405_eus-gaap--IncreaseDecreaseInPrep"/>
            <w:bookmarkEnd w:id="179"/>
          </w:p>
        </w:tc>
      </w:tr>
      <w:tr>
        <w:trPr/>
        <w:tc>
          <w:tcPr>
            <w:tcW w:w="6168"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(274</w:t>
            </w:r>
          </w:p>
        </w:tc>
        <w:tc>
          <w:tcPr>
            <w:tcW w:w="209"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549</w:t>
            </w:r>
          </w:p>
        </w:tc>
        <w:tc>
          <w:tcPr>
            <w:tcW w:w="113" w:type="dxa"/>
            <w:tcBorders/>
            <w:shd w:fill="FFFFFF" w:val="clear"/>
            <w:vAlign w:val="center"/>
          </w:tcPr>
          <w:p>
            <w:pPr>
              <w:pStyle w:val="TableContents"/>
              <w:bidi w:val="0"/>
              <w:spacing w:before="0" w:after="283"/>
              <w:jc w:val="left"/>
              <w:rPr/>
            </w:pPr>
            <w:r>
              <w:rPr/>
              <w:t> </w:t>
            </w:r>
            <w:bookmarkStart w:id="180" w:name="xdx_40A_eus-gaap--IncreaseDecreaseInOthe"/>
            <w:bookmarkEnd w:id="180"/>
          </w:p>
        </w:tc>
      </w:tr>
      <w:tr>
        <w:trPr/>
        <w:tc>
          <w:tcPr>
            <w:tcW w:w="6168" w:type="dxa"/>
            <w:tcBorders/>
            <w:shd w:fill="CCEEFF" w:val="clear"/>
            <w:vAlign w:val="center"/>
          </w:tcPr>
          <w:p>
            <w:pPr>
              <w:pStyle w:val="TableContents"/>
              <w:bidi w:val="0"/>
              <w:spacing w:before="0" w:after="283"/>
              <w:jc w:val="left"/>
              <w:rPr/>
            </w:pPr>
            <w:r>
              <w:rPr/>
              <w:t>Other payables and accrued liabilities</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(176</w:t>
            </w:r>
          </w:p>
        </w:tc>
        <w:tc>
          <w:tcPr>
            <w:tcW w:w="209"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(738</w:t>
            </w:r>
          </w:p>
        </w:tc>
        <w:tc>
          <w:tcPr>
            <w:tcW w:w="113" w:type="dxa"/>
            <w:tcBorders/>
            <w:shd w:fill="CCEEFF" w:val="clear"/>
            <w:vAlign w:val="center"/>
          </w:tcPr>
          <w:p>
            <w:pPr>
              <w:pStyle w:val="TableContents"/>
              <w:bidi w:val="0"/>
              <w:spacing w:before="0" w:after="283"/>
              <w:jc w:val="left"/>
              <w:rPr/>
            </w:pPr>
            <w:r>
              <w:rPr/>
              <w:t>)</w:t>
            </w:r>
            <w:bookmarkStart w:id="181" w:name="xdx_40A_ecustom--IncreaseDecreaseInLegal"/>
            <w:bookmarkEnd w:id="181"/>
          </w:p>
        </w:tc>
      </w:tr>
      <w:tr>
        <w:trPr/>
        <w:tc>
          <w:tcPr>
            <w:tcW w:w="6168" w:type="dxa"/>
            <w:tcBorders/>
            <w:shd w:fill="FFFFFF" w:val="clear"/>
            <w:vAlign w:val="center"/>
          </w:tcPr>
          <w:p>
            <w:pPr>
              <w:pStyle w:val="TableContents"/>
              <w:bidi w:val="0"/>
              <w:spacing w:before="0" w:after="283"/>
              <w:jc w:val="left"/>
              <w:rPr/>
            </w:pPr>
            <w:r>
              <w:rPr/>
              <w:t>Insurance recovery related to legal settlement and legal expenses received in cash</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1,335</w:t>
            </w:r>
          </w:p>
        </w:tc>
        <w:tc>
          <w:tcPr>
            <w:tcW w:w="209"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82" w:name="xdx_40F_ecustom--IncreaseDecreaseInLegal"/>
            <w:bookmarkEnd w:id="182"/>
          </w:p>
        </w:tc>
      </w:tr>
      <w:tr>
        <w:trPr/>
        <w:tc>
          <w:tcPr>
            <w:tcW w:w="6168" w:type="dxa"/>
            <w:tcBorders/>
            <w:shd w:fill="CCEEFF" w:val="clear"/>
            <w:vAlign w:val="center"/>
          </w:tcPr>
          <w:p>
            <w:pPr>
              <w:pStyle w:val="TableContents"/>
              <w:bidi w:val="0"/>
              <w:spacing w:before="0" w:after="283"/>
              <w:jc w:val="left"/>
              <w:rPr/>
            </w:pPr>
            <w:r>
              <w:rPr/>
              <w:t>Legal settlement paid in cash</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shd w:fill="CCEEFF" w:val="clear"/>
            <w:tcMar>
              <w:bottom w:w="28" w:type="dxa"/>
            </w:tcMar>
            <w:vAlign w:val="center"/>
          </w:tcPr>
          <w:p>
            <w:pPr>
              <w:pStyle w:val="TableContents"/>
              <w:bidi w:val="0"/>
              <w:spacing w:before="0" w:after="283"/>
              <w:jc w:val="right"/>
              <w:rPr/>
            </w:pPr>
            <w:r>
              <w:rPr/>
              <w:t>(1,100</w:t>
            </w:r>
          </w:p>
        </w:tc>
        <w:tc>
          <w:tcPr>
            <w:tcW w:w="209"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83" w:name="xdx_409_eus-gaap--NetCashProvidedByUsedI"/>
            <w:bookmarkEnd w:id="183"/>
          </w:p>
        </w:tc>
      </w:tr>
      <w:tr>
        <w:trPr/>
        <w:tc>
          <w:tcPr>
            <w:tcW w:w="6168" w:type="dxa"/>
            <w:tcBorders/>
            <w:shd w:fill="FFFFFF" w:val="clear"/>
            <w:vAlign w:val="center"/>
          </w:tcPr>
          <w:p>
            <w:pPr>
              <w:pStyle w:val="TableContents"/>
              <w:bidi w:val="0"/>
              <w:spacing w:before="0" w:after="283"/>
              <w:jc w:val="left"/>
              <w:rPr/>
            </w:pPr>
            <w:r>
              <w:rPr/>
              <w:t>Net cash flows used in operating activities</w:t>
            </w:r>
          </w:p>
        </w:tc>
        <w:tc>
          <w:tcPr>
            <w:tcW w:w="60"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shd w:fill="FFFFFF" w:val="clear"/>
            <w:tcMar>
              <w:bottom w:w="28" w:type="dxa"/>
            </w:tcMar>
            <w:vAlign w:val="center"/>
          </w:tcPr>
          <w:p>
            <w:pPr>
              <w:pStyle w:val="TableContents"/>
              <w:bidi w:val="0"/>
              <w:spacing w:before="0" w:after="283"/>
              <w:jc w:val="right"/>
              <w:rPr/>
            </w:pPr>
            <w:r>
              <w:rPr/>
              <w:t>(7,136</w:t>
            </w:r>
          </w:p>
        </w:tc>
        <w:tc>
          <w:tcPr>
            <w:tcW w:w="209"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shd w:fill="FFFFFF" w:val="clear"/>
            <w:tcMar>
              <w:bottom w:w="28" w:type="dxa"/>
            </w:tcMar>
            <w:vAlign w:val="center"/>
          </w:tcPr>
          <w:p>
            <w:pPr>
              <w:pStyle w:val="TableContents"/>
              <w:bidi w:val="0"/>
              <w:spacing w:before="0" w:after="283"/>
              <w:jc w:val="right"/>
              <w:rPr/>
            </w:pPr>
            <w:r>
              <w:rPr/>
              <w:t>(6,712</w:t>
            </w:r>
          </w:p>
        </w:tc>
        <w:tc>
          <w:tcPr>
            <w:tcW w:w="113" w:type="dxa"/>
            <w:tcBorders/>
            <w:shd w:fill="FFFFFF" w:val="clear"/>
            <w:vAlign w:val="center"/>
          </w:tcPr>
          <w:p>
            <w:pPr>
              <w:pStyle w:val="TableContents"/>
              <w:bidi w:val="0"/>
              <w:spacing w:before="0" w:after="283"/>
              <w:jc w:val="left"/>
              <w:rPr/>
            </w:pPr>
            <w:r>
              <w:rPr/>
              <w:t>)</w:t>
            </w:r>
            <w:bookmarkStart w:id="184" w:name="xdx_40E_eus-gaap--NetCashProvidedByUsedI"/>
            <w:bookmarkEnd w:id="184"/>
          </w:p>
        </w:tc>
      </w:tr>
      <w:tr>
        <w:trPr/>
        <w:tc>
          <w:tcPr>
            <w:tcW w:w="6168"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85" w:name="xdx_40F_eus-gaap--PaymentsToAcquirePrope"/>
            <w:bookmarkEnd w:id="185"/>
          </w:p>
        </w:tc>
      </w:tr>
      <w:tr>
        <w:trPr/>
        <w:tc>
          <w:tcPr>
            <w:tcW w:w="6168" w:type="dxa"/>
            <w:tcBorders/>
            <w:shd w:fill="FFFFFF" w:val="clear"/>
            <w:vAlign w:val="center"/>
          </w:tcPr>
          <w:p>
            <w:pPr>
              <w:pStyle w:val="TableContents"/>
              <w:bidi w:val="0"/>
              <w:spacing w:before="0" w:after="283"/>
              <w:jc w:val="left"/>
              <w:rPr/>
            </w:pPr>
            <w:r>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(18</w:t>
            </w:r>
          </w:p>
        </w:tc>
        <w:tc>
          <w:tcPr>
            <w:tcW w:w="209"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(38</w:t>
            </w:r>
          </w:p>
        </w:tc>
        <w:tc>
          <w:tcPr>
            <w:tcW w:w="113" w:type="dxa"/>
            <w:tcBorders/>
            <w:shd w:fill="FFFFFF" w:val="clear"/>
            <w:vAlign w:val="center"/>
          </w:tcPr>
          <w:p>
            <w:pPr>
              <w:pStyle w:val="TableContents"/>
              <w:bidi w:val="0"/>
              <w:spacing w:before="0" w:after="283"/>
              <w:jc w:val="left"/>
              <w:rPr/>
            </w:pPr>
            <w:r>
              <w:rPr/>
              <w:t>)</w:t>
            </w:r>
            <w:bookmarkStart w:id="186" w:name="xdx_40E_eus-gaap--ProceedsFromSaleOfProp"/>
            <w:bookmarkEnd w:id="186"/>
          </w:p>
        </w:tc>
      </w:tr>
      <w:tr>
        <w:trPr/>
        <w:tc>
          <w:tcPr>
            <w:tcW w:w="6168" w:type="dxa"/>
            <w:tcBorders/>
            <w:shd w:fill="CCEEFF" w:val="clear"/>
            <w:vAlign w:val="center"/>
          </w:tcPr>
          <w:p>
            <w:pPr>
              <w:pStyle w:val="TableContents"/>
              <w:bidi w:val="0"/>
              <w:spacing w:before="0" w:after="283"/>
              <w:jc w:val="left"/>
              <w:rPr/>
            </w:pPr>
            <w:r>
              <w:rPr/>
              <w:t>Sale of property and equipment</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w:t>
            </w:r>
          </w:p>
        </w:tc>
        <w:tc>
          <w:tcPr>
            <w:tcW w:w="20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2</w:t>
            </w:r>
          </w:p>
        </w:tc>
        <w:tc>
          <w:tcPr>
            <w:tcW w:w="113" w:type="dxa"/>
            <w:tcBorders/>
            <w:shd w:fill="CCEEFF" w:val="clear"/>
            <w:vAlign w:val="center"/>
          </w:tcPr>
          <w:p>
            <w:pPr>
              <w:pStyle w:val="TableContents"/>
              <w:bidi w:val="0"/>
              <w:spacing w:before="0" w:after="283"/>
              <w:jc w:val="left"/>
              <w:rPr/>
            </w:pPr>
            <w:r>
              <w:rPr/>
              <w:t> </w:t>
            </w:r>
            <w:bookmarkStart w:id="187" w:name="xdx_403_eus-gaap--PaymentsToAcquireHeldT"/>
            <w:bookmarkEnd w:id="187"/>
          </w:p>
        </w:tc>
      </w:tr>
      <w:tr>
        <w:trPr/>
        <w:tc>
          <w:tcPr>
            <w:tcW w:w="6168" w:type="dxa"/>
            <w:tcBorders/>
            <w:shd w:fill="FFFFFF" w:val="clear"/>
            <w:vAlign w:val="center"/>
          </w:tcPr>
          <w:p>
            <w:pPr>
              <w:pStyle w:val="TableContents"/>
              <w:bidi w:val="0"/>
              <w:spacing w:before="0" w:after="283"/>
              <w:jc w:val="left"/>
              <w:rPr/>
            </w:pPr>
            <w:r>
              <w:rPr/>
              <w:t>Purchases of marketable securities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(5,120</w:t>
            </w:r>
          </w:p>
        </w:tc>
        <w:tc>
          <w:tcPr>
            <w:tcW w:w="209"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(8,379</w:t>
            </w:r>
          </w:p>
        </w:tc>
        <w:tc>
          <w:tcPr>
            <w:tcW w:w="113" w:type="dxa"/>
            <w:tcBorders/>
            <w:shd w:fill="FFFFFF" w:val="clear"/>
            <w:vAlign w:val="center"/>
          </w:tcPr>
          <w:p>
            <w:pPr>
              <w:pStyle w:val="TableContents"/>
              <w:bidi w:val="0"/>
              <w:spacing w:before="0" w:after="283"/>
              <w:jc w:val="left"/>
              <w:rPr/>
            </w:pPr>
            <w:r>
              <w:rPr/>
              <w:t>)</w:t>
            </w:r>
            <w:bookmarkStart w:id="188" w:name="xdx_405_eus-gaap--ProceedsFromSaleAndMat"/>
            <w:bookmarkEnd w:id="188"/>
          </w:p>
        </w:tc>
      </w:tr>
      <w:tr>
        <w:trPr/>
        <w:tc>
          <w:tcPr>
            <w:tcW w:w="6168" w:type="dxa"/>
            <w:tcBorders/>
            <w:shd w:fill="CCEEFF" w:val="clear"/>
            <w:vAlign w:val="center"/>
          </w:tcPr>
          <w:p>
            <w:pPr>
              <w:pStyle w:val="TableContents"/>
              <w:bidi w:val="0"/>
              <w:spacing w:before="0" w:after="283"/>
              <w:jc w:val="left"/>
              <w:rPr/>
            </w:pPr>
            <w:r>
              <w:rPr/>
              <w:t>Proceeds from sales of marketable securities</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2,680</w:t>
            </w:r>
          </w:p>
        </w:tc>
        <w:tc>
          <w:tcPr>
            <w:tcW w:w="20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2,039</w:t>
            </w:r>
          </w:p>
        </w:tc>
        <w:tc>
          <w:tcPr>
            <w:tcW w:w="113" w:type="dxa"/>
            <w:tcBorders/>
            <w:shd w:fill="CCEEFF" w:val="clear"/>
            <w:vAlign w:val="center"/>
          </w:tcPr>
          <w:p>
            <w:pPr>
              <w:pStyle w:val="TableContents"/>
              <w:bidi w:val="0"/>
              <w:spacing w:before="0" w:after="283"/>
              <w:jc w:val="left"/>
              <w:rPr/>
            </w:pPr>
            <w:r>
              <w:rPr/>
              <w:t> </w:t>
            </w:r>
            <w:bookmarkStart w:id="189" w:name="xdx_40F_eus-gaap--ProceedsFromSaleAndMat"/>
            <w:bookmarkEnd w:id="189"/>
          </w:p>
        </w:tc>
      </w:tr>
      <w:tr>
        <w:trPr/>
        <w:tc>
          <w:tcPr>
            <w:tcW w:w="6168" w:type="dxa"/>
            <w:tcBorders/>
            <w:shd w:fill="FFFFFF" w:val="clear"/>
            <w:vAlign w:val="center"/>
          </w:tcPr>
          <w:p>
            <w:pPr>
              <w:pStyle w:val="TableContents"/>
              <w:bidi w:val="0"/>
              <w:spacing w:before="0" w:after="283"/>
              <w:jc w:val="left"/>
              <w:rPr/>
            </w:pPr>
            <w:r>
              <w:rPr/>
              <w:t>Proceeds from maturities of marketable securities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2,500</w:t>
            </w:r>
          </w:p>
        </w:tc>
        <w:tc>
          <w:tcPr>
            <w:tcW w:w="209"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5,389</w:t>
            </w:r>
          </w:p>
        </w:tc>
        <w:tc>
          <w:tcPr>
            <w:tcW w:w="113" w:type="dxa"/>
            <w:tcBorders/>
            <w:shd w:fill="FFFFFF" w:val="clear"/>
            <w:vAlign w:val="center"/>
          </w:tcPr>
          <w:p>
            <w:pPr>
              <w:pStyle w:val="TableContents"/>
              <w:bidi w:val="0"/>
              <w:spacing w:before="0" w:after="283"/>
              <w:jc w:val="left"/>
              <w:rPr/>
            </w:pPr>
            <w:r>
              <w:rPr/>
              <w:t> </w:t>
            </w:r>
            <w:bookmarkStart w:id="190" w:name="xdx_402_eus-gaap--PaymentsForProceedsFro"/>
            <w:bookmarkEnd w:id="190"/>
          </w:p>
        </w:tc>
      </w:tr>
      <w:tr>
        <w:trPr/>
        <w:tc>
          <w:tcPr>
            <w:tcW w:w="6168" w:type="dxa"/>
            <w:tcBorders/>
            <w:shd w:fill="CCEEFF" w:val="clear"/>
            <w:vAlign w:val="center"/>
          </w:tcPr>
          <w:p>
            <w:pPr>
              <w:pStyle w:val="TableContents"/>
              <w:bidi w:val="0"/>
              <w:spacing w:before="0" w:after="283"/>
              <w:jc w:val="left"/>
              <w:rPr/>
            </w:pPr>
            <w:r>
              <w:rPr/>
              <w:t>Proceeds from short term deposit</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0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113" w:type="dxa"/>
            <w:tcBorders/>
            <w:shd w:fill="CCEEFF" w:val="clear"/>
            <w:vAlign w:val="center"/>
          </w:tcPr>
          <w:p>
            <w:pPr>
              <w:pStyle w:val="TableContents"/>
              <w:bidi w:val="0"/>
              <w:spacing w:before="0" w:after="283"/>
              <w:jc w:val="left"/>
              <w:rPr/>
            </w:pPr>
            <w:r>
              <w:rPr/>
              <w:t> </w:t>
            </w:r>
            <w:bookmarkStart w:id="191" w:name="xdx_40E_eus-gaap--NetCashProvidedByUsedI"/>
            <w:bookmarkEnd w:id="191"/>
          </w:p>
        </w:tc>
      </w:tr>
      <w:tr>
        <w:trPr/>
        <w:tc>
          <w:tcPr>
            <w:tcW w:w="6168" w:type="dxa"/>
            <w:tcBorders/>
            <w:shd w:fill="FFFFFF" w:val="clear"/>
            <w:vAlign w:val="center"/>
          </w:tcPr>
          <w:p>
            <w:pPr>
              <w:pStyle w:val="TableContents"/>
              <w:bidi w:val="0"/>
              <w:spacing w:before="0" w:after="283"/>
              <w:jc w:val="left"/>
              <w:rPr/>
            </w:pPr>
            <w:r>
              <w:rPr/>
              <w:t>Net cash flows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shd w:fill="FFFFFF" w:val="clear"/>
            <w:tcMar>
              <w:bottom w:w="28" w:type="dxa"/>
            </w:tcMar>
            <w:vAlign w:val="center"/>
          </w:tcPr>
          <w:p>
            <w:pPr>
              <w:pStyle w:val="TableContents"/>
              <w:bidi w:val="0"/>
              <w:spacing w:before="0" w:after="283"/>
              <w:jc w:val="right"/>
              <w:rPr/>
            </w:pPr>
            <w:r>
              <w:rPr/>
              <w:t>42</w:t>
            </w:r>
          </w:p>
        </w:tc>
        <w:tc>
          <w:tcPr>
            <w:tcW w:w="209"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shd w:fill="FFFFFF" w:val="clear"/>
            <w:tcMar>
              <w:bottom w:w="28" w:type="dxa"/>
            </w:tcMar>
            <w:vAlign w:val="center"/>
          </w:tcPr>
          <w:p>
            <w:pPr>
              <w:pStyle w:val="TableContents"/>
              <w:bidi w:val="0"/>
              <w:spacing w:before="0" w:after="283"/>
              <w:jc w:val="right"/>
              <w:rPr/>
            </w:pPr>
            <w:r>
              <w:rPr/>
              <w:t>(984</w:t>
            </w:r>
          </w:p>
        </w:tc>
        <w:tc>
          <w:tcPr>
            <w:tcW w:w="113" w:type="dxa"/>
            <w:tcBorders/>
            <w:shd w:fill="FFFFFF" w:val="clear"/>
            <w:vAlign w:val="center"/>
          </w:tcPr>
          <w:p>
            <w:pPr>
              <w:pStyle w:val="TableContents"/>
              <w:bidi w:val="0"/>
              <w:spacing w:before="0" w:after="283"/>
              <w:jc w:val="left"/>
              <w:rPr/>
            </w:pPr>
            <w:r>
              <w:rPr/>
              <w:t>)</w:t>
            </w:r>
          </w:p>
        </w:tc>
      </w:tr>
      <w:tr>
        <w:trPr/>
        <w:tc>
          <w:tcPr>
            <w:tcW w:w="61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2" w:name="xdx_40F_eus-gaap--NetCashProvidedByUsedI"/>
            <w:bookmarkEnd w:id="192"/>
          </w:p>
        </w:tc>
      </w:tr>
      <w:tr>
        <w:trPr/>
        <w:tc>
          <w:tcPr>
            <w:tcW w:w="6168"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93" w:name="xdx_401_eus-gaap--ProceedsFromIssuanceOr"/>
            <w:bookmarkEnd w:id="193"/>
          </w:p>
        </w:tc>
      </w:tr>
      <w:tr>
        <w:trPr/>
        <w:tc>
          <w:tcPr>
            <w:tcW w:w="6168" w:type="dxa"/>
            <w:tcBorders/>
            <w:shd w:fill="CCEEFF" w:val="clear"/>
            <w:vAlign w:val="center"/>
          </w:tcPr>
          <w:p>
            <w:pPr>
              <w:pStyle w:val="TableContents"/>
              <w:bidi w:val="0"/>
              <w:spacing w:before="0" w:after="283"/>
              <w:jc w:val="left"/>
              <w:rPr/>
            </w:pPr>
            <w:r>
              <w:rPr/>
              <w:t>Issuance of common stock and warrants, net of issuance costs</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shd w:fill="CCEEFF" w:val="clear"/>
            <w:tcMar>
              <w:bottom w:w="28" w:type="dxa"/>
            </w:tcMar>
            <w:vAlign w:val="center"/>
          </w:tcPr>
          <w:p>
            <w:pPr>
              <w:pStyle w:val="TableContents"/>
              <w:bidi w:val="0"/>
              <w:spacing w:before="0" w:after="283"/>
              <w:jc w:val="right"/>
              <w:rPr/>
            </w:pPr>
            <w:r>
              <w:rPr/>
              <w:t>5,104</w:t>
            </w:r>
          </w:p>
        </w:tc>
        <w:tc>
          <w:tcPr>
            <w:tcW w:w="20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shd w:fill="CCEEFF" w:val="clear"/>
            <w:tcMar>
              <w:bottom w:w="28" w:type="dxa"/>
            </w:tcMar>
            <w:vAlign w:val="center"/>
          </w:tcPr>
          <w:p>
            <w:pPr>
              <w:pStyle w:val="TableContents"/>
              <w:bidi w:val="0"/>
              <w:spacing w:before="0" w:after="283"/>
              <w:jc w:val="right"/>
              <w:rPr/>
            </w:pPr>
            <w:r>
              <w:rPr/>
              <w:t>6,558</w:t>
            </w:r>
          </w:p>
        </w:tc>
        <w:tc>
          <w:tcPr>
            <w:tcW w:w="113" w:type="dxa"/>
            <w:tcBorders/>
            <w:shd w:fill="CCEEFF" w:val="clear"/>
            <w:vAlign w:val="center"/>
          </w:tcPr>
          <w:p>
            <w:pPr>
              <w:pStyle w:val="TableContents"/>
              <w:bidi w:val="0"/>
              <w:spacing w:before="0" w:after="283"/>
              <w:jc w:val="left"/>
              <w:rPr/>
            </w:pPr>
            <w:r>
              <w:rPr/>
              <w:t> </w:t>
            </w:r>
            <w:bookmarkStart w:id="194" w:name="xdx_408_eus-gaap--NetCashProvidedByUsedI"/>
            <w:bookmarkEnd w:id="194"/>
          </w:p>
        </w:tc>
      </w:tr>
      <w:tr>
        <w:trPr/>
        <w:tc>
          <w:tcPr>
            <w:tcW w:w="6168" w:type="dxa"/>
            <w:tcBorders/>
            <w:shd w:fill="FFFFFF" w:val="clear"/>
            <w:vAlign w:val="center"/>
          </w:tcPr>
          <w:p>
            <w:pPr>
              <w:pStyle w:val="TableContents"/>
              <w:bidi w:val="0"/>
              <w:spacing w:before="0" w:after="283"/>
              <w:jc w:val="left"/>
              <w:rPr/>
            </w:pPr>
            <w:r>
              <w:rPr/>
              <w:t>Net cash flows provided by financing activities</w:t>
            </w:r>
          </w:p>
        </w:tc>
        <w:tc>
          <w:tcPr>
            <w:tcW w:w="60"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shd w:fill="FFFFFF" w:val="clear"/>
            <w:tcMar>
              <w:bottom w:w="28" w:type="dxa"/>
            </w:tcMar>
            <w:vAlign w:val="center"/>
          </w:tcPr>
          <w:p>
            <w:pPr>
              <w:pStyle w:val="TableContents"/>
              <w:bidi w:val="0"/>
              <w:spacing w:before="0" w:after="283"/>
              <w:jc w:val="right"/>
              <w:rPr/>
            </w:pPr>
            <w:r>
              <w:rPr/>
              <w:t>5,104</w:t>
            </w:r>
          </w:p>
        </w:tc>
        <w:tc>
          <w:tcPr>
            <w:tcW w:w="209"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shd w:fill="FFFFFF" w:val="clear"/>
            <w:tcMar>
              <w:bottom w:w="28" w:type="dxa"/>
            </w:tcMar>
            <w:vAlign w:val="center"/>
          </w:tcPr>
          <w:p>
            <w:pPr>
              <w:pStyle w:val="TableContents"/>
              <w:bidi w:val="0"/>
              <w:spacing w:before="0" w:after="283"/>
              <w:jc w:val="right"/>
              <w:rPr/>
            </w:pPr>
            <w:r>
              <w:rPr/>
              <w:t>6,558</w:t>
            </w:r>
          </w:p>
        </w:tc>
        <w:tc>
          <w:tcPr>
            <w:tcW w:w="113" w:type="dxa"/>
            <w:tcBorders/>
            <w:shd w:fill="FFFFFF" w:val="clear"/>
            <w:vAlign w:val="center"/>
          </w:tcPr>
          <w:p>
            <w:pPr>
              <w:pStyle w:val="TableContents"/>
              <w:bidi w:val="0"/>
              <w:spacing w:before="0" w:after="283"/>
              <w:jc w:val="left"/>
              <w:rPr/>
            </w:pPr>
            <w:r>
              <w:rPr/>
              <w:t> </w:t>
            </w:r>
          </w:p>
        </w:tc>
      </w:tr>
      <w:tr>
        <w:trPr/>
        <w:tc>
          <w:tcPr>
            <w:tcW w:w="61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5" w:name="xdx_404_eus-gaap--CashCashEquivalentsRes"/>
            <w:bookmarkEnd w:id="195"/>
          </w:p>
        </w:tc>
      </w:tr>
      <w:tr>
        <w:trPr/>
        <w:tc>
          <w:tcPr>
            <w:tcW w:w="6168" w:type="dxa"/>
            <w:tcBorders/>
            <w:shd w:fill="FFFFFF" w:val="clear"/>
            <w:vAlign w:val="center"/>
          </w:tcPr>
          <w:p>
            <w:pPr>
              <w:pStyle w:val="TableContents"/>
              <w:bidi w:val="0"/>
              <w:spacing w:before="0" w:after="283"/>
              <w:jc w:val="left"/>
              <w:rPr/>
            </w:pPr>
            <w:r>
              <w:rPr/>
              <w:t>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(1,990</w:t>
            </w:r>
          </w:p>
        </w:tc>
        <w:tc>
          <w:tcPr>
            <w:tcW w:w="209"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(1,138</w:t>
            </w:r>
          </w:p>
        </w:tc>
        <w:tc>
          <w:tcPr>
            <w:tcW w:w="113" w:type="dxa"/>
            <w:tcBorders/>
            <w:shd w:fill="FFFFFF" w:val="clear"/>
            <w:vAlign w:val="center"/>
          </w:tcPr>
          <w:p>
            <w:pPr>
              <w:pStyle w:val="TableContents"/>
              <w:bidi w:val="0"/>
              <w:spacing w:before="0" w:after="283"/>
              <w:jc w:val="left"/>
              <w:rPr/>
            </w:pPr>
            <w:r>
              <w:rPr/>
              <w:t>)</w:t>
            </w:r>
            <w:bookmarkStart w:id="196" w:name="xdx_401_eus-gaap--CashCashEquivalentsRes"/>
            <w:bookmarkEnd w:id="196"/>
          </w:p>
        </w:tc>
      </w:tr>
      <w:tr>
        <w:trPr/>
        <w:tc>
          <w:tcPr>
            <w:tcW w:w="6168" w:type="dxa"/>
            <w:tcBorders/>
            <w:shd w:fill="CCEEFF" w:val="clear"/>
            <w:vAlign w:val="center"/>
          </w:tcPr>
          <w:p>
            <w:pPr>
              <w:pStyle w:val="TableContents"/>
              <w:bidi w:val="0"/>
              <w:spacing w:before="0" w:after="283"/>
              <w:jc w:val="left"/>
              <w:rPr/>
            </w:pPr>
            <w:r>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shd w:fill="CCEEFF" w:val="clear"/>
            <w:tcMar>
              <w:bottom w:w="28" w:type="dxa"/>
            </w:tcMar>
            <w:vAlign w:val="center"/>
          </w:tcPr>
          <w:p>
            <w:pPr>
              <w:pStyle w:val="TableContents"/>
              <w:bidi w:val="0"/>
              <w:spacing w:before="0" w:after="283"/>
              <w:jc w:val="right"/>
              <w:rPr/>
            </w:pPr>
            <w:r>
              <w:rPr/>
              <w:t>2,517</w:t>
            </w:r>
          </w:p>
        </w:tc>
        <w:tc>
          <w:tcPr>
            <w:tcW w:w="20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shd w:fill="CCEEFF" w:val="clear"/>
            <w:tcMar>
              <w:bottom w:w="28" w:type="dxa"/>
            </w:tcMar>
            <w:vAlign w:val="center"/>
          </w:tcPr>
          <w:p>
            <w:pPr>
              <w:pStyle w:val="TableContents"/>
              <w:bidi w:val="0"/>
              <w:spacing w:before="0" w:after="283"/>
              <w:jc w:val="right"/>
              <w:rPr/>
            </w:pPr>
            <w:r>
              <w:rPr/>
              <w:t>2,519</w:t>
            </w:r>
          </w:p>
        </w:tc>
        <w:tc>
          <w:tcPr>
            <w:tcW w:w="113" w:type="dxa"/>
            <w:tcBorders/>
            <w:shd w:fill="CCEEFF" w:val="clear"/>
            <w:vAlign w:val="center"/>
          </w:tcPr>
          <w:p>
            <w:pPr>
              <w:pStyle w:val="TableContents"/>
              <w:bidi w:val="0"/>
              <w:spacing w:before="0" w:after="283"/>
              <w:jc w:val="left"/>
              <w:rPr/>
            </w:pPr>
            <w:r>
              <w:rPr/>
              <w:t> </w:t>
            </w:r>
            <w:bookmarkStart w:id="197" w:name="xdx_402_eus-gaap--CashCashEquivalentsRes"/>
            <w:bookmarkEnd w:id="197"/>
          </w:p>
        </w:tc>
      </w:tr>
      <w:tr>
        <w:trPr/>
        <w:tc>
          <w:tcPr>
            <w:tcW w:w="6168" w:type="dxa"/>
            <w:tcBorders/>
            <w:shd w:fill="FFFFFF" w:val="clear"/>
            <w:vAlign w:val="center"/>
          </w:tcPr>
          <w:p>
            <w:pPr>
              <w:pStyle w:val="TableContents"/>
              <w:bidi w:val="0"/>
              <w:spacing w:before="0" w:after="283"/>
              <w:jc w:val="left"/>
              <w:rPr/>
            </w:pPr>
            <w:r>
              <w:rPr/>
              <w:t>Cash, cash equivalents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1" w:type="dxa"/>
            <w:tcBorders>
              <w:bottom w:val="double" w:sz="6" w:space="0" w:color="000000"/>
            </w:tcBorders>
            <w:shd w:fill="FFFFFF" w:val="clear"/>
            <w:tcMar>
              <w:bottom w:w="28" w:type="dxa"/>
            </w:tcMar>
            <w:vAlign w:val="center"/>
          </w:tcPr>
          <w:p>
            <w:pPr>
              <w:pStyle w:val="TableContents"/>
              <w:bidi w:val="0"/>
              <w:spacing w:before="0" w:after="283"/>
              <w:jc w:val="right"/>
              <w:rPr/>
            </w:pPr>
            <w:r>
              <w:rPr/>
              <w:t>527</w:t>
            </w:r>
          </w:p>
        </w:tc>
        <w:tc>
          <w:tcPr>
            <w:tcW w:w="209"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1" w:type="dxa"/>
            <w:tcBorders>
              <w:bottom w:val="double" w:sz="6" w:space="0" w:color="000000"/>
            </w:tcBorders>
            <w:shd w:fill="FFFFFF" w:val="clear"/>
            <w:tcMar>
              <w:bottom w:w="28" w:type="dxa"/>
            </w:tcMar>
            <w:vAlign w:val="center"/>
          </w:tcPr>
          <w:p>
            <w:pPr>
              <w:pStyle w:val="TableContents"/>
              <w:bidi w:val="0"/>
              <w:spacing w:before="0" w:after="283"/>
              <w:jc w:val="right"/>
              <w:rPr/>
            </w:pPr>
            <w:r>
              <w:rPr/>
              <w:t>1,381</w:t>
            </w:r>
          </w:p>
        </w:tc>
        <w:tc>
          <w:tcPr>
            <w:tcW w:w="113" w:type="dxa"/>
            <w:tcBorders/>
            <w:shd w:fill="FFFFFF" w:val="clear"/>
            <w:vAlign w:val="center"/>
          </w:tcPr>
          <w:p>
            <w:pPr>
              <w:pStyle w:val="TableContents"/>
              <w:bidi w:val="0"/>
              <w:spacing w:before="0" w:after="283"/>
              <w:jc w:val="left"/>
              <w:rPr/>
            </w:pPr>
            <w:r>
              <w:rPr/>
              <w:t> </w:t>
            </w:r>
          </w:p>
        </w:tc>
      </w:tr>
      <w:tr>
        <w:trPr/>
        <w:tc>
          <w:tcPr>
            <w:tcW w:w="61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8" w:name="xdx_40B_eus-gaap--SupplementalCashFlowEl"/>
            <w:bookmarkEnd w:id="198"/>
          </w:p>
        </w:tc>
      </w:tr>
      <w:tr>
        <w:trPr/>
        <w:tc>
          <w:tcPr>
            <w:tcW w:w="6168" w:type="dxa"/>
            <w:tcBorders/>
            <w:shd w:fill="FFFFFF" w:val="clear"/>
            <w:vAlign w:val="center"/>
          </w:tcPr>
          <w:p>
            <w:pPr>
              <w:pStyle w:val="TableContents"/>
              <w:bidi w:val="0"/>
              <w:spacing w:before="0" w:after="283"/>
              <w:jc w:val="left"/>
              <w:rPr/>
            </w:pPr>
            <w:r>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99" w:name="xdx_409_eus-gaap--InterestPaidNet_i01_pn"/>
            <w:bookmarkEnd w:id="199"/>
          </w:p>
        </w:tc>
      </w:tr>
      <w:tr>
        <w:trPr/>
        <w:tc>
          <w:tcPr>
            <w:tcW w:w="6168" w:type="dxa"/>
            <w:tcBorders/>
            <w:shd w:fill="CCEEFF" w:val="clear"/>
            <w:vAlign w:val="center"/>
          </w:tcPr>
          <w:p>
            <w:pPr>
              <w:pStyle w:val="TableContents"/>
              <w:bidi w:val="0"/>
              <w:spacing w:before="0" w:after="283"/>
              <w:jc w:val="left"/>
              <w:rPr/>
            </w:pPr>
            <w:r>
              <w:rPr/>
              <w:t>Cash received from interest</w:t>
            </w:r>
          </w:p>
        </w:tc>
        <w:tc>
          <w:tcPr>
            <w:tcW w:w="60" w:type="dxa"/>
            <w:tcBorders/>
            <w:shd w:fill="CCEEFF" w:val="clear"/>
            <w:vAlign w:val="center"/>
          </w:tcPr>
          <w:p>
            <w:pPr>
              <w:pStyle w:val="TableContents"/>
              <w:bidi w:val="0"/>
              <w:spacing w:before="0" w:after="283"/>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1" w:type="dxa"/>
            <w:tcBorders>
              <w:bottom w:val="double" w:sz="6" w:space="0" w:color="000000"/>
            </w:tcBorders>
            <w:shd w:fill="CCEEFF" w:val="clear"/>
            <w:tcMar>
              <w:bottom w:w="28" w:type="dxa"/>
            </w:tcMar>
            <w:vAlign w:val="center"/>
          </w:tcPr>
          <w:p>
            <w:pPr>
              <w:pStyle w:val="TableContents"/>
              <w:bidi w:val="0"/>
              <w:spacing w:before="0" w:after="283"/>
              <w:jc w:val="right"/>
              <w:rPr/>
            </w:pPr>
            <w:r>
              <w:rPr/>
              <w:t>168</w:t>
            </w:r>
          </w:p>
        </w:tc>
        <w:tc>
          <w:tcPr>
            <w:tcW w:w="20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1"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113" w:type="dxa"/>
            <w:tcBorders/>
            <w:shd w:fill="CCEEFF" w:val="clear"/>
            <w:vAlign w:val="center"/>
          </w:tcPr>
          <w:p>
            <w:pPr>
              <w:pStyle w:val="TableContents"/>
              <w:bidi w:val="0"/>
              <w:spacing w:before="0" w:after="283"/>
              <w:jc w:val="left"/>
              <w:rPr/>
            </w:pPr>
            <w:r>
              <w:rPr/>
              <w:t> </w:t>
            </w:r>
          </w:p>
        </w:tc>
      </w:tr>
      <w:tr>
        <w:trPr/>
        <w:tc>
          <w:tcPr>
            <w:tcW w:w="61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00" w:name="xdx_40A_eus-gaap--CashFlowNoncashInvesti"/>
            <w:bookmarkEnd w:id="200"/>
          </w:p>
        </w:tc>
      </w:tr>
      <w:tr>
        <w:trPr/>
        <w:tc>
          <w:tcPr>
            <w:tcW w:w="6168" w:type="dxa"/>
            <w:tcBorders/>
            <w:shd w:fill="CCEEFF" w:val="clear"/>
            <w:vAlign w:val="center"/>
          </w:tcPr>
          <w:p>
            <w:pPr>
              <w:pStyle w:val="TableContents"/>
              <w:bidi w:val="0"/>
              <w:spacing w:before="0" w:after="283"/>
              <w:jc w:val="left"/>
              <w:rPr/>
            </w:pPr>
            <w:r>
              <w:rPr/>
              <w:t>Supplemental disclosure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01" w:name="xdx_403_eus-gaap--RightOfUseAssetObtaine"/>
            <w:bookmarkEnd w:id="201"/>
          </w:p>
        </w:tc>
      </w:tr>
      <w:tr>
        <w:trPr/>
        <w:tc>
          <w:tcPr>
            <w:tcW w:w="6168" w:type="dxa"/>
            <w:tcBorders/>
            <w:shd w:fill="FFFFFF" w:val="clear"/>
            <w:vAlign w:val="center"/>
          </w:tcPr>
          <w:p>
            <w:pPr>
              <w:pStyle w:val="TableContents"/>
              <w:bidi w:val="0"/>
              <w:spacing w:before="0" w:after="283"/>
              <w:jc w:val="left"/>
              <w:rPr/>
            </w:pPr>
            <w:r>
              <w:rPr/>
              <w:t>Right-of-use assets obtained in exchange for lease liabilities</w:t>
            </w:r>
          </w:p>
        </w:tc>
        <w:tc>
          <w:tcPr>
            <w:tcW w:w="60"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1" w:type="dxa"/>
            <w:tcBorders>
              <w:bottom w:val="double" w:sz="6" w:space="0" w:color="000000"/>
            </w:tcBorders>
            <w:shd w:fill="FFFFFF" w:val="clear"/>
            <w:tcMar>
              <w:bottom w:w="28" w:type="dxa"/>
            </w:tcMar>
            <w:vAlign w:val="center"/>
          </w:tcPr>
          <w:p>
            <w:pPr>
              <w:pStyle w:val="TableContents"/>
              <w:bidi w:val="0"/>
              <w:spacing w:before="0" w:after="283"/>
              <w:jc w:val="right"/>
              <w:rPr/>
            </w:pPr>
            <w:r>
              <w:rPr/>
              <w:t>37</w:t>
            </w:r>
          </w:p>
        </w:tc>
        <w:tc>
          <w:tcPr>
            <w:tcW w:w="209"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1" w:type="dxa"/>
            <w:tcBorders>
              <w:bottom w:val="double" w:sz="6" w:space="0" w:color="000000"/>
            </w:tcBorders>
            <w:shd w:fill="FFFFFF" w:val="clear"/>
            <w:tcMar>
              <w:bottom w:w="28" w:type="dxa"/>
            </w:tcMar>
            <w:vAlign w:val="center"/>
          </w:tcPr>
          <w:p>
            <w:pPr>
              <w:pStyle w:val="TableContents"/>
              <w:bidi w:val="0"/>
              <w:spacing w:before="0" w:after="283"/>
              <w:jc w:val="right"/>
              <w:rPr/>
            </w:pPr>
            <w:r>
              <w:rPr/>
              <w:t>20</w:t>
            </w:r>
          </w:p>
        </w:tc>
        <w:tc>
          <w:tcPr>
            <w:tcW w:w="113" w:type="dxa"/>
            <w:tcBorders/>
            <w:shd w:fill="FFFFFF" w:val="clear"/>
            <w:vAlign w:val="center"/>
          </w:tcPr>
          <w:p>
            <w:pPr>
              <w:pStyle w:val="TableContents"/>
              <w:bidi w:val="0"/>
              <w:spacing w:before="0" w:after="283"/>
              <w:jc w:val="left"/>
              <w:rPr/>
            </w:pPr>
            <w:r>
              <w:rPr/>
              <w:t> </w:t>
            </w:r>
            <w:bookmarkStart w:id="202" w:name="xdx_400_eus-gaap--StockIssued1_i01_pn3n3"/>
            <w:bookmarkEnd w:id="202"/>
          </w:p>
        </w:tc>
      </w:tr>
      <w:tr>
        <w:trPr/>
        <w:tc>
          <w:tcPr>
            <w:tcW w:w="6168" w:type="dxa"/>
            <w:tcBorders/>
            <w:shd w:fill="CCEEFF" w:val="clear"/>
            <w:vAlign w:val="center"/>
          </w:tcPr>
          <w:p>
            <w:pPr>
              <w:pStyle w:val="TableContents"/>
              <w:bidi w:val="0"/>
              <w:spacing w:before="0" w:after="283"/>
              <w:jc w:val="left"/>
              <w:rPr/>
            </w:pPr>
            <w:r>
              <w:rPr/>
              <w:t>Legal settlement settled through issuance of common stock</w:t>
            </w:r>
          </w:p>
        </w:tc>
        <w:tc>
          <w:tcPr>
            <w:tcW w:w="60" w:type="dxa"/>
            <w:tcBorders/>
            <w:shd w:fill="CCEEFF" w:val="clear"/>
            <w:vAlign w:val="center"/>
          </w:tcPr>
          <w:p>
            <w:pPr>
              <w:pStyle w:val="TableContents"/>
              <w:bidi w:val="0"/>
              <w:spacing w:before="0" w:after="283"/>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1" w:type="dxa"/>
            <w:tcBorders>
              <w:bottom w:val="double" w:sz="6" w:space="0" w:color="000000"/>
            </w:tcBorders>
            <w:shd w:fill="CCEEFF" w:val="clear"/>
            <w:tcMar>
              <w:bottom w:w="28" w:type="dxa"/>
            </w:tcMar>
            <w:vAlign w:val="center"/>
          </w:tcPr>
          <w:p>
            <w:pPr>
              <w:pStyle w:val="TableContents"/>
              <w:bidi w:val="0"/>
              <w:spacing w:before="0" w:after="283"/>
              <w:jc w:val="right"/>
              <w:rPr/>
            </w:pPr>
            <w:r>
              <w:rPr/>
              <w:t>1,111</w:t>
            </w:r>
          </w:p>
        </w:tc>
        <w:tc>
          <w:tcPr>
            <w:tcW w:w="20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03" w:name="xdx_407_ecustom--AccruedExecutiveBonusSe"/>
            <w:bookmarkEnd w:id="203"/>
          </w:p>
        </w:tc>
      </w:tr>
      <w:tr>
        <w:trPr/>
        <w:tc>
          <w:tcPr>
            <w:tcW w:w="6168" w:type="dxa"/>
            <w:tcBorders/>
            <w:shd w:fill="FFFFFF" w:val="clear"/>
            <w:vAlign w:val="center"/>
          </w:tcPr>
          <w:p>
            <w:pPr>
              <w:pStyle w:val="TableContents"/>
              <w:bidi w:val="0"/>
              <w:spacing w:before="0" w:after="283"/>
              <w:jc w:val="left"/>
              <w:rPr/>
            </w:pPr>
            <w:r>
              <w:rPr/>
              <w:t>Accrued executive bonus settled through grant of stock-option awards</w:t>
            </w:r>
          </w:p>
        </w:tc>
        <w:tc>
          <w:tcPr>
            <w:tcW w:w="60"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1" w:type="dxa"/>
            <w:tcBorders>
              <w:bottom w:val="double" w:sz="6" w:space="0" w:color="000000"/>
            </w:tcBorders>
            <w:shd w:fill="FFFFFF" w:val="clear"/>
            <w:tcMar>
              <w:bottom w:w="28" w:type="dxa"/>
            </w:tcMar>
            <w:vAlign w:val="center"/>
          </w:tcPr>
          <w:p>
            <w:pPr>
              <w:pStyle w:val="TableContents"/>
              <w:bidi w:val="0"/>
              <w:spacing w:before="0" w:after="283"/>
              <w:jc w:val="right"/>
              <w:rPr/>
            </w:pPr>
            <w:r>
              <w:rPr/>
              <w:t>76</w:t>
            </w:r>
          </w:p>
        </w:tc>
        <w:tc>
          <w:tcPr>
            <w:tcW w:w="209"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204" w:name="a_005"/>
      <w:bookmarkEnd w:id="204"/>
      <w:r>
        <w:rPr>
          <w:rFonts w:ascii="Times New Roman;Times;Serif" w:hAnsi="Times New Roman;Times;Serif"/>
          <w:b/>
          <w:i w:val="false"/>
          <w:caps w:val="false"/>
          <w:smallCaps w:val="false"/>
          <w:sz w:val="20"/>
          <w:u w:val="single"/>
        </w:rPr>
        <w:t>MICROBOT MEDICAL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Interim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05" w:name="xdx_80C_eus-gaap--NatureOfOperations_z1c"/>
      <w:bookmarkEnd w:id="205"/>
      <w:r>
        <w:rPr>
          <w:rFonts w:ascii="Times New Roman;Times;Serif" w:hAnsi="Times New Roman;Times;Serif"/>
          <w:b/>
          <w:i w:val="false"/>
          <w:caps w:val="false"/>
          <w:smallCaps w:val="false"/>
          <w:sz w:val="20"/>
        </w:rPr>
        <w:t xml:space="preserve">NOTE 1 – </w:t>
      </w:r>
      <w:bookmarkStart w:id="206" w:name="xdx_82A_zwLbwY2mVkq1"/>
      <w:bookmarkEnd w:id="206"/>
      <w:r>
        <w:rPr>
          <w:rFonts w:ascii="Times New Roman;Times;Serif" w:hAnsi="Times New Roman;Times;Serif"/>
          <w:b/>
          <w:i w:val="false"/>
          <w:caps w:val="false"/>
          <w:smallCaps w:val="false"/>
          <w:sz w:val="20"/>
        </w:rPr>
        <w:t>GENERAL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Description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incorporated on </w:t>
      </w:r>
      <w:bookmarkStart w:id="207" w:name="xdx_903_edei--EntityIncorporationDateOfI"/>
      <w:bookmarkEnd w:id="207"/>
      <w:r>
        <w:rPr>
          <w:rFonts w:ascii="Times New Roman;Times;Serif" w:hAnsi="Times New Roman;Times;Serif"/>
          <w:b w:val="false"/>
          <w:i w:val="false"/>
          <w:caps w:val="false"/>
          <w:smallCaps w:val="false"/>
          <w:sz w:val="20"/>
        </w:rPr>
        <w:t>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subsidiary are sometimes collectively referred to as the “Company” as the context may require.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Risk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generated revenues from its operations. As of September 30, 2024, the Company had cash equivalents and a marketable securities balance of approximately $</w:t>
      </w:r>
      <w:bookmarkStart w:id="208" w:name="xdx_902_eus-gaap--CashCashEquivalentsAnd"/>
      <w:bookmarkEnd w:id="208"/>
      <w:r>
        <w:rPr>
          <w:rFonts w:ascii="Times New Roman;Times;Serif" w:hAnsi="Times New Roman;Times;Serif"/>
          <w:b w:val="false"/>
          <w:i w:val="false"/>
          <w:caps w:val="false"/>
          <w:smallCaps w:val="false"/>
          <w:sz w:val="20"/>
        </w:rPr>
        <w:t>4,338, excluding restricted cash. Due to continuing research and development activities, the Company expects to continue to incur additional losses for the foreseeable future, as well as to seek to raise additional funds through future issuances of either debt and/or equity securities and possibly additional grants from government institutions. The Company will require additional capital and its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these conditions raise substantial doubt about the Company’s ability to continue as a 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 in Israel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the Company’s operations are primarily based, suffered a surprise attack by hostile forces from Gaza, which led to ongoing military operations and armed conflicts in the Gaza Strip. It continues to evolve and has since spread to northern Israel and threatens to spread to other Middle Eastern countries including Lebanon and Iran. These military operations and related activities are on-going as of the issuance date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 military operation and related matters, including: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That some of the Company’s Israeli subcontractors, vendors, suppliers and other companies in which the Company relies, are currently only partially active, as instructed by the relevant authorities;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slowdown in the number of international flights in and out of Israel;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Reduced workforce due to military service of some employees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the Quarterly Report on Form 10-Q of which these financial statements are a part,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Unaudited Interim Condensed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have been prepared in accordance with U.S. GAAP for interim condensed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 These interim condensed consolidated financial statements should be read in conjunction with the latest audited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results for the nine-month period ended September 30, 2024 are not necessarily indicative of the results that may be expected for the year ending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09" w:name="xdx_804_eus-gaap--SignificantAccountingP"/>
      <w:bookmarkEnd w:id="209"/>
      <w:r>
        <w:rPr>
          <w:rFonts w:ascii="Times New Roman;Times;Serif" w:hAnsi="Times New Roman;Times;Serif"/>
          <w:b/>
          <w:i w:val="false"/>
          <w:caps w:val="false"/>
          <w:smallCaps w:val="false"/>
          <w:sz w:val="20"/>
        </w:rPr>
        <w:t xml:space="preserve">NOTE 2 - </w:t>
      </w:r>
      <w:bookmarkStart w:id="210" w:name="xdx_822_zo6L1rrkAmfj"/>
      <w:bookmarkEnd w:id="210"/>
      <w:r>
        <w:rPr>
          <w:rFonts w:ascii="Times New Roman;Times;Serif" w:hAnsi="Times New Roman;Times;Serif"/>
          <w:b/>
          <w:i w:val="false"/>
          <w:caps w:val="false"/>
          <w:smallCaps w:val="false"/>
          <w:sz w:val="20"/>
        </w:rPr>
        <w:t>SUMMARY OF SIGNIFICANT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followed in the preparation of these unaudited interim condensed consolidated financial statements are identical to those applied in the preparation of the Company’s latest annual audited financial statements, except if noted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11" w:name="xdx_86F_zR3SHY358rIf"/>
      <w:bookmarkStart w:id="212" w:name="xdx_849_eus-gaap--UseOfEstimates_zIj8sS9"/>
      <w:bookmarkEnd w:id="211"/>
      <w:bookmarkEnd w:id="212"/>
      <w:r>
        <w:rPr>
          <w:rFonts w:ascii="Times New Roman;Times;Serif" w:hAnsi="Times New Roman;Times;Serif"/>
          <w:b/>
          <w:i w:val="false"/>
          <w:caps w:val="false"/>
          <w:smallCaps w:val="false"/>
          <w:sz w:val="20"/>
        </w:rPr>
        <w:t>Use of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13" w:name="xdx_868_zk5mseC6uL"/>
      <w:bookmarkStart w:id="214" w:name="xdx_845_eus-gaap--FairValueOfFinancialIn"/>
      <w:bookmarkEnd w:id="213"/>
      <w:bookmarkEnd w:id="214"/>
      <w:r>
        <w:rPr>
          <w:rFonts w:ascii="Times New Roman;Times;Serif" w:hAnsi="Times New Roman;Times;Serif"/>
          <w:b/>
          <w:i w:val="false"/>
          <w:caps w:val="false"/>
          <w:smallCaps w:val="false"/>
          <w:sz w:val="20"/>
        </w:rPr>
        <w:t>Fair value of financial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and cash equivalents, other receivables and other accounts payable and accrued liabilities approximate their fair value due to the short-term maturity of these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1</w:t>
      </w:r>
      <w:r>
        <w:rPr>
          <w:rFonts w:ascii="Times New Roman;Times;Serif" w:hAnsi="Times New Roman;Times;Serif"/>
          <w:b w:val="false"/>
          <w:i w:val="false"/>
          <w:caps w:val="false"/>
          <w:smallCaps w:val="false"/>
          <w:sz w:val="20"/>
        </w:rPr>
        <w:t xml:space="preserve"> - Quoted prices (unadjusted) in active markets for identical assets and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xml:space="preserve">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Level 3 </w:t>
      </w:r>
      <w:r>
        <w:rPr>
          <w:rFonts w:ascii="Times New Roman;Times;Serif" w:hAnsi="Times New Roman;Times;Serif"/>
          <w:b w:val="false"/>
          <w:i w:val="false"/>
          <w:caps w:val="false"/>
          <w:smallCaps w:val="false"/>
          <w:sz w:val="20"/>
        </w:rPr>
        <w:t>- Unobservable inputs that are supported by little or no market activity and that are significant to the fair value of the assets or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215" w:name="xdx_89E_eus-gaap--ScheduleOfFairValueAss"/>
      <w:bookmarkEnd w:id="215"/>
      <w:r>
        <w:rPr>
          <w:rFonts w:ascii="Times New Roman;Times;Serif" w:hAnsi="Times New Roman;Times;Serif"/>
          <w:b w:val="false"/>
          <w:i w:val="false"/>
          <w:caps w:val="false"/>
          <w:smallCaps w:val="false"/>
          <w:sz w:val="20"/>
        </w:rPr>
        <w:t>The following tables summarizes the Company’s financial assets subject to fair value measurement and the level of inputs used in such measurements as of September 30, 2024 and December 31, 2023:</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bookmarkStart w:id="216" w:name="xdx_8B8_zc7bNoCHYWC6"/>
      <w:bookmarkEnd w:id="216"/>
      <w:r>
        <w:rPr>
          <w:rFonts w:ascii="Times New Roman;Times;Serif" w:hAnsi="Times New Roman;Times;Serif"/>
          <w:b w:val="false"/>
          <w:i w:val="false"/>
          <w:caps w:val="false"/>
          <w:smallCaps w:val="false"/>
          <w:sz w:val="20"/>
        </w:rPr>
        <w:t>SCHEDULE OF FINANCIAL ASSETS FAIR VALUE MEASUREMENT</w:t>
      </w:r>
    </w:p>
    <w:tbl>
      <w:tblPr>
        <w:tblW w:w="6392" w:type="dxa"/>
        <w:jc w:val="left"/>
        <w:tblInd w:w="0" w:type="dxa"/>
        <w:tblLayout w:type="fixed"/>
        <w:tblCellMar>
          <w:top w:w="0" w:type="dxa"/>
          <w:left w:w="0" w:type="dxa"/>
          <w:bottom w:w="0" w:type="dxa"/>
          <w:right w:w="0" w:type="dxa"/>
        </w:tblCellMar>
      </w:tblPr>
      <w:tblGrid>
        <w:gridCol w:w="2705"/>
        <w:gridCol w:w="60"/>
        <w:gridCol w:w="163"/>
        <w:gridCol w:w="652"/>
        <w:gridCol w:w="69"/>
        <w:gridCol w:w="69"/>
        <w:gridCol w:w="163"/>
        <w:gridCol w:w="652"/>
        <w:gridCol w:w="69"/>
        <w:gridCol w:w="69"/>
        <w:gridCol w:w="449"/>
        <w:gridCol w:w="305"/>
        <w:gridCol w:w="69"/>
        <w:gridCol w:w="69"/>
        <w:gridCol w:w="449"/>
        <w:gridCol w:w="305"/>
        <w:gridCol w:w="75"/>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55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September 30, 2024</w:t>
            </w:r>
          </w:p>
        </w:tc>
        <w:tc>
          <w:tcPr>
            <w:tcW w:w="75" w:type="dxa"/>
            <w:tcBorders/>
            <w:vAlign w:val="center"/>
          </w:tcPr>
          <w:p>
            <w:pPr>
              <w:pStyle w:val="TableContents"/>
              <w:bidi w:val="0"/>
              <w:spacing w:before="0" w:after="283"/>
              <w:jc w:val="center"/>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9" w:type="dxa"/>
            <w:tcBorders/>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9" w:type="dxa"/>
            <w:tcBorders/>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center"/>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9" w:type="dxa"/>
            <w:tcBorders/>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center"/>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center"/>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Money market mutual funds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17" w:name="xdx_981_eus-gaap--AssetsFairValueDisclos"/>
            <w:bookmarkEnd w:id="217"/>
          </w:p>
        </w:tc>
        <w:tc>
          <w:tcPr>
            <w:tcW w:w="652" w:type="dxa"/>
            <w:tcBorders>
              <w:bottom w:val="double" w:sz="6" w:space="0" w:color="000000"/>
            </w:tcBorders>
            <w:shd w:fill="CCEEFF" w:val="clear"/>
            <w:tcMar>
              <w:bottom w:w="28" w:type="dxa"/>
            </w:tcMar>
            <w:vAlign w:val="center"/>
          </w:tcPr>
          <w:p>
            <w:pPr>
              <w:pStyle w:val="TableContents"/>
              <w:bidi w:val="0"/>
              <w:spacing w:before="0" w:after="283"/>
              <w:jc w:val="right"/>
              <w:rPr/>
            </w:pPr>
            <w:r>
              <w:rPr/>
              <w:t>3,859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18" w:name="xdx_988_eus-gaap--AssetsFairValueDisclos"/>
            <w:bookmarkEnd w:id="218"/>
          </w:p>
        </w:tc>
        <w:tc>
          <w:tcPr>
            <w:tcW w:w="652" w:type="dxa"/>
            <w:tcBorders>
              <w:bottom w:val="double" w:sz="6" w:space="0" w:color="000000"/>
            </w:tcBorders>
            <w:shd w:fill="CCEEFF" w:val="clear"/>
            <w:tcMar>
              <w:bottom w:w="28" w:type="dxa"/>
            </w:tcMar>
            <w:vAlign w:val="center"/>
          </w:tcPr>
          <w:p>
            <w:pPr>
              <w:pStyle w:val="TableContents"/>
              <w:bidi w:val="0"/>
              <w:spacing w:before="0" w:after="283"/>
              <w:jc w:val="right"/>
              <w:rPr/>
            </w:pPr>
            <w:r>
              <w:rPr/>
              <w:t>3,859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19" w:name="xdx_988_eus-gaap--AssetsFairValueDisclos"/>
            <w:bookmarkEnd w:id="219"/>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20" w:name="xdx_908_eus-gaap--AssetsFairValueDisclos"/>
            <w:bookmarkEnd w:id="220"/>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2705"/>
        <w:gridCol w:w="60"/>
        <w:gridCol w:w="159"/>
        <w:gridCol w:w="637"/>
        <w:gridCol w:w="68"/>
        <w:gridCol w:w="68"/>
        <w:gridCol w:w="159"/>
        <w:gridCol w:w="637"/>
        <w:gridCol w:w="68"/>
        <w:gridCol w:w="68"/>
        <w:gridCol w:w="449"/>
        <w:gridCol w:w="305"/>
        <w:gridCol w:w="68"/>
        <w:gridCol w:w="68"/>
        <w:gridCol w:w="449"/>
        <w:gridCol w:w="305"/>
        <w:gridCol w:w="75"/>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50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December 31, 2023</w:t>
            </w:r>
          </w:p>
        </w:tc>
        <w:tc>
          <w:tcPr>
            <w:tcW w:w="75" w:type="dxa"/>
            <w:tcBorders/>
            <w:vAlign w:val="center"/>
          </w:tcPr>
          <w:p>
            <w:pPr>
              <w:pStyle w:val="TableContents"/>
              <w:bidi w:val="0"/>
              <w:spacing w:before="0" w:after="283"/>
              <w:jc w:val="center"/>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7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center"/>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U.S. treasury securities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bookmarkStart w:id="221" w:name="xdx_982_eus-gaap--AssetsFairValueDisclos"/>
            <w:bookmarkEnd w:id="221"/>
          </w:p>
        </w:tc>
        <w:tc>
          <w:tcPr>
            <w:tcW w:w="637" w:type="dxa"/>
            <w:tcBorders/>
            <w:shd w:fill="FFFFFF" w:val="clear"/>
            <w:vAlign w:val="center"/>
          </w:tcPr>
          <w:p>
            <w:pPr>
              <w:pStyle w:val="TableContents"/>
              <w:bidi w:val="0"/>
              <w:spacing w:before="0" w:after="283"/>
              <w:jc w:val="right"/>
              <w:rPr/>
            </w:pPr>
            <w:r>
              <w:rPr/>
              <w:t>2,497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bookmarkStart w:id="222" w:name="xdx_984_eus-gaap--AssetsFairValueDisclos"/>
            <w:bookmarkEnd w:id="222"/>
          </w:p>
        </w:tc>
        <w:tc>
          <w:tcPr>
            <w:tcW w:w="637" w:type="dxa"/>
            <w:tcBorders/>
            <w:shd w:fill="FFFFFF" w:val="clear"/>
            <w:vAlign w:val="center"/>
          </w:tcPr>
          <w:p>
            <w:pPr>
              <w:pStyle w:val="TableContents"/>
              <w:bidi w:val="0"/>
              <w:spacing w:before="0" w:after="283"/>
              <w:jc w:val="right"/>
              <w:rPr/>
            </w:pPr>
            <w:r>
              <w:rPr/>
              <w:t>2,497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bookmarkStart w:id="223" w:name="xdx_986_eus-gaap--AssetsFairValueDisclos"/>
            <w:bookmarkEnd w:id="223"/>
          </w:p>
        </w:tc>
        <w:tc>
          <w:tcPr>
            <w:tcW w:w="305"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bookmarkStart w:id="224" w:name="xdx_985_eus-gaap--AssetsFairValueDisclos"/>
            <w:bookmarkEnd w:id="224"/>
          </w:p>
        </w:tc>
        <w:tc>
          <w:tcPr>
            <w:tcW w:w="30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Money market mutual funds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5" w:name="xdx_983_eus-gaap--AssetsFairValueDisclos"/>
            <w:bookmarkEnd w:id="225"/>
          </w:p>
        </w:tc>
        <w:tc>
          <w:tcPr>
            <w:tcW w:w="637" w:type="dxa"/>
            <w:tcBorders>
              <w:bottom w:val="single" w:sz="8" w:space="0" w:color="000000"/>
            </w:tcBorders>
            <w:shd w:fill="CCEEFF" w:val="clear"/>
            <w:tcMar>
              <w:bottom w:w="28" w:type="dxa"/>
            </w:tcMar>
            <w:vAlign w:val="center"/>
          </w:tcPr>
          <w:p>
            <w:pPr>
              <w:pStyle w:val="TableContents"/>
              <w:bidi w:val="0"/>
              <w:spacing w:before="0" w:after="283"/>
              <w:jc w:val="right"/>
              <w:rPr/>
            </w:pPr>
            <w:r>
              <w:rPr/>
              <w:t>1,420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6" w:name="xdx_98F_eus-gaap--AssetsFairValueDisclos"/>
            <w:bookmarkEnd w:id="226"/>
          </w:p>
        </w:tc>
        <w:tc>
          <w:tcPr>
            <w:tcW w:w="637" w:type="dxa"/>
            <w:tcBorders>
              <w:bottom w:val="single" w:sz="8" w:space="0" w:color="000000"/>
            </w:tcBorders>
            <w:shd w:fill="CCEEFF" w:val="clear"/>
            <w:tcMar>
              <w:bottom w:w="28" w:type="dxa"/>
            </w:tcMar>
            <w:vAlign w:val="center"/>
          </w:tcPr>
          <w:p>
            <w:pPr>
              <w:pStyle w:val="TableContents"/>
              <w:bidi w:val="0"/>
              <w:spacing w:before="0" w:after="283"/>
              <w:jc w:val="right"/>
              <w:rPr/>
            </w:pPr>
            <w:r>
              <w:rPr/>
              <w:t>1,420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7" w:name="xdx_98A_eus-gaap--AssetsFairValueDisclos"/>
            <w:bookmarkEnd w:id="227"/>
          </w:p>
        </w:tc>
        <w:tc>
          <w:tcPr>
            <w:tcW w:w="3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8" w:name="xdx_986_eus-gaap--AssetsFairValueDisclos"/>
            <w:bookmarkEnd w:id="228"/>
          </w:p>
        </w:tc>
        <w:tc>
          <w:tcPr>
            <w:tcW w:w="3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29" w:name="xdx_988_eus-gaap--AssetsFairValueDisclos"/>
            <w:bookmarkEnd w:id="229"/>
          </w:p>
        </w:tc>
        <w:tc>
          <w:tcPr>
            <w:tcW w:w="637" w:type="dxa"/>
            <w:tcBorders>
              <w:bottom w:val="double" w:sz="6" w:space="0" w:color="000000"/>
            </w:tcBorders>
            <w:shd w:fill="FFFFFF" w:val="clear"/>
            <w:tcMar>
              <w:bottom w:w="28" w:type="dxa"/>
            </w:tcMar>
            <w:vAlign w:val="center"/>
          </w:tcPr>
          <w:p>
            <w:pPr>
              <w:pStyle w:val="TableContents"/>
              <w:bidi w:val="0"/>
              <w:spacing w:before="0" w:after="283"/>
              <w:jc w:val="right"/>
              <w:rPr/>
            </w:pPr>
            <w:r>
              <w:rPr/>
              <w:t>3,917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30" w:name="xdx_981_eus-gaap--AssetsFairValueDisclos"/>
            <w:bookmarkEnd w:id="230"/>
          </w:p>
        </w:tc>
        <w:tc>
          <w:tcPr>
            <w:tcW w:w="637" w:type="dxa"/>
            <w:tcBorders>
              <w:bottom w:val="double" w:sz="6" w:space="0" w:color="000000"/>
            </w:tcBorders>
            <w:shd w:fill="FFFFFF" w:val="clear"/>
            <w:tcMar>
              <w:bottom w:w="28" w:type="dxa"/>
            </w:tcMar>
            <w:vAlign w:val="center"/>
          </w:tcPr>
          <w:p>
            <w:pPr>
              <w:pStyle w:val="TableContents"/>
              <w:bidi w:val="0"/>
              <w:spacing w:before="0" w:after="283"/>
              <w:jc w:val="right"/>
              <w:rPr/>
            </w:pPr>
            <w:r>
              <w:rPr/>
              <w:t>3,917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31" w:name="xdx_981_eus-gaap--AssetsFairValueDisclos"/>
            <w:bookmarkEnd w:id="231"/>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32" w:name="xdx_982_eus-gaap--AssetsFairValueDisclos"/>
            <w:bookmarkEnd w:id="232"/>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233" w:name="xdx_8AB_zIRbORu3FB88"/>
      <w:bookmarkEnd w:id="233"/>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September 30, 2024 and December 31, 2023.</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34" w:name="xdx_86E_zGfctz9nbHT2"/>
      <w:bookmarkStart w:id="235" w:name="xdx_845_eus-gaap--ShareBasedCompensation"/>
      <w:bookmarkEnd w:id="234"/>
      <w:bookmarkEnd w:id="235"/>
      <w:r>
        <w:rPr>
          <w:rFonts w:ascii="Times New Roman;Times;Serif" w:hAnsi="Times New Roman;Times;Serif"/>
          <w:b/>
          <w:i w:val="false"/>
          <w:caps w:val="false"/>
          <w:smallCaps w:val="false"/>
          <w:sz w:val="20"/>
        </w:rPr>
        <w:t>Share-based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no future services are required to be performed by the grantee in exchange for an award of equity instruments, and if such award does not contain a performance or market condition, the cost of the award is expensed on the grant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stock option term is calculated for stock options granted using the “simplified” method for awards that qualify as “plain-vanilla”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determination of each of the inputs can affect the fair value of the stock options granted and the results of operations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36" w:name="xdx_865_zmTrwveJlEG6"/>
      <w:bookmarkStart w:id="237" w:name="xdx_843_eus-gaap--CommitmentsAndContinge"/>
      <w:bookmarkEnd w:id="236"/>
      <w:bookmarkEnd w:id="237"/>
      <w:r>
        <w:rPr>
          <w:rFonts w:ascii="Times New Roman;Times;Serif" w:hAnsi="Times New Roman;Times;Serif"/>
          <w:b/>
          <w:i w:val="false"/>
          <w:caps w:val="false"/>
          <w:smallCaps w:val="false"/>
          <w:sz w:val="20"/>
        </w:rPr>
        <w:t>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38" w:name="xdx_86D_zhGzmefKw8Kd"/>
      <w:bookmarkStart w:id="239" w:name="xdx_845_eus-gaap--NewAccountingPronounce"/>
      <w:bookmarkEnd w:id="238"/>
      <w:bookmarkEnd w:id="239"/>
      <w:r>
        <w:rPr>
          <w:rFonts w:ascii="Times New Roman;Times;Serif" w:hAnsi="Times New Roman;Times;Serif"/>
          <w:b/>
          <w:i w:val="false"/>
          <w:caps w:val="false"/>
          <w:smallCaps w:val="false"/>
          <w:sz w:val="20"/>
        </w:rPr>
        <w:t>Recently issued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Segment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Financial Accounting Standards Board (“FASB”) issued Accounting Standards Update (“ASU”) 2023-07, Segment Reporting (Topic 280): Improvements to Reportable Segment Disclosures, to update reportable segment disclosure requirements, primarily through enhanced disclosures about significant segment expenses. The amendment is effective for fiscal years beginning after December 15, 2023 and interim periods within fiscal years beginning after December 15, 2024, with early adoption permitted. The amendment should be applied retrospectively to all prior periods presented in the financial statements. The Company is currently evaluating the impact that the adoption of this standard will have on its consolidated financial statements and related disclosures.</w:t>
      </w:r>
    </w:p>
    <w:p>
      <w:pPr>
        <w:pStyle w:val="TextBody"/>
        <w:bidi w:val="0"/>
        <w:spacing w:before="0" w:after="0"/>
        <w:jc w:val="both"/>
        <w:rPr>
          <w:caps w:val="false"/>
          <w:smallCaps w:val="false"/>
        </w:rPr>
      </w:pPr>
      <w:bookmarkStart w:id="240" w:name="xdx_85C_zkPyUGXbSGKi"/>
      <w:bookmarkEnd w:id="240"/>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41" w:name="xdx_806_eus-gaap--CommitmentsAndContinge"/>
      <w:bookmarkEnd w:id="241"/>
      <w:r>
        <w:rPr>
          <w:rFonts w:ascii="Times New Roman;Times;Serif" w:hAnsi="Times New Roman;Times;Serif"/>
          <w:b/>
          <w:i w:val="false"/>
          <w:caps w:val="false"/>
          <w:smallCaps w:val="false"/>
          <w:sz w:val="20"/>
        </w:rPr>
        <w:t xml:space="preserve">NOTE 3 - </w:t>
      </w:r>
      <w:bookmarkStart w:id="242" w:name="xdx_82D_zhgackaMMd5f"/>
      <w:bookmarkEnd w:id="242"/>
      <w:r>
        <w:rPr>
          <w:rFonts w:ascii="Times New Roman;Times;Serif" w:hAnsi="Times New Roman;Times;Serif"/>
          <w:b/>
          <w:i w:val="false"/>
          <w:caps w:val="false"/>
          <w:smallCaps w:val="false"/>
          <w:sz w:val="20"/>
        </w:rPr>
        <w:t>COMMITMENTS AND 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Government grants: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has received grants from the Israeli Innovation Authority (“IIA”) for participation in research and development since 2013 through September 30, 2024 totaling approximately $</w:t>
      </w:r>
      <w:bookmarkStart w:id="243" w:name="xdx_900_eus-gaap--RevenueFromContractWit"/>
      <w:bookmarkEnd w:id="243"/>
      <w:r>
        <w:rPr>
          <w:rFonts w:ascii="Times New Roman;Times;Serif" w:hAnsi="Times New Roman;Times;Serif"/>
          <w:b w:val="false"/>
          <w:i w:val="false"/>
          <w:caps w:val="false"/>
          <w:smallCaps w:val="false"/>
          <w:sz w:val="20"/>
        </w:rPr>
        <w:t>1,878. This includes amounts received of approximately $</w:t>
      </w:r>
      <w:bookmarkStart w:id="244" w:name="xdx_90B_eus-gaap--GrantsReceivable_iI_pn"/>
      <w:bookmarkEnd w:id="244"/>
      <w:r>
        <w:rPr>
          <w:rFonts w:ascii="Times New Roman;Times;Serif" w:hAnsi="Times New Roman;Times;Serif"/>
          <w:b w:val="false"/>
          <w:i w:val="false"/>
          <w:caps w:val="false"/>
          <w:smallCaps w:val="false"/>
          <w:sz w:val="20"/>
        </w:rPr>
        <w:t xml:space="preserve">378, which is a portion of an additional grant from the IIA in the amount of approximately NIS </w:t>
      </w:r>
      <w:bookmarkStart w:id="245" w:name="xdx_903_ecustom--AdditionalGrantReceivab"/>
      <w:bookmarkEnd w:id="245"/>
      <w:r>
        <w:rPr>
          <w:rFonts w:ascii="Times New Roman;Times;Serif" w:hAnsi="Times New Roman;Times;Serif"/>
          <w:b w:val="false"/>
          <w:i w:val="false"/>
          <w:caps w:val="false"/>
          <w:smallCaps w:val="false"/>
          <w:sz w:val="20"/>
        </w:rPr>
        <w:t>1,620,000 (approximately $</w:t>
      </w:r>
      <w:bookmarkStart w:id="246" w:name="xdx_901_ecustom--AdditionalGrantReceivab"/>
      <w:bookmarkEnd w:id="246"/>
      <w:r>
        <w:rPr>
          <w:rFonts w:ascii="Times New Roman;Times;Serif" w:hAnsi="Times New Roman;Times;Serif"/>
          <w:b w:val="false"/>
          <w:i w:val="false"/>
          <w:caps w:val="false"/>
          <w:smallCaps w:val="false"/>
          <w:sz w:val="20"/>
        </w:rPr>
        <w:t>447) approved by the IIA on June 1, 2023, to further finance the development of the manufacturing process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agreement with CardioSert Ltd. (“CardioSert”) on January 4, 2018, Microbot Israel took over the liability to repay CardioSert’s IIA grants in the aggregate amount of approximately $</w:t>
      </w:r>
      <w:bookmarkStart w:id="247" w:name="xdx_90B_ecustom--RepaymentOfGovernmentGr"/>
      <w:bookmarkEnd w:id="247"/>
      <w:r>
        <w:rPr>
          <w:rFonts w:ascii="Times New Roman;Times;Serif" w:hAnsi="Times New Roman;Times;Serif"/>
          <w:b w:val="false"/>
          <w:i w:val="false"/>
          <w:caps w:val="false"/>
          <w:smallCaps w:val="false"/>
          <w:sz w:val="20"/>
        </w:rPr>
        <w:t>530. See also Notes 3C and 5C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agreement with Nitiloop, on October 6, 2022, Microbot Israel took over the liability to repay Nitiloop’s IIA grants in the aggregate amount of approximately $</w:t>
      </w:r>
      <w:bookmarkStart w:id="248" w:name="xdx_90A_ecustom--RepaymentOfGovernmentGr"/>
      <w:bookmarkEnd w:id="248"/>
      <w:r>
        <w:rPr>
          <w:rFonts w:ascii="Times New Roman;Times;Serif" w:hAnsi="Times New Roman;Times;Serif"/>
          <w:b w:val="false"/>
          <w:i w:val="false"/>
          <w:caps w:val="false"/>
          <w:smallCaps w:val="false"/>
          <w:sz w:val="20"/>
        </w:rPr>
        <w:t>925.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relation to the IIA grants described above, the Company is obligated to pay royalties amounting to </w:t>
      </w:r>
      <w:bookmarkStart w:id="249" w:name="xdx_904_ecustom--NetSalesRoyaltyPercenta"/>
      <w:bookmarkEnd w:id="249"/>
      <w:r>
        <w:rPr>
          <w:rFonts w:ascii="Times New Roman;Times;Serif" w:hAnsi="Times New Roman;Times;Serif"/>
          <w:b w:val="false"/>
          <w:i w:val="false"/>
          <w:caps w:val="false"/>
          <w:smallCaps w:val="false"/>
          <w:sz w:val="20"/>
        </w:rPr>
        <w:t>3.0%-</w:t>
      </w:r>
      <w:bookmarkStart w:id="250" w:name="xdx_904_ecustom--NetSalesRoyaltyPercenta"/>
      <w:bookmarkEnd w:id="250"/>
      <w:r>
        <w:rPr>
          <w:rFonts w:ascii="Times New Roman;Times;Serif" w:hAnsi="Times New Roman;Times;Serif"/>
          <w:b w:val="false"/>
          <w:i w:val="false"/>
          <w:caps w:val="false"/>
          <w:smallCaps w:val="false"/>
          <w:sz w:val="20"/>
        </w:rPr>
        <w:t>5% of its future sales of the products relating to such grants.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grants are linked to the exchange rate of the dollar to the New Israeli Shekel and bears interest of SOFR per year (SOFR is a benchmark interest rate which replaced LIBOR).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11, 2022, the Company received approval for a grant from the Ministry of Economy, in the amount of NIS </w:t>
      </w:r>
      <w:bookmarkStart w:id="251" w:name="xdx_90D_eus-gaap--GrantsReceivable_iI_uI"/>
      <w:bookmarkEnd w:id="251"/>
      <w:r>
        <w:rPr>
          <w:rFonts w:ascii="Times New Roman;Times;Serif" w:hAnsi="Times New Roman;Times;Serif"/>
          <w:b w:val="false"/>
          <w:i w:val="false"/>
          <w:caps w:val="false"/>
          <w:smallCaps w:val="false"/>
          <w:sz w:val="20"/>
        </w:rPr>
        <w:t>300,000 (approximately $</w:t>
      </w:r>
      <w:bookmarkStart w:id="252" w:name="xdx_901_eus-gaap--GrantsReceivable_iI_pn"/>
      <w:bookmarkEnd w:id="252"/>
      <w:r>
        <w:rPr>
          <w:rFonts w:ascii="Times New Roman;Times;Serif" w:hAnsi="Times New Roman;Times;Serif"/>
          <w:b w:val="false"/>
          <w:i w:val="false"/>
          <w:caps w:val="false"/>
          <w:smallCaps w:val="false"/>
          <w:sz w:val="20"/>
        </w:rPr>
        <w:t>83), for participation in expenses related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the U.S. market. As of September 30, 2024, the Company received approximately $</w:t>
      </w:r>
      <w:bookmarkStart w:id="253" w:name="xdx_908_eus-gaap--GrantsReceivable_iI_pn"/>
      <w:bookmarkEnd w:id="253"/>
      <w:r>
        <w:rPr>
          <w:rFonts w:ascii="Times New Roman;Times;Serif" w:hAnsi="Times New Roman;Times;Serif"/>
          <w:b w:val="false"/>
          <w:i w:val="false"/>
          <w:caps w:val="false"/>
          <w:smallCaps w:val="false"/>
          <w:sz w:val="20"/>
        </w:rPr>
        <w:t xml:space="preserve">50 of such grant. In relation with the Ministry of Economy grant, the Company is obligated to pay royalties amounting to </w:t>
      </w:r>
      <w:bookmarkStart w:id="254" w:name="xdx_90A_ecustom--NetSalesRoyaltyPercenta"/>
      <w:bookmarkEnd w:id="254"/>
      <w:r>
        <w:rPr>
          <w:rFonts w:ascii="Times New Roman;Times;Serif" w:hAnsi="Times New Roman;Times;Serif"/>
          <w:b w:val="false"/>
          <w:i w:val="false"/>
          <w:caps w:val="false"/>
          <w:smallCaps w:val="false"/>
          <w:sz w:val="20"/>
        </w:rPr>
        <w:t>3% of future sales of the LIBERTY® Endovascular Robotic Surgical System up to the grant amount plus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TRDF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(SCS) project and its TipCat assets in addition to certain technology relating to the Company’s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As partial consideration for the license, Microbot Israel shall pay TRDF royalties on net sales (between </w:t>
      </w:r>
      <w:bookmarkStart w:id="255" w:name="xdx_90C_ecustom--NetSalesRoyaltyPercenta"/>
      <w:bookmarkEnd w:id="255"/>
      <w:r>
        <w:rPr>
          <w:rFonts w:ascii="Times New Roman;Times;Serif" w:hAnsi="Times New Roman;Times;Serif"/>
          <w:b w:val="false"/>
          <w:i w:val="false"/>
          <w:caps w:val="false"/>
          <w:smallCaps w:val="false"/>
          <w:sz w:val="20"/>
        </w:rPr>
        <w:t>1.5%-</w:t>
      </w:r>
      <w:bookmarkStart w:id="256" w:name="xdx_900_ecustom--NetSalesRoyaltyPercenta"/>
      <w:bookmarkEnd w:id="256"/>
      <w:r>
        <w:rPr>
          <w:rFonts w:ascii="Times New Roman;Times;Serif" w:hAnsi="Times New Roman;Times;Serif"/>
          <w:b w:val="false"/>
          <w:i w:val="false"/>
          <w:caps w:val="false"/>
          <w:smallCaps w:val="false"/>
          <w:sz w:val="20"/>
        </w:rPr>
        <w:t>3.0%) and on sublicense income as detailed in the License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Agreement with CardioSert Ltd.: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4, 2018, Microbot Israel entered into an agreement with CardioSert (the “CardioSert Agreement”) to acquire certain of its patent-protected technology (the “Technology”). Pursuant to the CardioSert Agreement, Microbot Israel made aggregate payments of $</w:t>
      </w:r>
      <w:bookmarkStart w:id="257" w:name="xdx_90B_eus-gaap--PaymentsToAcquireIntan"/>
      <w:bookmarkEnd w:id="257"/>
      <w:r>
        <w:rPr>
          <w:rFonts w:ascii="Times New Roman;Times;Serif" w:hAnsi="Times New Roman;Times;Serif"/>
          <w:b w:val="false"/>
          <w:i w:val="false"/>
          <w:caps w:val="false"/>
          <w:smallCaps w:val="false"/>
          <w:sz w:val="20"/>
        </w:rPr>
        <w:t xml:space="preserve">300 in cash and </w:t>
      </w:r>
      <w:bookmarkStart w:id="258" w:name="xdx_90D_eus-gaap--StockIssuedDuringPerio"/>
      <w:bookmarkEnd w:id="258"/>
      <w:r>
        <w:rPr>
          <w:rFonts w:ascii="Times New Roman;Times;Serif" w:hAnsi="Times New Roman;Times;Serif"/>
          <w:b w:val="false"/>
          <w:i w:val="false"/>
          <w:caps w:val="false"/>
          <w:smallCaps w:val="false"/>
          <w:sz w:val="20"/>
        </w:rPr>
        <w:t>6,738 shares of common stock estimated at $</w:t>
      </w:r>
      <w:bookmarkStart w:id="259" w:name="xdx_90D_eus-gaap--StockIssuedDuringPerio"/>
      <w:bookmarkEnd w:id="259"/>
      <w:r>
        <w:rPr>
          <w:rFonts w:ascii="Times New Roman;Times;Serif" w:hAnsi="Times New Roman;Times;Serif"/>
          <w:b w:val="false"/>
          <w:i w:val="false"/>
          <w:caps w:val="false"/>
          <w:smallCaps w:val="false"/>
          <w:sz w:val="20"/>
        </w:rPr>
        <w:t>74 to complete the acquisition.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 See also Note 5C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Microbot Israel transferred the Technology back to CardioSert, for nominal consideration, pursuant to the terms of the CardioSert Agreement. As a result, Microbot Israel’s liability to repay CardioSert’s IIA grants in the aggregate amount of approximately $</w:t>
      </w:r>
      <w:bookmarkStart w:id="260" w:name="xdx_90F_eus-gaap--RepaymentsOfRelatedPar"/>
      <w:bookmarkEnd w:id="260"/>
      <w:r>
        <w:rPr>
          <w:rFonts w:ascii="Times New Roman;Times;Serif" w:hAnsi="Times New Roman;Times;Serif"/>
          <w:b w:val="false"/>
          <w:i w:val="false"/>
          <w:caps w:val="false"/>
          <w:smallCaps w:val="false"/>
          <w:sz w:val="20"/>
        </w:rPr>
        <w:t>530 was also transferred back to CardioSert.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ATM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w:t>
      </w:r>
      <w:bookmarkStart w:id="261" w:name="xdx_90A_ecustom--OfferingCosts_iI_pn3n3_"/>
      <w:bookmarkEnd w:id="261"/>
      <w:r>
        <w:rPr>
          <w:rFonts w:ascii="Times New Roman;Times;Serif" w:hAnsi="Times New Roman;Times;Serif"/>
          <w:b w:val="false"/>
          <w:i w:val="false"/>
          <w:caps w:val="false"/>
          <w:smallCaps w:val="false"/>
          <w:sz w:val="20"/>
        </w:rPr>
        <w:t>10,000 at market prices or as otherwise agreed with Wainwright. The Company entered into an amendment, dated July 1, 2024, to the ATM Agreement with Wainwright dated June 10, 2021, relating to the offer and sale of shares of the Company’s common stock having an aggregate offering price of up to approximately $</w:t>
      </w:r>
      <w:bookmarkStart w:id="262" w:name="xdx_90B_eus-gaap--SaleOfStockConsiderati"/>
      <w:bookmarkEnd w:id="262"/>
      <w:r>
        <w:rPr>
          <w:rFonts w:ascii="Times New Roman;Times;Serif" w:hAnsi="Times New Roman;Times;Serif"/>
          <w:b w:val="false"/>
          <w:i w:val="false"/>
          <w:caps w:val="false"/>
          <w:smallCaps w:val="false"/>
          <w:sz w:val="20"/>
        </w:rPr>
        <w:t xml:space="preserve">4,820 from time to time through Wainwright, acting as sales agent. The compensation to Wainwright for sales of the shares is a placement fee of </w:t>
      </w:r>
      <w:bookmarkStart w:id="263" w:name="xdx_90D_ecustom--PlacementFeePercent_pid"/>
      <w:bookmarkEnd w:id="263"/>
      <w:r>
        <w:rPr>
          <w:rFonts w:ascii="Times New Roman;Times;Serif" w:hAnsi="Times New Roman;Times;Serif"/>
          <w:b w:val="false"/>
          <w:i w:val="false"/>
          <w:caps w:val="false"/>
          <w:smallCaps w:val="false"/>
          <w:sz w:val="20"/>
        </w:rPr>
        <w:t>3.0% of the gross sales price of the shares of common stock sold pursuant to this ATM Agreement. See also Notes 4D and 5 below.</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Engagement letters with H.C. Wainwright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registered direct and private placement offerings, the Company entered into engagement letters (the “Engagement Letters”) with Wainwright on October 3, 2022, on May 16, 2023, on October 24, 2023 and on May 29, 2024, pursuant to which Wainwright agreed to serve as the exclusive placement agent for the issuance and sale of securities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compensation for such placement agent services, the Company has agreed to pay Wainwright an aggregate cash fee equal to </w:t>
      </w:r>
      <w:bookmarkStart w:id="264" w:name="xdx_904_ecustom--GrossProceedsFromCashFe"/>
      <w:bookmarkEnd w:id="264"/>
      <w:r>
        <w:rPr>
          <w:rFonts w:ascii="Times New Roman;Times;Serif" w:hAnsi="Times New Roman;Times;Serif"/>
          <w:b w:val="false"/>
          <w:i w:val="false"/>
          <w:caps w:val="false"/>
          <w:smallCaps w:val="false"/>
          <w:sz w:val="20"/>
        </w:rPr>
        <w:t xml:space="preserve">7.0% of the gross proceeds received by the Company from offerings contemplated by the Engagement Letters, plus a management fee equal to </w:t>
      </w:r>
      <w:bookmarkStart w:id="265" w:name="xdx_905_ecustom--GrossProceedsFromManage"/>
      <w:bookmarkEnd w:id="265"/>
      <w:r>
        <w:rPr>
          <w:rFonts w:ascii="Times New Roman;Times;Serif" w:hAnsi="Times New Roman;Times;Serif"/>
          <w:b w:val="false"/>
          <w:i w:val="false"/>
          <w:caps w:val="false"/>
          <w:smallCaps w:val="false"/>
          <w:sz w:val="20"/>
        </w:rPr>
        <w:t xml:space="preserve">1.0% of the gross proceeds received by the Company from such offerings, as well as other reimbursable expenses. </w:t>
      </w:r>
      <w:bookmarkStart w:id="266" w:name="xdx_90A_eus-gaap--ClassOfWarrantOrRightR"/>
      <w:bookmarkEnd w:id="266"/>
      <w:r>
        <w:rPr>
          <w:rFonts w:ascii="Times New Roman;Times;Serif" w:hAnsi="Times New Roman;Times;Serif"/>
          <w:b w:val="false"/>
          <w:i w:val="false"/>
          <w:caps w:val="false"/>
          <w:smallCaps w:val="false"/>
          <w:sz w:val="20"/>
        </w:rPr>
        <w:t>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Acquisition of Nitiloop’s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the Assets, Microbot Israel shall pay royalties to Nitiloop, which shall not, in the aggregate, exceed $</w:t>
      </w:r>
      <w:bookmarkStart w:id="267" w:name="xdx_905_eus-gaap--StockIssuedDuringPerio"/>
      <w:bookmarkEnd w:id="267"/>
      <w:r>
        <w:rPr>
          <w:rFonts w:ascii="Times New Roman;Times;Serif" w:hAnsi="Times New Roman;Times;Serif"/>
          <w:b w:val="false"/>
          <w:i w:val="false"/>
          <w:caps w:val="false"/>
          <w:smallCaps w:val="false"/>
          <w:sz w:val="20"/>
        </w:rPr>
        <w:t>8,000,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Royalties at a rate of </w:t>
      </w:r>
      <w:bookmarkStart w:id="268" w:name="xdx_903_ecustom--RoyaltiesPercentage1_pi"/>
      <w:bookmarkEnd w:id="268"/>
      <w:r>
        <w:rPr>
          <w:rFonts w:ascii="Times New Roman;Times;Serif" w:hAnsi="Times New Roman;Times;Serif"/>
          <w:b w:val="false"/>
          <w:i w:val="false"/>
          <w:caps w:val="false"/>
          <w:smallCaps w:val="false"/>
          <w:sz w:val="20"/>
        </w:rPr>
        <w:t>3% of net revenue generated as a result of sales, license or other exploitation of the Devices;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Royalties at a rate of </w:t>
      </w:r>
      <w:bookmarkStart w:id="269" w:name="xdx_903_ecustom--RoyaltiesPercentage1_pi"/>
      <w:bookmarkEnd w:id="269"/>
      <w:r>
        <w:rPr>
          <w:rFonts w:ascii="Times New Roman;Times;Serif" w:hAnsi="Times New Roman;Times;Serif"/>
          <w:b w:val="false"/>
          <w:i w:val="false"/>
          <w:caps w:val="false"/>
          <w:smallCaps w:val="false"/>
          <w:sz w:val="20"/>
        </w:rPr>
        <w:t>1.5% of net revenue generated from the sale, license or other exploitation of commercialization of the technology as part of an integrated product.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analysis, the Company concluded that the acquisition of the assets does not meet the definition of a business for the purpose of applying SEC Rules (S-X Rules of 3-05, 8-04 and 11-01).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Litigation resulting from the 2017 financing: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w:t>
      </w:r>
      <w:bookmarkStart w:id="270" w:name="xdx_905_eus-gaap--LossContingencyDamages"/>
      <w:bookmarkEnd w:id="270"/>
      <w:r>
        <w:rPr>
          <w:rFonts w:ascii="Times New Roman;Times;Serif" w:hAnsi="Times New Roman;Times;Serif"/>
          <w:b w:val="false"/>
          <w:i w:val="false"/>
          <w:caps w:val="false"/>
          <w:smallCaps w:val="false"/>
          <w:sz w:val="20"/>
        </w:rPr>
        <w:t>6,750 purchase price with respect to the 2017 Financing.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2024 (the “Effective Date”), the Company entered into a settlement agreement and release with the Plaintiffs (the “Settlement Agreement”), effectively resolving the Lawsuit.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Settlement Agreement, the Company paid $</w:t>
      </w:r>
      <w:bookmarkStart w:id="271" w:name="xdx_90F_eus-gaap--LitigationSettlementAm"/>
      <w:bookmarkEnd w:id="271"/>
      <w:r>
        <w:rPr>
          <w:rFonts w:ascii="Times New Roman;Times;Serif" w:hAnsi="Times New Roman;Times;Serif"/>
          <w:b w:val="false"/>
          <w:i w:val="false"/>
          <w:caps w:val="false"/>
          <w:smallCaps w:val="false"/>
          <w:sz w:val="20"/>
        </w:rPr>
        <w:t>2,154 consisting of a cash payment of $</w:t>
      </w:r>
      <w:bookmarkStart w:id="272" w:name="xdx_901_eus-gaap--PaymentsForLegalSettle"/>
      <w:bookmarkEnd w:id="272"/>
      <w:r>
        <w:rPr>
          <w:rFonts w:ascii="Times New Roman;Times;Serif" w:hAnsi="Times New Roman;Times;Serif"/>
          <w:b w:val="false"/>
          <w:i w:val="false"/>
          <w:caps w:val="false"/>
          <w:smallCaps w:val="false"/>
          <w:sz w:val="20"/>
        </w:rPr>
        <w:t xml:space="preserve">1,100, covered by the Company’s insurance company, and </w:t>
      </w:r>
      <w:bookmarkStart w:id="273" w:name="xdx_901_eus-gaap--StockIssuedDuringPerio"/>
      <w:bookmarkEnd w:id="273"/>
      <w:r>
        <w:rPr>
          <w:rFonts w:ascii="Times New Roman;Times;Serif" w:hAnsi="Times New Roman;Times;Serif"/>
          <w:b w:val="false"/>
          <w:i w:val="false"/>
          <w:caps w:val="false"/>
          <w:smallCaps w:val="false"/>
          <w:sz w:val="20"/>
        </w:rPr>
        <w:t>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loss contingency should be recognized as non-operating losses, offset by loss recoveries received from the Company’s insurance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Settlement Agreement and the insurance recovery received from the insurance company, as of December 31, 2023, the Company recorded a liability and an asset on its balance sheet totaling $</w:t>
      </w:r>
      <w:bookmarkStart w:id="274" w:name="xdx_900_ecustom--SettlementAgreementLiab"/>
      <w:bookmarkEnd w:id="274"/>
      <w:r>
        <w:rPr>
          <w:rFonts w:ascii="Times New Roman;Times;Serif" w:hAnsi="Times New Roman;Times;Serif"/>
          <w:b w:val="false"/>
          <w:i w:val="false"/>
          <w:caps w:val="false"/>
          <w:smallCaps w:val="false"/>
          <w:sz w:val="20"/>
        </w:rPr>
        <w:t>2,211 and $</w:t>
      </w:r>
      <w:bookmarkStart w:id="275" w:name="xdx_908_ecustom--InsuranceRecoverable_iI"/>
      <w:bookmarkEnd w:id="275"/>
      <w:r>
        <w:rPr>
          <w:rFonts w:ascii="Times New Roman;Times;Serif" w:hAnsi="Times New Roman;Times;Serif"/>
          <w:b w:val="false"/>
          <w:i w:val="false"/>
          <w:caps w:val="false"/>
          <w:smallCaps w:val="false"/>
          <w:sz w:val="20"/>
        </w:rPr>
        <w:t>1,335, respectively. Within this asset, $</w:t>
      </w:r>
      <w:bookmarkStart w:id="276" w:name="xdx_909_eus-gaap--LossContingencyReceiva"/>
      <w:bookmarkEnd w:id="276"/>
      <w:r>
        <w:rPr>
          <w:rFonts w:ascii="Times New Roman;Times;Serif" w:hAnsi="Times New Roman;Times;Serif"/>
          <w:b w:val="false"/>
          <w:i w:val="false"/>
          <w:caps w:val="false"/>
          <w:smallCaps w:val="false"/>
          <w:sz w:val="20"/>
        </w:rPr>
        <w:t>1,100 represents the recovery of the cash payment of the settlement amount, and $</w:t>
      </w:r>
      <w:bookmarkStart w:id="277" w:name="xdx_902_eus-gaap--LegalFees_pn3n3_c20230"/>
      <w:bookmarkEnd w:id="277"/>
      <w:r>
        <w:rPr>
          <w:rFonts w:ascii="Times New Roman;Times;Serif" w:hAnsi="Times New Roman;Times;Serif"/>
          <w:b w:val="false"/>
          <w:i w:val="false"/>
          <w:caps w:val="false"/>
          <w:smallCaps w:val="false"/>
          <w:sz w:val="20"/>
        </w:rPr>
        <w:t>235 represents recovery of legal expenses. A net non-operating loss of $</w:t>
      </w:r>
      <w:bookmarkStart w:id="278" w:name="xdx_908_eus-gaap--GainLossRelatedToLitig"/>
      <w:bookmarkEnd w:id="278"/>
      <w:r>
        <w:rPr>
          <w:rFonts w:ascii="Times New Roman;Times;Serif" w:hAnsi="Times New Roman;Times;Serif"/>
          <w:b w:val="false"/>
          <w:i w:val="false"/>
          <w:caps w:val="false"/>
          <w:smallCaps w:val="false"/>
          <w:sz w:val="20"/>
        </w:rPr>
        <w:t>1,111 from legal settlement was reflected in the Company’s statement of comprehensive loss for the year ended December 31, 2023. In the first quarter of 2024, the Company received $</w:t>
      </w:r>
      <w:bookmarkStart w:id="279" w:name="xdx_902_ecustom--InsuranceRecoveryAmount"/>
      <w:bookmarkEnd w:id="279"/>
      <w:r>
        <w:rPr>
          <w:rFonts w:ascii="Times New Roman;Times;Serif" w:hAnsi="Times New Roman;Times;Serif"/>
          <w:b w:val="false"/>
          <w:i w:val="false"/>
          <w:caps w:val="false"/>
          <w:smallCaps w:val="false"/>
          <w:sz w:val="20"/>
        </w:rPr>
        <w:t>1,335 from the insurance company, subsequently closing the asset recorded as of December 31, 2023. Additionally, during the first quarter of 2024, the Company paid the settlement amount by transferring $</w:t>
      </w:r>
      <w:bookmarkStart w:id="280" w:name="xdx_90C_eus-gaap--PaymentsForLegalSettle"/>
      <w:bookmarkEnd w:id="280"/>
      <w:r>
        <w:rPr>
          <w:rFonts w:ascii="Times New Roman;Times;Serif" w:hAnsi="Times New Roman;Times;Serif"/>
          <w:b w:val="false"/>
          <w:i w:val="false"/>
          <w:caps w:val="false"/>
          <w:smallCaps w:val="false"/>
          <w:sz w:val="20"/>
        </w:rPr>
        <w:t xml:space="preserve">1,100 to the Plaintiffs and issuing </w:t>
      </w:r>
      <w:bookmarkStart w:id="281" w:name="xdx_90B_eus-gaap--StockIssuedDuringPerio"/>
      <w:bookmarkEnd w:id="281"/>
      <w:r>
        <w:rPr>
          <w:rFonts w:ascii="Times New Roman;Times;Serif" w:hAnsi="Times New Roman;Times;Serif"/>
          <w:b w:val="false"/>
          <w:i w:val="false"/>
          <w:caps w:val="false"/>
          <w:smallCaps w:val="false"/>
          <w:sz w:val="20"/>
        </w:rPr>
        <w:t>1,005,965 shares of the Company’s common stock, thereby closing the liability recorded as of December 31,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Mona litigation: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w:t>
      </w:r>
      <w:bookmarkStart w:id="282" w:name="xdx_90E_eus-gaap--LitigationSettlementAm"/>
      <w:bookmarkEnd w:id="282"/>
      <w:r>
        <w:rPr>
          <w:rFonts w:ascii="Times New Roman;Times;Serif" w:hAnsi="Times New Roman;Times;Serif"/>
          <w:b w:val="false"/>
          <w:i w:val="false"/>
          <w:caps w:val="false"/>
          <w:smallCaps w:val="false"/>
          <w:sz w:val="20"/>
        </w:rPr>
        <w:t>468.</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2021, the Court entered a judgment against Mona and in favor of the Company in the amount of approximately $</w:t>
      </w:r>
      <w:bookmarkStart w:id="283" w:name="xdx_907_eus-gaap--LossContingencyDamages"/>
      <w:bookmarkEnd w:id="283"/>
      <w:r>
        <w:rPr>
          <w:rFonts w:ascii="Times New Roman;Times;Serif" w:hAnsi="Times New Roman;Times;Serif"/>
          <w:b w:val="false"/>
          <w:i w:val="false"/>
          <w:caps w:val="false"/>
          <w:smallCaps w:val="false"/>
          <w:sz w:val="20"/>
        </w:rPr>
        <w:t>485. Collection of the judgment was deferred pending resolution of Mona’s counterclaim.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22, 2023, the District Court dismissed the Section 10(b) counterclaim in its entirety. After the Company initiated efforts to execute on the $</w:t>
      </w:r>
      <w:bookmarkStart w:id="284" w:name="xdx_903_eus-gaap--LossContingencyDamages"/>
      <w:bookmarkEnd w:id="284"/>
      <w:r>
        <w:rPr>
          <w:rFonts w:ascii="Times New Roman;Times;Serif" w:hAnsi="Times New Roman;Times;Serif"/>
          <w:b w:val="false"/>
          <w:i w:val="false"/>
          <w:caps w:val="false"/>
          <w:smallCaps w:val="false"/>
          <w:sz w:val="20"/>
        </w:rPr>
        <w:t>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 Mona has purported to appeal that denial. The Company believes Mona’s purported appeal is untimely and substantively meritless. Mona’s appellate brief was filed on June 28, 2024 and the Company’s opposition has also been filed. The Company is waiting for the Court’s determination as to whether oral arguments will be required, which if so are expected to be held by January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10, 2024, Mona posted a bond in the full amount of the Judgment, which the Company will move to collect if the appeal is denied or the original judgment in the Company’s favor is upheld.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Contingent bonus commitments based on future capital raising:</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the Compensation Committee of the Board of Directors of the Company approved certain bonuses for the 2023 fiscal year contingent on capital raising efforts. These bonuses are detailed as follows: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CEO was granted a contingent cash bonus of up to approximately $</w:t>
      </w:r>
      <w:bookmarkStart w:id="285" w:name="xdx_907_eus-gaap--DeferredCompensationAr"/>
      <w:bookmarkEnd w:id="285"/>
      <w:r>
        <w:rPr>
          <w:rFonts w:ascii="Times New Roman;Times;Serif" w:hAnsi="Times New Roman;Times;Serif"/>
          <w:b w:val="false"/>
          <w:i w:val="false"/>
          <w:caps w:val="false"/>
          <w:smallCaps w:val="false"/>
          <w:sz w:val="20"/>
        </w:rPr>
        <w:t xml:space="preserve">298, which is divided into two contingent portions. The first </w:t>
      </w:r>
      <w:bookmarkStart w:id="286" w:name="xdx_900_eus-gaap--DeferredCompensationAr"/>
      <w:bookmarkEnd w:id="286"/>
      <w:r>
        <w:rPr>
          <w:rFonts w:ascii="Times New Roman;Times;Serif" w:hAnsi="Times New Roman;Times;Serif"/>
          <w:b w:val="false"/>
          <w:i w:val="false"/>
          <w:caps w:val="false"/>
          <w:smallCaps w:val="false"/>
          <w:sz w:val="20"/>
        </w:rPr>
        <w:t>50% of the CEO’s contingent bonus ($</w:t>
      </w:r>
      <w:bookmarkStart w:id="287" w:name="xdx_905_eus-gaap--DeferredCompensationAr"/>
      <w:bookmarkEnd w:id="287"/>
      <w:r>
        <w:rPr>
          <w:rFonts w:ascii="Times New Roman;Times;Serif" w:hAnsi="Times New Roman;Times;Serif"/>
          <w:b w:val="false"/>
          <w:i w:val="false"/>
          <w:caps w:val="false"/>
          <w:smallCaps w:val="false"/>
          <w:sz w:val="20"/>
        </w:rPr>
        <w:t>149) is payable upon the Company raising at least $</w:t>
      </w:r>
      <w:bookmarkStart w:id="288" w:name="xdx_904_eus-gaap--ProceedsFromIssuanceOr"/>
      <w:bookmarkEnd w:id="288"/>
      <w:r>
        <w:rPr>
          <w:rFonts w:ascii="Times New Roman;Times;Serif" w:hAnsi="Times New Roman;Times;Serif"/>
          <w:b w:val="false"/>
          <w:i w:val="false"/>
          <w:caps w:val="false"/>
          <w:smallCaps w:val="false"/>
          <w:sz w:val="20"/>
        </w:rPr>
        <w:t>3,000 in new funds by June 30, 2024. As of June 30, 2024, the Company did not raise $</w:t>
      </w:r>
      <w:bookmarkStart w:id="289" w:name="xdx_90E_eus-gaap--ProceedsFromIssuanceOr"/>
      <w:bookmarkEnd w:id="289"/>
      <w:r>
        <w:rPr>
          <w:rFonts w:ascii="Times New Roman;Times;Serif" w:hAnsi="Times New Roman;Times;Serif"/>
          <w:b w:val="false"/>
          <w:i w:val="false"/>
          <w:caps w:val="false"/>
          <w:smallCaps w:val="false"/>
          <w:sz w:val="20"/>
        </w:rPr>
        <w:t xml:space="preserve">3,000 in new funds. However, on July 17, 2024, the Compensation Committee of the Board of Directors of the Company nevertheless approved the payment of the first </w:t>
      </w:r>
      <w:bookmarkStart w:id="290" w:name="xdx_90A_eus-gaap--DeferredCompensationAr"/>
      <w:bookmarkEnd w:id="290"/>
      <w:r>
        <w:rPr>
          <w:rFonts w:ascii="Times New Roman;Times;Serif" w:hAnsi="Times New Roman;Times;Serif"/>
          <w:b w:val="false"/>
          <w:i w:val="false"/>
          <w:caps w:val="false"/>
          <w:smallCaps w:val="false"/>
          <w:sz w:val="20"/>
        </w:rPr>
        <w:t>50% of the contingent bonus to the Company’s CEO in the amount of approximately $</w:t>
      </w:r>
      <w:bookmarkStart w:id="291" w:name="xdx_900_eus-gaap--DeferredCompensationAr"/>
      <w:bookmarkEnd w:id="291"/>
      <w:r>
        <w:rPr>
          <w:rFonts w:ascii="Times New Roman;Times;Serif" w:hAnsi="Times New Roman;Times;Serif"/>
          <w:b w:val="false"/>
          <w:i w:val="false"/>
          <w:caps w:val="false"/>
          <w:smallCaps w:val="false"/>
          <w:sz w:val="20"/>
        </w:rPr>
        <w:t>149. This bonus was recorded as a charge to expenses in the three-month period ended September 30,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remaining </w:t>
      </w:r>
      <w:bookmarkStart w:id="292" w:name="xdx_900_eus-gaap--DeferredCompensationAr"/>
      <w:bookmarkEnd w:id="292"/>
      <w:r>
        <w:rPr>
          <w:rFonts w:ascii="Times New Roman;Times;Serif" w:hAnsi="Times New Roman;Times;Serif"/>
          <w:b w:val="false"/>
          <w:i w:val="false"/>
          <w:caps w:val="false"/>
          <w:smallCaps w:val="false"/>
          <w:sz w:val="20"/>
        </w:rPr>
        <w:t>50% ($</w:t>
      </w:r>
      <w:bookmarkStart w:id="293" w:name="xdx_907_eus-gaap--DeferredCompensationAr"/>
      <w:bookmarkEnd w:id="293"/>
      <w:r>
        <w:rPr>
          <w:rFonts w:ascii="Times New Roman;Times;Serif" w:hAnsi="Times New Roman;Times;Serif"/>
          <w:b w:val="false"/>
          <w:i w:val="false"/>
          <w:caps w:val="false"/>
          <w:smallCaps w:val="false"/>
          <w:sz w:val="20"/>
        </w:rPr>
        <w:t>149), payable upon the Company raising at least $</w:t>
      </w:r>
      <w:bookmarkStart w:id="294" w:name="xdx_909_eus-gaap--ProceedsFromIssuanceOr"/>
      <w:bookmarkEnd w:id="294"/>
      <w:r>
        <w:rPr>
          <w:rFonts w:ascii="Times New Roman;Times;Serif" w:hAnsi="Times New Roman;Times;Serif"/>
          <w:b w:val="false"/>
          <w:i w:val="false"/>
          <w:caps w:val="false"/>
          <w:smallCaps w:val="false"/>
          <w:sz w:val="20"/>
        </w:rPr>
        <w:t>6,000 in new funds by September 30, 2024 (cumulative, so if $</w:t>
      </w:r>
      <w:bookmarkStart w:id="295" w:name="xdx_90D_eus-gaap--ProceedsFromIssuanceOr"/>
      <w:bookmarkEnd w:id="295"/>
      <w:r>
        <w:rPr>
          <w:rFonts w:ascii="Times New Roman;Times;Serif" w:hAnsi="Times New Roman;Times;Serif"/>
          <w:b w:val="false"/>
          <w:i w:val="false"/>
          <w:caps w:val="false"/>
          <w:smallCaps w:val="false"/>
          <w:sz w:val="20"/>
        </w:rPr>
        <w:t>3,000 is not raised by June 30, 2024 but the full $</w:t>
      </w:r>
      <w:bookmarkStart w:id="296" w:name="xdx_905_eus-gaap--ProceedsFromIssuanceOr"/>
      <w:bookmarkEnd w:id="296"/>
      <w:r>
        <w:rPr>
          <w:rFonts w:ascii="Times New Roman;Times;Serif" w:hAnsi="Times New Roman;Times;Serif"/>
          <w:b w:val="false"/>
          <w:i w:val="false"/>
          <w:caps w:val="false"/>
          <w:smallCaps w:val="false"/>
          <w:sz w:val="20"/>
        </w:rPr>
        <w:t>6,000 is raised by September 30, 2024, or if $</w:t>
      </w:r>
      <w:bookmarkStart w:id="297" w:name="xdx_907_eus-gaap--ProceedsFromIssuanceOr"/>
      <w:bookmarkEnd w:id="297"/>
      <w:r>
        <w:rPr>
          <w:rFonts w:ascii="Times New Roman;Times;Serif" w:hAnsi="Times New Roman;Times;Serif"/>
          <w:b w:val="false"/>
          <w:i w:val="false"/>
          <w:caps w:val="false"/>
          <w:smallCaps w:val="false"/>
          <w:sz w:val="20"/>
        </w:rPr>
        <w:t>10,000 is raised by December 31, 2024, the full amount is payable). The Company’s management is unable to predict the likelihood of securing additional capital; therefore, as of September 30, 2024, the Company has not recorded a liability for any contingent bonus.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executives are entitled to an aggregate contingent total bonus of NIS </w:t>
      </w:r>
      <w:bookmarkStart w:id="298" w:name="xdx_903_eus-gaap--DeferredCompensationAr"/>
      <w:bookmarkEnd w:id="298"/>
      <w:r>
        <w:rPr>
          <w:rFonts w:ascii="Times New Roman;Times;Serif" w:hAnsi="Times New Roman;Times;Serif"/>
          <w:b w:val="false"/>
          <w:i w:val="false"/>
          <w:caps w:val="false"/>
          <w:smallCaps w:val="false"/>
          <w:sz w:val="20"/>
        </w:rPr>
        <w:t>230,736 (approximately $</w:t>
      </w:r>
      <w:bookmarkStart w:id="299" w:name="xdx_906_eus-gaap--DeferredCompensationAr"/>
      <w:bookmarkEnd w:id="299"/>
      <w:r>
        <w:rPr>
          <w:rFonts w:ascii="Times New Roman;Times;Serif" w:hAnsi="Times New Roman;Times;Serif"/>
          <w:b w:val="false"/>
          <w:i w:val="false"/>
          <w:caps w:val="false"/>
          <w:smallCaps w:val="false"/>
          <w:sz w:val="20"/>
        </w:rPr>
        <w:t>61), which is payable upon the Company raising at least $</w:t>
      </w:r>
      <w:bookmarkStart w:id="300" w:name="xdx_90C_eus-gaap--ProceedsFromIssuanceOr"/>
      <w:bookmarkEnd w:id="300"/>
      <w:r>
        <w:rPr>
          <w:rFonts w:ascii="Times New Roman;Times;Serif" w:hAnsi="Times New Roman;Times;Serif"/>
          <w:b w:val="false"/>
          <w:i w:val="false"/>
          <w:caps w:val="false"/>
          <w:smallCaps w:val="false"/>
          <w:sz w:val="20"/>
        </w:rPr>
        <w:t>3,000 in new funds by September 30, 2024. During the third quarter of 2024, the Company achieved a cumulative capital raise of $</w:t>
      </w:r>
      <w:bookmarkStart w:id="301" w:name="xdx_908_eus-gaap--ProceedsFromIssuanceOr"/>
      <w:bookmarkEnd w:id="301"/>
      <w:r>
        <w:rPr>
          <w:rFonts w:ascii="Times New Roman;Times;Serif" w:hAnsi="Times New Roman;Times;Serif"/>
          <w:b w:val="false"/>
          <w:i w:val="false"/>
          <w:caps w:val="false"/>
          <w:smallCaps w:val="false"/>
          <w:sz w:val="20"/>
        </w:rPr>
        <w:t>3,000. On July 17, 2024, the Compensation Committee of the Board of Directors of the Company approved the payment of such bonuses to the Company’s CFO and CTO in the aggregate amount of approximately $</w:t>
      </w:r>
      <w:bookmarkStart w:id="302" w:name="xdx_907_eus-gaap--DeferredCompensationAr"/>
      <w:bookmarkEnd w:id="302"/>
      <w:r>
        <w:rPr>
          <w:rFonts w:ascii="Times New Roman;Times;Serif" w:hAnsi="Times New Roman;Times;Serif"/>
          <w:b w:val="false"/>
          <w:i w:val="false"/>
          <w:caps w:val="false"/>
          <w:smallCaps w:val="false"/>
          <w:sz w:val="20"/>
        </w:rPr>
        <w:t>61. This bonus was recorded as a charge to expenses in the three-month period ended September 30, 2024.</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03" w:name="xdx_805_eus-gaap--StockholdersEquityNote"/>
      <w:bookmarkEnd w:id="303"/>
      <w:r>
        <w:rPr>
          <w:rFonts w:ascii="Times New Roman;Times;Serif" w:hAnsi="Times New Roman;Times;Serif"/>
          <w:b/>
          <w:i w:val="false"/>
          <w:caps w:val="false"/>
          <w:smallCaps w:val="false"/>
          <w:sz w:val="20"/>
        </w:rPr>
        <w:t xml:space="preserve">NOTE 4 - </w:t>
      </w:r>
      <w:bookmarkStart w:id="304" w:name="xdx_820_zpAp4rThVjSf"/>
      <w:bookmarkEnd w:id="304"/>
      <w:r>
        <w:rPr>
          <w:rFonts w:ascii="Times New Roman;Times;Serif" w:hAnsi="Times New Roman;Times;Serif"/>
          <w:b/>
          <w:i w:val="false"/>
          <w:caps w:val="false"/>
          <w:smallCaps w:val="false"/>
          <w:sz w:val="20"/>
        </w:rPr>
        <w:t>SHARE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Preferred investment options inducement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29, 2023, the Company entered into a preferred investment option exercise inducement offer letter with certain holders of existing (i) Series A preferred investment options to purchase </w:t>
      </w:r>
      <w:bookmarkStart w:id="305" w:name="xdx_90C_eus-gaap--StockIssuedDuringPerio"/>
      <w:bookmarkEnd w:id="305"/>
      <w:r>
        <w:rPr>
          <w:rFonts w:ascii="Times New Roman;Times;Serif" w:hAnsi="Times New Roman;Times;Serif"/>
          <w:b w:val="false"/>
          <w:i w:val="false"/>
          <w:caps w:val="false"/>
          <w:smallCaps w:val="false"/>
          <w:sz w:val="20"/>
        </w:rPr>
        <w:t>1,022,495 shares of the Company’s common stock at an exercise price of $</w:t>
      </w:r>
      <w:bookmarkStart w:id="306" w:name="xdx_902_eus-gaap--SharesIssuedPricePerSh"/>
      <w:bookmarkEnd w:id="306"/>
      <w:r>
        <w:rPr>
          <w:rFonts w:ascii="Times New Roman;Times;Serif" w:hAnsi="Times New Roman;Times;Serif"/>
          <w:b w:val="false"/>
          <w:i w:val="false"/>
          <w:caps w:val="false"/>
          <w:smallCaps w:val="false"/>
          <w:sz w:val="20"/>
        </w:rPr>
        <w:t xml:space="preserve">2.20 per share, issued on October 25, 2022, as amended on May 24, 2023, (ii) Series C preferred investment options to purchase </w:t>
      </w:r>
      <w:bookmarkStart w:id="307" w:name="xdx_90A_eus-gaap--StockIssuedDuringPerio"/>
      <w:bookmarkEnd w:id="307"/>
      <w:r>
        <w:rPr>
          <w:rFonts w:ascii="Times New Roman;Times;Serif" w:hAnsi="Times New Roman;Times;Serif"/>
          <w:b w:val="false"/>
          <w:i w:val="false"/>
          <w:caps w:val="false"/>
          <w:smallCaps w:val="false"/>
          <w:sz w:val="20"/>
        </w:rPr>
        <w:t>350,878 shares of the Company’s common stock at an exercise price of $</w:t>
      </w:r>
      <w:bookmarkStart w:id="308" w:name="xdx_902_eus-gaap--SharesIssuedPricePerSh"/>
      <w:bookmarkEnd w:id="308"/>
      <w:r>
        <w:rPr>
          <w:rFonts w:ascii="Times New Roman;Times;Serif" w:hAnsi="Times New Roman;Times;Serif"/>
          <w:b w:val="false"/>
          <w:i w:val="false"/>
          <w:caps w:val="false"/>
          <w:smallCaps w:val="false"/>
          <w:sz w:val="20"/>
        </w:rPr>
        <w:t xml:space="preserve">2.075 per share, issued on June 6, 2023, and (iii) Series D preferred investment options to purchase </w:t>
      </w:r>
      <w:bookmarkStart w:id="309" w:name="xdx_907_eus-gaap--StockIssuedDuringPerio"/>
      <w:bookmarkEnd w:id="309"/>
      <w:r>
        <w:rPr>
          <w:rFonts w:ascii="Times New Roman;Times;Serif" w:hAnsi="Times New Roman;Times;Serif"/>
          <w:b w:val="false"/>
          <w:i w:val="false"/>
          <w:caps w:val="false"/>
          <w:smallCaps w:val="false"/>
          <w:sz w:val="20"/>
        </w:rPr>
        <w:t>312,309 shares of the Company’s common stock at an exercise price of $</w:t>
      </w:r>
      <w:bookmarkStart w:id="310" w:name="xdx_902_eus-gaap--SharesIssuedPricePerSh"/>
      <w:bookmarkEnd w:id="310"/>
      <w:r>
        <w:rPr>
          <w:rFonts w:ascii="Times New Roman;Times;Serif" w:hAnsi="Times New Roman;Times;Serif"/>
          <w:b w:val="false"/>
          <w:i w:val="false"/>
          <w:caps w:val="false"/>
          <w:smallCaps w:val="false"/>
          <w:sz w:val="20"/>
        </w:rPr>
        <w:t xml:space="preserve">3.19 per share issued on June 26, 2023 (clauses (i) through (iii) collectively, the “Existing Preferred Investment Options”), pursuant to which the holders agreed to exercise for cash their Existing Preferred Investment Options to purchase an aggregate of </w:t>
      </w:r>
      <w:bookmarkStart w:id="311" w:name="xdx_904_eus-gaap--StockIssuedDuringPerio"/>
      <w:bookmarkEnd w:id="311"/>
      <w:r>
        <w:rPr>
          <w:rFonts w:ascii="Times New Roman;Times;Serif" w:hAnsi="Times New Roman;Times;Serif"/>
          <w:b w:val="false"/>
          <w:i w:val="false"/>
          <w:caps w:val="false"/>
          <w:smallCaps w:val="false"/>
          <w:sz w:val="20"/>
        </w:rPr>
        <w:t>1,685,682 shares of the Company’s common stock, at a reduced exercised price of $</w:t>
      </w:r>
      <w:bookmarkStart w:id="312" w:name="xdx_902_eus-gaap--SharesIssuedPricePerSh"/>
      <w:bookmarkEnd w:id="312"/>
      <w:r>
        <w:rPr>
          <w:rFonts w:ascii="Times New Roman;Times;Serif" w:hAnsi="Times New Roman;Times;Serif"/>
          <w:b w:val="false"/>
          <w:i w:val="false"/>
          <w:caps w:val="false"/>
          <w:smallCaps w:val="false"/>
          <w:sz w:val="20"/>
        </w:rPr>
        <w:t xml:space="preserve">1.62 per share, in consideration for the Company’s agreement to issue new series E preferred investment options having terms to purchase up to </w:t>
      </w:r>
      <w:bookmarkStart w:id="313" w:name="xdx_904_eus-gaap--StockIssuedDuringPerio"/>
      <w:bookmarkEnd w:id="313"/>
      <w:r>
        <w:rPr>
          <w:rFonts w:ascii="Times New Roman;Times;Serif" w:hAnsi="Times New Roman;Times;Serif"/>
          <w:b w:val="false"/>
          <w:i w:val="false"/>
          <w:caps w:val="false"/>
          <w:smallCaps w:val="false"/>
          <w:sz w:val="20"/>
        </w:rPr>
        <w:t>1,685,682 shares of the Company’s common stock (the “Inducement Investment Options”). Each Inducement Investment Option will have an exercise price equal to $</w:t>
      </w:r>
      <w:bookmarkStart w:id="314" w:name="xdx_909_eus-gaap--SharesIssuedPricePerSh"/>
      <w:bookmarkEnd w:id="314"/>
      <w:r>
        <w:rPr>
          <w:rFonts w:ascii="Times New Roman;Times;Serif" w:hAnsi="Times New Roman;Times;Serif"/>
          <w:b w:val="false"/>
          <w:i w:val="false"/>
          <w:caps w:val="false"/>
          <w:smallCaps w:val="false"/>
          <w:sz w:val="20"/>
        </w:rPr>
        <w:t>1.50 per share, and will be exercisable from the date of the issuance until five and one-half (5.5) years following the date of the issuance. The Company received aggregate gross proceeds of approximately $</w:t>
      </w:r>
      <w:bookmarkStart w:id="315" w:name="xdx_90C_eus-gaap--ProceedsFromStockOptio"/>
      <w:bookmarkEnd w:id="315"/>
      <w:r>
        <w:rPr>
          <w:rFonts w:ascii="Times New Roman;Times;Serif" w:hAnsi="Times New Roman;Times;Serif"/>
          <w:b w:val="false"/>
          <w:i w:val="false"/>
          <w:caps w:val="false"/>
          <w:smallCaps w:val="false"/>
          <w:sz w:val="20"/>
        </w:rPr>
        <w:t>2,730 from the exercise of the Existing Preferred Investment Options by the Holders and the sale of the Inducement Investment Options, before deducting placement agent fees and other offering expenses of approximately $</w:t>
      </w:r>
      <w:bookmarkStart w:id="316" w:name="xdx_90E_ecustom--AgentFeesAndOtherOfferi"/>
      <w:bookmarkEnd w:id="316"/>
      <w:r>
        <w:rPr>
          <w:rFonts w:ascii="Times New Roman;Times;Serif" w:hAnsi="Times New Roman;Times;Serif"/>
          <w:b w:val="false"/>
          <w:i w:val="false"/>
          <w:caps w:val="false"/>
          <w:smallCaps w:val="false"/>
          <w:sz w:val="20"/>
        </w:rPr>
        <w:t xml:space="preserve">333. The Company also issued to Wainwright or its designees preferred investment options to purchase up to </w:t>
      </w:r>
      <w:bookmarkStart w:id="317" w:name="xdx_902_eus-gaap--StockIssuedDuringPerio"/>
      <w:bookmarkEnd w:id="317"/>
      <w:r>
        <w:rPr>
          <w:rFonts w:ascii="Times New Roman;Times;Serif" w:hAnsi="Times New Roman;Times;Serif"/>
          <w:b w:val="false"/>
          <w:i w:val="false"/>
          <w:caps w:val="false"/>
          <w:smallCaps w:val="false"/>
          <w:sz w:val="20"/>
        </w:rPr>
        <w:t>84,284 shares of common stock which have the same terms as the Inducement Investment Options except for an exercise price equal to $</w:t>
      </w:r>
      <w:bookmarkStart w:id="318" w:name="xdx_90C_eus-gaap--SharesIssuedPricePerSh"/>
      <w:bookmarkEnd w:id="318"/>
      <w:r>
        <w:rPr>
          <w:rFonts w:ascii="Times New Roman;Times;Serif" w:hAnsi="Times New Roman;Times;Serif"/>
          <w:b w:val="false"/>
          <w:i w:val="false"/>
          <w:caps w:val="false"/>
          <w:smallCaps w:val="false"/>
          <w:sz w:val="20"/>
        </w:rPr>
        <w:t>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June 2024 Offerings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 2024, the Company entered into Securities Purchase Agreements with institutional investors, pursuant to which the Company agreed to issue and sell, in a registered direct offering priced at-the-market under the rules of The Nasdaq Stock Market, an aggregate of </w:t>
      </w:r>
      <w:bookmarkStart w:id="319" w:name="xdx_905_eus-gaap--StockIssuedDuringPerio"/>
      <w:bookmarkEnd w:id="319"/>
      <w:r>
        <w:rPr>
          <w:rFonts w:ascii="Times New Roman;Times;Serif" w:hAnsi="Times New Roman;Times;Serif"/>
          <w:b w:val="false"/>
          <w:i w:val="false"/>
          <w:caps w:val="false"/>
          <w:smallCaps w:val="false"/>
          <w:sz w:val="20"/>
        </w:rPr>
        <w:t>1,566,669 shares of the Company’s common stock, par value $</w:t>
      </w:r>
      <w:bookmarkStart w:id="320" w:name="xdx_90A_eus-gaap--CommonStockParOrStated"/>
      <w:bookmarkEnd w:id="320"/>
      <w:r>
        <w:rPr>
          <w:rFonts w:ascii="Times New Roman;Times;Serif" w:hAnsi="Times New Roman;Times;Serif"/>
          <w:b w:val="false"/>
          <w:i w:val="false"/>
          <w:caps w:val="false"/>
          <w:smallCaps w:val="false"/>
          <w:sz w:val="20"/>
        </w:rPr>
        <w:t>0.01 per share, at an offering price of $</w:t>
      </w:r>
      <w:bookmarkStart w:id="321" w:name="xdx_903_eus-gaap--SharesIssuedPricePerSh"/>
      <w:bookmarkEnd w:id="321"/>
      <w:r>
        <w:rPr>
          <w:rFonts w:ascii="Times New Roman;Times;Serif" w:hAnsi="Times New Roman;Times;Serif"/>
          <w:b w:val="false"/>
          <w:i w:val="false"/>
          <w:caps w:val="false"/>
          <w:smallCaps w:val="false"/>
          <w:sz w:val="20"/>
        </w:rPr>
        <w:t>1.50 per share, for aggregate gross proceeds from the Offerings of approximately $</w:t>
      </w:r>
      <w:bookmarkStart w:id="322" w:name="xdx_905_eus-gaap--ProceedsFromIssuanceOf"/>
      <w:bookmarkEnd w:id="322"/>
      <w:r>
        <w:rPr>
          <w:rFonts w:ascii="Times New Roman;Times;Serif" w:hAnsi="Times New Roman;Times;Serif"/>
          <w:b w:val="false"/>
          <w:i w:val="false"/>
          <w:caps w:val="false"/>
          <w:smallCaps w:val="false"/>
          <w:sz w:val="20"/>
        </w:rPr>
        <w:t>2,350 before deducting the placement agent fee and related offering expenses of approximately $</w:t>
      </w:r>
      <w:bookmarkStart w:id="323" w:name="xdx_90B_eus-gaap--DeferredOfferingCosts_"/>
      <w:bookmarkEnd w:id="323"/>
      <w:r>
        <w:rPr>
          <w:rFonts w:ascii="Times New Roman;Times;Serif" w:hAnsi="Times New Roman;Times;Serif"/>
          <w:b w:val="false"/>
          <w:i w:val="false"/>
          <w:caps w:val="false"/>
          <w:smallCaps w:val="false"/>
          <w:sz w:val="20"/>
        </w:rPr>
        <w:t xml:space="preserve">328. In a concurrent private placement, the Company agreed to issue to the investors series F preferred investment options to purchase up to </w:t>
      </w:r>
      <w:bookmarkStart w:id="324" w:name="xdx_90B_eus-gaap--StockIssuedDuringPerio"/>
      <w:bookmarkEnd w:id="324"/>
      <w:r>
        <w:rPr>
          <w:rFonts w:ascii="Times New Roman;Times;Serif" w:hAnsi="Times New Roman;Times;Serif"/>
          <w:b w:val="false"/>
          <w:i w:val="false"/>
          <w:caps w:val="false"/>
          <w:smallCaps w:val="false"/>
          <w:sz w:val="20"/>
        </w:rPr>
        <w:t>3,133,338 shares of common stock at an exercise price of $</w:t>
      </w:r>
      <w:bookmarkStart w:id="325" w:name="xdx_90C_eus-gaap--SharesIssuedPricePerSh"/>
      <w:bookmarkEnd w:id="325"/>
      <w:r>
        <w:rPr>
          <w:rFonts w:ascii="Times New Roman;Times;Serif" w:hAnsi="Times New Roman;Times;Serif"/>
          <w:b w:val="false"/>
          <w:i w:val="false"/>
          <w:caps w:val="false"/>
          <w:smallCaps w:val="false"/>
          <w:sz w:val="20"/>
        </w:rPr>
        <w:t>1.50 per share. Each Series F preferred investment option is exercisable immediately and will expire two years from the initial exercise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issued to Wainwright or its designees preferred investment options to purchase up to </w:t>
      </w:r>
      <w:bookmarkStart w:id="326" w:name="xdx_90E_eus-gaap--StockIssuedDuringPerio"/>
      <w:bookmarkEnd w:id="326"/>
      <w:r>
        <w:rPr>
          <w:rFonts w:ascii="Times New Roman;Times;Serif" w:hAnsi="Times New Roman;Times;Serif"/>
          <w:b w:val="false"/>
          <w:i w:val="false"/>
          <w:caps w:val="false"/>
          <w:smallCaps w:val="false"/>
          <w:sz w:val="20"/>
        </w:rPr>
        <w:t>78,333 shares of common stock which have the same terms as investors’ preferred investment options except for an exercise price equal to $</w:t>
      </w:r>
      <w:bookmarkStart w:id="327" w:name="xdx_900_eus-gaap--SharesIssuedPricePerSh"/>
      <w:bookmarkEnd w:id="327"/>
      <w:r>
        <w:rPr>
          <w:rFonts w:ascii="Times New Roman;Times;Serif" w:hAnsi="Times New Roman;Times;Serif"/>
          <w:b w:val="false"/>
          <w:i w:val="false"/>
          <w:caps w:val="false"/>
          <w:smallCaps w:val="false"/>
          <w:sz w:val="20"/>
        </w:rPr>
        <w:t>1.875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Equity component of settlement amount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Settlement Agreement (refer to Note 3G above), the Company issued </w:t>
      </w:r>
      <w:bookmarkStart w:id="328" w:name="xdx_90E_eus-gaap--StockIssuedDuringPerio"/>
      <w:bookmarkEnd w:id="328"/>
      <w:r>
        <w:rPr>
          <w:rFonts w:ascii="Times New Roman;Times;Serif" w:hAnsi="Times New Roman;Times;Serif"/>
          <w:b w:val="false"/>
          <w:i w:val="false"/>
          <w:caps w:val="false"/>
          <w:smallCaps w:val="false"/>
          <w:sz w:val="20"/>
        </w:rPr>
        <w:t>1,005,965 shares of the Company’s common stock.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At-the-market offerings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entering into the ATM Agreement, on July 1, 2024, the Company filed with the SEC a prospectus supplement relating to the offer, issuance and sale of up to $</w:t>
      </w:r>
      <w:bookmarkStart w:id="329" w:name="xdx_90B_eus-gaap--SaleOfStockConsiderati"/>
      <w:bookmarkEnd w:id="329"/>
      <w:r>
        <w:rPr>
          <w:rFonts w:ascii="Times New Roman;Times;Serif" w:hAnsi="Times New Roman;Times;Serif"/>
          <w:b w:val="false"/>
          <w:i w:val="false"/>
          <w:caps w:val="false"/>
          <w:smallCaps w:val="false"/>
          <w:sz w:val="20"/>
        </w:rPr>
        <w:t xml:space="preserve">4,820 of the Company’s shares of common stock pursuant to the ATM Agreement. For the three months ended September 30, 2024, the Company issued </w:t>
      </w:r>
      <w:bookmarkStart w:id="330" w:name="xdx_90B_eus-gaap--StockIssuedDuringPerio"/>
      <w:bookmarkEnd w:id="330"/>
      <w:r>
        <w:rPr>
          <w:rFonts w:ascii="Times New Roman;Times;Serif" w:hAnsi="Times New Roman;Times;Serif"/>
          <w:b w:val="false"/>
          <w:i w:val="false"/>
          <w:caps w:val="false"/>
          <w:smallCaps w:val="false"/>
          <w:sz w:val="20"/>
        </w:rPr>
        <w:t>685,800 shares of the Company’s common stock pursuant to the ATM Agreement, for total gross proceeds of approximately $</w:t>
      </w:r>
      <w:bookmarkStart w:id="331" w:name="xdx_906_eus-gaap--ProceedsFromIssuanceOf"/>
      <w:bookmarkEnd w:id="331"/>
      <w:r>
        <w:rPr>
          <w:rFonts w:ascii="Times New Roman;Times;Serif" w:hAnsi="Times New Roman;Times;Serif"/>
          <w:b w:val="false"/>
          <w:i w:val="false"/>
          <w:caps w:val="false"/>
          <w:smallCaps w:val="false"/>
          <w:sz w:val="20"/>
        </w:rPr>
        <w:t>734 before deducting sales agent commissions and other offering expenses of $</w:t>
      </w:r>
      <w:bookmarkStart w:id="332" w:name="xdx_90E_eus-gaap--PaymentsOfStockIssuanc"/>
      <w:bookmarkEnd w:id="332"/>
      <w:r>
        <w:rPr>
          <w:rFonts w:ascii="Times New Roman;Times;Serif" w:hAnsi="Times New Roman;Times;Serif"/>
          <w:b w:val="false"/>
          <w:i w:val="false"/>
          <w:caps w:val="false"/>
          <w:smallCaps w:val="false"/>
          <w:sz w:val="20"/>
        </w:rPr>
        <w:t>49.</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Equity classification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of the Company are recognized as equity under the requirements of ASC Topic 505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analyzed the accounting treatment for the series E and series F preferred investment options and concluded that they should be classified as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analyzed the accounting treatment for the preferred investment options issued to Wainwright. Since the Company did not identify any features causing liability classification according to ASC 718, it concluded that all such preferred investment options are equity-classified awards.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Employee and advisor stock option grants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2024, the Company granted the CEO, certain executives and certain employees, fully vested options to purchase an aggregate of </w:t>
      </w:r>
      <w:bookmarkStart w:id="333" w:name="xdx_906_eus-gaap--ShareBasedCompensation"/>
      <w:bookmarkEnd w:id="333"/>
      <w:r>
        <w:rPr>
          <w:rFonts w:ascii="Times New Roman;Times;Serif" w:hAnsi="Times New Roman;Times;Serif"/>
          <w:b w:val="false"/>
          <w:i w:val="false"/>
          <w:caps w:val="false"/>
          <w:smallCaps w:val="false"/>
          <w:sz w:val="20"/>
        </w:rPr>
        <w:t>130,000 shares of the Company’s common stock, at an exercise price per share of $</w:t>
      </w:r>
      <w:bookmarkStart w:id="334" w:name="xdx_90F_eus-gaap--SharesIssuedPricePerSh"/>
      <w:bookmarkEnd w:id="334"/>
      <w:r>
        <w:rPr>
          <w:rFonts w:ascii="Times New Roman;Times;Serif" w:hAnsi="Times New Roman;Times;Serif"/>
          <w:b w:val="false"/>
          <w:i w:val="false"/>
          <w:caps w:val="false"/>
          <w:smallCaps w:val="false"/>
          <w:sz w:val="20"/>
        </w:rPr>
        <w:t>1.2684, attributable to performance goals achieved in January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granted the CEO and other executives, options to purchase an aggregate of </w:t>
      </w:r>
      <w:bookmarkStart w:id="335" w:name="xdx_904_eus-gaap--ShareBasedCompensation"/>
      <w:bookmarkEnd w:id="335"/>
      <w:r>
        <w:rPr>
          <w:rFonts w:ascii="Times New Roman;Times;Serif" w:hAnsi="Times New Roman;Times;Serif"/>
          <w:b w:val="false"/>
          <w:i w:val="false"/>
          <w:caps w:val="false"/>
          <w:smallCaps w:val="false"/>
          <w:sz w:val="20"/>
        </w:rPr>
        <w:t>132,500 shares of the Company’s common stock at an exercise price per share of $</w:t>
      </w:r>
      <w:bookmarkStart w:id="336" w:name="xdx_90E_eus-gaap--SharesIssuedPricePerSh"/>
      <w:bookmarkEnd w:id="336"/>
      <w:r>
        <w:rPr>
          <w:rFonts w:ascii="Times New Roman;Times;Serif" w:hAnsi="Times New Roman;Times;Serif"/>
          <w:b w:val="false"/>
          <w:i w:val="false"/>
          <w:caps w:val="false"/>
          <w:smallCaps w:val="false"/>
          <w:sz w:val="20"/>
        </w:rPr>
        <w:t xml:space="preserve">1.25, with vesting based on meeting certain performance conditions in the year 2024. For the nine-month period ended September 30, 2024, the Company did not record an expense for these performance-based grants. This was either because the Company’s management believes the conditions are tied to securing additional capital, or because specific performance obligations, with deadlines set on or before September 30, 2024, were not met by that date.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2024, the Company granted the CEO and certain employees and advisors, options to purchase an aggregate of </w:t>
      </w:r>
      <w:bookmarkStart w:id="337" w:name="xdx_908_eus-gaap--ShareBasedCompensation"/>
      <w:bookmarkEnd w:id="337"/>
      <w:r>
        <w:rPr>
          <w:rFonts w:ascii="Times New Roman;Times;Serif" w:hAnsi="Times New Roman;Times;Serif"/>
          <w:b w:val="false"/>
          <w:i w:val="false"/>
          <w:caps w:val="false"/>
          <w:smallCaps w:val="false"/>
          <w:sz w:val="20"/>
        </w:rPr>
        <w:t>195,000 shares of the Company’s common stock, at an exercise price per share of $</w:t>
      </w:r>
      <w:bookmarkStart w:id="338" w:name="xdx_90E_eus-gaap--SharesIssuedPricePerSh"/>
      <w:bookmarkEnd w:id="338"/>
      <w:r>
        <w:rPr>
          <w:rFonts w:ascii="Times New Roman;Times;Serif" w:hAnsi="Times New Roman;Times;Serif"/>
          <w:b w:val="false"/>
          <w:i w:val="false"/>
          <w:caps w:val="false"/>
          <w:smallCaps w:val="false"/>
          <w:sz w:val="20"/>
        </w:rPr>
        <w:t xml:space="preserve">1.2684, with a vesting period of </w:t>
      </w:r>
      <w:bookmarkStart w:id="339" w:name="xdx_908_eus-gaap--ShareBasedCompensation"/>
      <w:bookmarkEnd w:id="339"/>
      <w:r>
        <w:rPr>
          <w:rFonts w:ascii="Times New Roman;Times;Serif" w:hAnsi="Times New Roman;Times;Serif"/>
          <w:b w:val="false"/>
          <w:i w:val="false"/>
          <w:caps w:val="false"/>
          <w:smallCaps w:val="false"/>
          <w:sz w:val="20"/>
        </w:rPr>
        <w:t xml:space="preserve">three years. Regarding the CEO’s 2023 annual bonus, in February 2024, the Company paid the CEO </w:t>
      </w:r>
      <w:bookmarkStart w:id="340" w:name="xdx_907_eus-gaap--SharebasedCompensation"/>
      <w:bookmarkEnd w:id="340"/>
      <w:r>
        <w:rPr>
          <w:rFonts w:ascii="Times New Roman;Times;Serif" w:hAnsi="Times New Roman;Times;Serif"/>
          <w:b w:val="false"/>
          <w:i w:val="false"/>
          <w:caps w:val="false"/>
          <w:smallCaps w:val="false"/>
          <w:sz w:val="20"/>
        </w:rPr>
        <w:t>25% of his 2023 annual bonus, amounting to approximately $</w:t>
      </w:r>
      <w:bookmarkStart w:id="341" w:name="xdx_90C_ecustom--AnnualBonus_pn3n3_c2024"/>
      <w:bookmarkEnd w:id="341"/>
      <w:r>
        <w:rPr>
          <w:rFonts w:ascii="Times New Roman;Times;Serif" w:hAnsi="Times New Roman;Times;Serif"/>
          <w:b w:val="false"/>
          <w:i w:val="false"/>
          <w:caps w:val="false"/>
          <w:smallCaps w:val="false"/>
          <w:sz w:val="20"/>
        </w:rPr>
        <w:t xml:space="preserve">99, through the grant of fully vested options to purchase an aggregate of </w:t>
      </w:r>
      <w:bookmarkStart w:id="342" w:name="xdx_90B_eus-gaap--ShareBasedCompensation"/>
      <w:bookmarkEnd w:id="342"/>
      <w:r>
        <w:rPr>
          <w:rFonts w:ascii="Times New Roman;Times;Serif" w:hAnsi="Times New Roman;Times;Serif"/>
          <w:b w:val="false"/>
          <w:i w:val="false"/>
          <w:caps w:val="false"/>
          <w:smallCaps w:val="false"/>
          <w:sz w:val="20"/>
        </w:rPr>
        <w:t>79,567 shares of the Company’s common stock with an exercise price per share of $</w:t>
      </w:r>
      <w:bookmarkStart w:id="343" w:name="xdx_902_eus-gaap--SharesIssuedPricePerSh"/>
      <w:bookmarkEnd w:id="343"/>
      <w:r>
        <w:rPr>
          <w:rFonts w:ascii="Times New Roman;Times;Serif" w:hAnsi="Times New Roman;Times;Serif"/>
          <w:b w:val="false"/>
          <w:i w:val="false"/>
          <w:caps w:val="false"/>
          <w:smallCaps w:val="false"/>
          <w:sz w:val="20"/>
        </w:rPr>
        <w:t>1.25.</w:t>
      </w:r>
    </w:p>
    <w:p>
      <w:pPr>
        <w:pStyle w:val="TextBody"/>
        <w:bidi w:val="0"/>
        <w:spacing w:before="0" w:after="0"/>
        <w:jc w:val="both"/>
        <w:rPr>
          <w:caps w:val="false"/>
          <w:smallCaps w:val="false"/>
        </w:rPr>
      </w:pPr>
      <w:r>
        <w:rPr>
          <w:caps w:val="false"/>
          <w:smallCaps w:val="false"/>
        </w:rPr>
        <w:t> </w:t>
      </w:r>
    </w:p>
    <w:p>
      <w:pPr>
        <w:pStyle w:val="TextBody"/>
        <w:bidi w:val="0"/>
        <w:jc w:val="both"/>
        <w:rPr/>
      </w:pPr>
      <w:r>
        <w:rPr/>
        <w:t xml:space="preserve">In September 2024, the Company granted an advisor options to purchase an aggregate of </w:t>
      </w:r>
      <w:bookmarkStart w:id="344" w:name="xdx_90F_eus-gaap--ShareBasedCompensation"/>
      <w:bookmarkEnd w:id="344"/>
      <w:r>
        <w:rPr/>
        <w:t>25,000 shares of the Company’s common stock, at an exercise price per share of $</w:t>
      </w:r>
      <w:bookmarkStart w:id="345" w:name="xdx_902_eus-gaap--SharesIssuedPricePerSh"/>
      <w:bookmarkEnd w:id="345"/>
      <w:r>
        <w:rPr/>
        <w:t xml:space="preserve">0.8558, with a vesting period of </w:t>
      </w:r>
      <w:bookmarkStart w:id="346" w:name="xdx_90F_eus-gaap--ShareBasedCompensation"/>
      <w:bookmarkEnd w:id="346"/>
      <w:r>
        <w:rPr/>
        <w:t>three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47" w:name="xdx_807_eus-gaap--SubsequentEventsTextBl"/>
      <w:bookmarkEnd w:id="347"/>
      <w:r>
        <w:rPr>
          <w:rFonts w:ascii="Times New Roman;Times;Serif" w:hAnsi="Times New Roman;Times;Serif"/>
          <w:b/>
          <w:i w:val="false"/>
          <w:caps w:val="false"/>
          <w:smallCaps w:val="false"/>
          <w:sz w:val="20"/>
        </w:rPr>
        <w:t xml:space="preserve">NOTE 5 – </w:t>
      </w:r>
      <w:bookmarkStart w:id="348" w:name="xdx_822_zBTCeW19Iax3"/>
      <w:bookmarkEnd w:id="348"/>
      <w:r>
        <w:rPr>
          <w:rFonts w:ascii="Times New Roman;Times;Serif" w:hAnsi="Times New Roman;Times;Serif"/>
          <w:b/>
          <w:i w:val="false"/>
          <w:caps w:val="false"/>
          <w:smallCaps w:val="false"/>
          <w:sz w:val="20"/>
        </w:rPr>
        <w:t>SUBSEQUENT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At-the-market offerings subsequent to balance sheet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October 2024, the Company issued </w:t>
      </w:r>
      <w:bookmarkStart w:id="349" w:name="xdx_903_eus-gaap--StockIssuedDuringPerio"/>
      <w:bookmarkEnd w:id="349"/>
      <w:r>
        <w:rPr>
          <w:rFonts w:ascii="Times New Roman;Times;Serif" w:hAnsi="Times New Roman;Times;Serif"/>
          <w:b w:val="false"/>
          <w:i w:val="false"/>
          <w:caps w:val="false"/>
          <w:smallCaps w:val="false"/>
          <w:sz w:val="20"/>
        </w:rPr>
        <w:t>280,908 shares of the Company’s common stock pursuant to the ATM Agreement, for total gross proceeds of approximately $</w:t>
      </w:r>
      <w:bookmarkStart w:id="350" w:name="xdx_902_eus-gaap--ProceedsFromIssuanceOf"/>
      <w:bookmarkEnd w:id="350"/>
      <w:r>
        <w:rPr>
          <w:rFonts w:ascii="Times New Roman;Times;Serif" w:hAnsi="Times New Roman;Times;Serif"/>
          <w:b w:val="false"/>
          <w:i w:val="false"/>
          <w:caps w:val="false"/>
          <w:smallCaps w:val="false"/>
          <w:sz w:val="20"/>
        </w:rPr>
        <w:t>285.</w:t>
      </w:r>
    </w:p>
    <w:p>
      <w:pPr>
        <w:pStyle w:val="TextBody"/>
        <w:bidi w:val="0"/>
        <w:spacing w:before="0" w:after="0"/>
        <w:jc w:val="center"/>
        <w:rPr>
          <w:caps w:val="false"/>
          <w:smallCaps w:val="false"/>
        </w:rPr>
      </w:pPr>
      <w:bookmarkStart w:id="351" w:name="xdx_811_zXCsubwTNiD5"/>
      <w:bookmarkEnd w:id="35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52" w:name="a_006"/>
      <w:bookmarkEnd w:id="352"/>
      <w:r>
        <w:rPr>
          <w:rFonts w:ascii="Times New Roman;Times;Serif" w:hAnsi="Times New Roman;Times;Serif"/>
          <w:b/>
          <w:i w:val="false"/>
          <w:caps w:val="false"/>
          <w:smallCaps w:val="false"/>
          <w:sz w:val="20"/>
        </w:rPr>
        <w:t>Item 2 - Management’s Discussion and Analysis of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2023.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we are developing the first ever fully disposable robot for various endovascular interventional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LIBERTY® Endovascular Robotic Surgical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2020, Microbot unveiled what it believes is the world’s first fully disposable robotic system for use in endovascular interventional procedures, such as cardiovascular, peripheral and neurovascular. The LIBERTY®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platform or possibly other guidewire/microcatheter technologies.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addressable markets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are the Interventional Cardiology, Interventional Radiology and Interventional Neuroradiology markets.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the LIBERTY® Endovascular Robotic Surgical System - compact, mobile, disposable and remotely controlled - open the opportunity of expanding telerobotic interventions to patients with limited access to life-saving procedures, such as mechanical thrombectomy in ischemic stroke.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 Endovascular Robotic Surgical System is being designed to have the following attributes: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fully disposable, robotic system for endovascular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&amp; Done® - Can be made compatible with Microbot’s NitiLoop’s NovaCross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products or possibly other guidewire/microcatheter technologies, that combines guidewire and microcatheter into a single device.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the art maneuverability - Provides linear and rotational control of its guidewire, as well as linear and rotational control of a guide catheter, and the linear motion for an additional “over the wire” device.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Compatibility with a wide range of commercially-available guidewires, microcatheters and guide-catheters.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Aims to reduce exposure to ionizing radiation and the need for heavy lead vests otherwise to be worn during procedures, as well as reducing the exposure to Hospital Acquired Infections (HAI).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Its intuitive remote controls aims to simplify advanced procedures while shortening the physician’s learning curve.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compatible - Capable of supporting tele-catheterization, carried out remotely by highly trained specialists.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2020, Microbot announced the successful conclusion of its feasibility animal study using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remote operation capabilities, to pre-determined vascular targets, with a 100% success rate of reaching the intended target with no observable on-site complications.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announced the successful initial outcomes from our pivotal preclinical study with the LIBERTY® Endovascular Robotic Surgical System. The pivotal study was conducted by three leading interventional radiologists that utilized the LIBERTY® Endovascular Robotic Surgical System to reach a total of 48 animal targets. A total of 6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were used in the study. All 6 LIBERTY®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2023, we announced that we received confirmation for the commencement of the process to support our future CE Mark approval, and to ultimately allow us to market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Europe as well as other regions who accept the CE Mark. As a result, we recently were granted ISO 13485 certification for our quality management system, which is required to obtain CE mark approval for sales in the European Union. In addition, in view of the recent revision published by the U.S. Food &amp; Drug Administration (FDA) regarding the QMSR (quality system management regulation) and its incorporation by reference of the ISO 13485 standard, we believe it will help streamline our transition into this revised FDA regulation.</w:t>
      </w:r>
    </w:p>
    <w:p>
      <w:pPr>
        <w:pStyle w:val="TextBody"/>
        <w:bidi w:val="0"/>
        <w:spacing w:before="0" w:after="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2024, the Company submitted an Investigational Device Exemption (IDE) application with the FDA, in order to commence its pivotal clinical trial in humans. On June 3, 2024, we announced that we received the FDA’s approval to proceed with our pivotal human clinical trial as part of our IDE application for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Since then, Brigham and Women’s Hospital, Boston, Massachusetts, Baptist Hospital of Miami, which includes Miami Cardiac &amp; Vascular Institute and Miami Cancer Institute, and Memorial Sloan Kettering Cancer Center, New York, have each enrolled in the clinical trial as part of the IDE for the Company’s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Since then, in October 2024, the Company has successfully completed enrollment and follow up for all patients in its human clinical trial.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announced that is has successfully completed all biocompatibility tests, as required by its Investigational Device Exemption (IDE) application and received full approval for the IDE study from the FDA.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anticipates filing its 510(k) submission with the FDA by of the end of 2024, and receiving 510(k) clearance from the FDA in the first half of 2025. Due to recent changes in the regulations that govern the production and distribution of medical devices in Europe (EU MDR), where the Company has already achieved the first step of obtaining the ISO 13485 certification, the Company now anticipates CE Mark approval in the second half of 2026. However, we can give no assurance that we will meet any of these projected milestones, if ever.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 exploring the feasibility of integrating the LIBERTY® Endovascular Robotic Surgical System with an imaging system to create an autonomous robotic system for endovascular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NovaCross</w:t>
      </w:r>
      <w:r>
        <w:rPr>
          <w:rFonts w:ascii="Times New Roman;Times;Serif" w:hAnsi="Times New Roman;Times;Serif"/>
          <w:b w:val="false"/>
          <w:i/>
          <w:caps w:val="false"/>
          <w:smallCaps w:val="false"/>
          <w:position w:val="7"/>
          <w:sz w:val="16"/>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feature.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 in Israel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the Company’s research and development and other operations are primarily based, suffered a surprise attack by hostile forces from Gaza, which led to ongoing military operations and armed conflicts in the Gaza Strip. It continues to evolve and has since spread to northern Israel and threatens to spread to other Middle Eastern countries including Lebanon and Iran. These military operations and related activities are on-going as of the filing date of this Quarterly Report on Form 10-Q.</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 military operation and related matters, including: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the Company’s Israeli subcontractors, vendors, suppliers and other companies in which the Company relies, are currently only partially active, as instructed by the relevant authorities;</w:t>
            </w:r>
          </w:p>
        </w:tc>
      </w:tr>
    </w:tbl>
    <w:p>
      <w:pPr>
        <w:pStyle w:val="TextBody"/>
        <w:bidi w:val="0"/>
        <w:spacing w:before="0" w:after="0"/>
        <w:ind w:left="1440" w:right="0" w:hanging="0"/>
        <w:jc w:val="both"/>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75"/>
        <w:gridCol w:w="170"/>
        <w:gridCol w:w="60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 and</w:t>
            </w:r>
          </w:p>
        </w:tc>
      </w:tr>
    </w:tbl>
    <w:p>
      <w:pPr>
        <w:pStyle w:val="TextBody"/>
        <w:bidi w:val="0"/>
        <w:spacing w:before="0" w:after="0"/>
        <w:ind w:left="720" w:right="0" w:hanging="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workforce due to military service of some employees.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this Quarterly Report on Form 10-Q,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costs associated with management salaries and benefits, professional fees for accounting, auditing, consulting, legal services, and insurance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Accounting Policies and Significant Judgments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records and discloses legal contingencies in accordance with Accounting Standards Codification (“ASC”) Topic 450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A provision is recorded when it is both probable that a liability has been incurred and the amount of the loss can be reasonably estimated. The Company monitors the stage of progress of its litigation matters to determine if any adjustments are required.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Financial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certain of its financial instruments on a recurring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(unadjusted) in active markets for identical assets and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and that are significant to the fair value of the assets or liabilities.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Comparison of Three and </w:t>
      </w:r>
      <w:r>
        <w:rPr>
          <w:rFonts w:ascii="Times New Roman;Times;Serif" w:hAnsi="Times New Roman;Times;Serif"/>
          <w:b/>
          <w:i w:val="false"/>
          <w:caps w:val="false"/>
          <w:smallCaps w:val="false"/>
          <w:sz w:val="20"/>
        </w:rPr>
        <w:t xml:space="preserve">Nine </w:t>
      </w:r>
      <w:r>
        <w:rPr>
          <w:rFonts w:ascii="Times New Roman;Times;Serif" w:hAnsi="Times New Roman;Times;Serif"/>
          <w:b/>
          <w:i/>
          <w:caps w:val="false"/>
          <w:smallCaps w:val="false"/>
          <w:sz w:val="20"/>
        </w:rPr>
        <w:t>Months Ended September 30, 2024 and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key components of Microbot’s results of operations for the three and nine month periods ended September 30, 2024 and 2023 (in thousands):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87"/>
        <w:gridCol w:w="60"/>
        <w:gridCol w:w="200"/>
        <w:gridCol w:w="802"/>
        <w:gridCol w:w="85"/>
        <w:gridCol w:w="85"/>
        <w:gridCol w:w="200"/>
        <w:gridCol w:w="802"/>
        <w:gridCol w:w="60"/>
        <w:gridCol w:w="60"/>
        <w:gridCol w:w="219"/>
        <w:gridCol w:w="596"/>
        <w:gridCol w:w="95"/>
        <w:gridCol w:w="60"/>
        <w:gridCol w:w="188"/>
        <w:gridCol w:w="754"/>
        <w:gridCol w:w="80"/>
        <w:gridCol w:w="80"/>
        <w:gridCol w:w="188"/>
        <w:gridCol w:w="754"/>
        <w:gridCol w:w="60"/>
        <w:gridCol w:w="60"/>
        <w:gridCol w:w="219"/>
        <w:gridCol w:w="596"/>
        <w:gridCol w:w="115"/>
      </w:tblGrid>
      <w:tr>
        <w:trPr/>
        <w:tc>
          <w:tcPr>
            <w:tcW w:w="37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4"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6"/>
            <w:tcBorders/>
            <w:vAlign w:val="center"/>
          </w:tcPr>
          <w:p>
            <w:pPr>
              <w:pStyle w:val="TableContents"/>
              <w:bidi w:val="0"/>
              <w:spacing w:before="0" w:after="283"/>
              <w:jc w:val="center"/>
              <w:rPr>
                <w:b/>
              </w:rPr>
            </w:pPr>
            <w:r>
              <w:rPr>
                <w:b/>
              </w:rPr>
              <w:t>Nine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left"/>
              <w:rPr/>
            </w:pPr>
            <w:r>
              <w:rPr/>
              <w:t> </w:t>
            </w:r>
          </w:p>
        </w:tc>
      </w:tr>
      <w:tr>
        <w:trPr/>
        <w:tc>
          <w:tcPr>
            <w:tcW w:w="37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left"/>
              <w:rPr/>
            </w:pPr>
            <w:r>
              <w:rPr/>
              <w:t> </w:t>
            </w:r>
          </w:p>
        </w:tc>
      </w:tr>
      <w:tr>
        <w:trPr/>
        <w:tc>
          <w:tcPr>
            <w:tcW w:w="37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5" w:type="dxa"/>
            <w:tcBorders/>
            <w:vAlign w:val="center"/>
          </w:tcPr>
          <w:p>
            <w:pPr>
              <w:pStyle w:val="TableContents"/>
              <w:bidi w:val="0"/>
              <w:spacing w:before="0" w:after="283"/>
              <w:jc w:val="left"/>
              <w:rPr/>
            </w:pPr>
            <w:r>
              <w:rPr/>
              <w:t> </w:t>
            </w:r>
          </w:p>
        </w:tc>
      </w:tr>
      <w:tr>
        <w:trPr/>
        <w:tc>
          <w:tcPr>
            <w:tcW w:w="37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2" w:type="dxa"/>
            <w:gridSpan w:val="2"/>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00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4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3787" w:type="dxa"/>
            <w:tcBorders/>
            <w:shd w:fill="CCEEFF" w:val="clear"/>
            <w:vAlign w:val="center"/>
          </w:tcPr>
          <w:p>
            <w:pPr>
              <w:pStyle w:val="TableContents"/>
              <w:bidi w:val="0"/>
              <w:spacing w:before="0" w:after="283"/>
              <w:jc w:val="left"/>
              <w:rPr/>
            </w:pPr>
            <w:r>
              <w:rPr/>
              <w:t>Research and development expenses, net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802" w:type="dxa"/>
            <w:tcBorders/>
            <w:shd w:fill="CCEEFF" w:val="clear"/>
            <w:vAlign w:val="center"/>
          </w:tcPr>
          <w:p>
            <w:pPr>
              <w:pStyle w:val="TableContents"/>
              <w:bidi w:val="0"/>
              <w:spacing w:before="0" w:after="283"/>
              <w:jc w:val="right"/>
              <w:rPr/>
            </w:pPr>
            <w:r>
              <w:rPr/>
              <w:t>2,060</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802" w:type="dxa"/>
            <w:tcBorders/>
            <w:shd w:fill="CCEEFF" w:val="clear"/>
            <w:vAlign w:val="center"/>
          </w:tcPr>
          <w:p>
            <w:pPr>
              <w:pStyle w:val="TableContents"/>
              <w:bidi w:val="0"/>
              <w:spacing w:before="0" w:after="283"/>
              <w:jc w:val="right"/>
              <w:rPr/>
            </w:pPr>
            <w:r>
              <w:rPr/>
              <w:t>1,612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6" w:type="dxa"/>
            <w:tcBorders/>
            <w:shd w:fill="CCEEFF" w:val="clear"/>
            <w:vAlign w:val="center"/>
          </w:tcPr>
          <w:p>
            <w:pPr>
              <w:pStyle w:val="TableContents"/>
              <w:bidi w:val="0"/>
              <w:spacing w:before="0" w:after="283"/>
              <w:jc w:val="right"/>
              <w:rPr/>
            </w:pPr>
            <w:r>
              <w:rPr/>
              <w:t>448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754" w:type="dxa"/>
            <w:tcBorders/>
            <w:shd w:fill="CCEEFF" w:val="clear"/>
            <w:vAlign w:val="center"/>
          </w:tcPr>
          <w:p>
            <w:pPr>
              <w:pStyle w:val="TableContents"/>
              <w:bidi w:val="0"/>
              <w:spacing w:before="0" w:after="283"/>
              <w:jc w:val="right"/>
              <w:rPr/>
            </w:pPr>
            <w:r>
              <w:rPr/>
              <w:t>4,646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754" w:type="dxa"/>
            <w:tcBorders/>
            <w:shd w:fill="CCEEFF" w:val="clear"/>
            <w:vAlign w:val="center"/>
          </w:tcPr>
          <w:p>
            <w:pPr>
              <w:pStyle w:val="TableContents"/>
              <w:bidi w:val="0"/>
              <w:spacing w:before="0" w:after="283"/>
              <w:jc w:val="right"/>
              <w:rPr/>
            </w:pPr>
            <w:r>
              <w:rPr/>
              <w:t>4,594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6" w:type="dxa"/>
            <w:tcBorders/>
            <w:shd w:fill="CCEEFF" w:val="clear"/>
            <w:vAlign w:val="center"/>
          </w:tcPr>
          <w:p>
            <w:pPr>
              <w:pStyle w:val="TableContents"/>
              <w:bidi w:val="0"/>
              <w:spacing w:before="0" w:after="283"/>
              <w:jc w:val="right"/>
              <w:rPr/>
            </w:pPr>
            <w:r>
              <w:rPr/>
              <w:t>52</w:t>
            </w:r>
          </w:p>
        </w:tc>
        <w:tc>
          <w:tcPr>
            <w:tcW w:w="115" w:type="dxa"/>
            <w:tcBorders/>
            <w:shd w:fill="CCEEFF" w:val="clear"/>
            <w:vAlign w:val="center"/>
          </w:tcPr>
          <w:p>
            <w:pPr>
              <w:pStyle w:val="TableContents"/>
              <w:bidi w:val="0"/>
              <w:spacing w:before="0" w:after="283"/>
              <w:jc w:val="left"/>
              <w:rPr/>
            </w:pPr>
            <w:r>
              <w:rPr/>
              <w:t> </w:t>
            </w:r>
          </w:p>
        </w:tc>
      </w:tr>
      <w:tr>
        <w:trPr/>
        <w:tc>
          <w:tcPr>
            <w:tcW w:w="3787" w:type="dxa"/>
            <w:tcBorders/>
            <w:shd w:fill="FFFFFF" w:val="clear"/>
            <w:vAlign w:val="center"/>
          </w:tcPr>
          <w:p>
            <w:pPr>
              <w:pStyle w:val="TableContents"/>
              <w:bidi w:val="0"/>
              <w:spacing w:before="0" w:after="283"/>
              <w:jc w:val="left"/>
              <w:rPr/>
            </w:pPr>
            <w:r>
              <w:rPr/>
              <w:t>General and administrative expenses, net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1,240</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3,549</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3,193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pPr>
            <w:r>
              <w:rPr/>
              <w:t>356</w:t>
            </w:r>
          </w:p>
        </w:tc>
        <w:tc>
          <w:tcPr>
            <w:tcW w:w="115" w:type="dxa"/>
            <w:tcBorders/>
            <w:shd w:fill="FFFFFF" w:val="clear"/>
            <w:vAlign w:val="center"/>
          </w:tcPr>
          <w:p>
            <w:pPr>
              <w:pStyle w:val="TableContents"/>
              <w:bidi w:val="0"/>
              <w:spacing w:before="0" w:after="283"/>
              <w:jc w:val="left"/>
              <w:rPr/>
            </w:pPr>
            <w:r>
              <w:rPr/>
              <w:t> </w:t>
            </w:r>
          </w:p>
        </w:tc>
      </w:tr>
      <w:tr>
        <w:trPr/>
        <w:tc>
          <w:tcPr>
            <w:tcW w:w="3787" w:type="dxa"/>
            <w:tcBorders/>
            <w:shd w:fill="CCEEFF" w:val="clear"/>
            <w:vAlign w:val="center"/>
          </w:tcPr>
          <w:p>
            <w:pPr>
              <w:pStyle w:val="TableContents"/>
              <w:bidi w:val="0"/>
              <w:spacing w:before="0" w:after="283"/>
              <w:jc w:val="left"/>
              <w:rPr/>
            </w:pPr>
            <w:r>
              <w:rPr/>
              <w:t>Financing income, net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85</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98</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144</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201</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(57</w:t>
            </w:r>
          </w:p>
        </w:tc>
        <w:tc>
          <w:tcPr>
            <w:tcW w:w="11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 net</w:t>
      </w:r>
      <w:r>
        <w:rPr>
          <w:rFonts w:ascii="Times New Roman;Times;Serif" w:hAnsi="Times New Roman;Times;Serif"/>
          <w:b w:val="false"/>
          <w:i w:val="false"/>
          <w:caps w:val="false"/>
          <w:smallCaps w:val="false"/>
          <w:sz w:val="20"/>
        </w:rPr>
        <w:t>. The increase in research and development expenses for the three months ended September 30, 2024 compared to the three months ended September 30, 2023 was primarily due to an increase in clinical study expenses, regulation consultations and payroll expenses, offset by deduction of government grants and a decrease in animal study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research and development expenses for the nine months ended September 30, 2024 compared to the nine months ended September 30, 2023 was primarily due to the increases in payroll expenses due to the cease of cost reduction plan which was implemented in 2023, an increase in clinical study expenses and increase in regulation expenses, offset by a decrease in stock based compensation expenses, a decrease in animal study expenses and a decrease due to deduction of government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 net</w:t>
      </w:r>
      <w:r>
        <w:rPr>
          <w:rFonts w:ascii="Times New Roman;Times;Serif" w:hAnsi="Times New Roman;Times;Serif"/>
          <w:b w:val="false"/>
          <w:i w:val="false"/>
          <w:caps w:val="false"/>
          <w:smallCaps w:val="false"/>
          <w:sz w:val="20"/>
        </w:rPr>
        <w:t>. The increase in general and administrative expenses for the three months ended September 30, 2024 compared to the three months ended September 30, 2023 was primarily due to an increase in payroll expenses due to the cease of cost reduction plan which was implemented in 2023, offset by a decrease in legal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general and administrative expenses for the nine months ended September 30, 2024 compared to the nine-month period ended September 30, 2023 was primarily due to an increase in payroll expenses due to the cease of cost reduction plan which was implemented in 2023 as well as increase in stock based compensation expenses, offset by a decrease in travel expenses and legal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Financing Income, net</w:t>
      </w:r>
      <w:r>
        <w:rPr>
          <w:rFonts w:ascii="Times New Roman;Times;Serif" w:hAnsi="Times New Roman;Times;Serif"/>
          <w:b w:val="false"/>
          <w:i w:val="false"/>
          <w:caps w:val="false"/>
          <w:smallCaps w:val="false"/>
          <w:sz w:val="20"/>
        </w:rPr>
        <w:t>. The decrease in financing income, net for the three and nine months ended September 30, 2024 compared to the three and nine months ended September 30, 2023, was primarily due to expenses incurred from changes in exchange rates, partially offset by an increase in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Microbot has not generated revenues from operations. Microbot has incurred losses since inception and negative cash flows from operating activities for all periods presented. As of September 30, 2024, Microbot had a net working capital of approximately $3.6 million, consisting primarily of cash and cash equivalents and marketable securities. This compares to net working capital of approximately $4.1 million as of December 31, 2023. Microbot anticipates that it will continue to incur net losses for the foreseeable future as it continues research and development efforts of its primary product candidate and continues to incur costs associated with being a public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funded its operations through the issuance of capital stock, grants from the Israeli Innovation Authority, and convertible debt. Since inception (November 2010) through September 30, 2024, Microbot has raised cash proceeds of approximately $72.8 million and incurred a total cumulative loss of approximately $87.5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obtained from the Israeli Innovation Authority (“IIA”) grants for participation in research and development for the years 2013 through September 30, 2024 in the total amount of approximately $1.9 million. This amount includes amounts received of approximately $378,000, which are a portion of an additional grant from the IIA in the amount of approximately NIS 1.6 million (approximately $447,000) approved by the IIA on June 1, 2023, to further finance the development of the manufacturing process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On January 4, 2018, Microbot Israel entered into an agreement with CardioSert to acquire certain of its patent-protected technology as well as to assume CardioSert’s grants from the IIA in the aggregate amount of approximately $530,000. During the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quarter of 2024, Microbot Israel transferred such technology back to CardioSert, for nominal consideration and, as a result, Microbot Israel’s liability to repay CardioSert’s IIA grants in the aggregate amount of approximately $530,000 was also transferred back to CardioSert.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 Endovascular Robotic Surgical System in the U.S. market. In relation to the Ministry of Economy grant, the Company is obligated to pay royalties amounting to 3% of future sales of the LIBERTY® Endovascular Robotic Surgical System up to the grant amount plus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fiscal quarter of 2023, Microbot commenced a core-business focus program and a cost reduction plan while it sought to raise sufficient additional capital to continue development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May and June 2023, Microbot raised aggregate gross proceeds of approximately $7.6 million, before fees and expenses of approximately $1.1 million, from investors, to continue to fund its operations and research and development activities and will need additional funds to continue the FDA approval process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We also raised approximately $5.05 million in gross proceeds, before fees and expenses of approximately $661,000, from financing activities through September 30, 2024, and raised an aggregate of approximately $734,000 in gross proceeds, before fees and expenses of approximately $49,000, through our recently reinstated At-the-Market Agreement with HC Wainwright (the “ATM Agreement”) since July 1, 2024. To the extent available, Microbot intends to raise capital through future public and private issuances of debt and/or equity securities, including continuing to raise capital, if available, pursuant to the ATM Agreement until the maximum of $4,819,905 is raised.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interim condensed financial statements do not include any adjustments to reflect the possible future effects on recoverability and reclassification of assets or the amounts and classification of liabilities that may result from the outcome of this uncertainty.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the net cash flow activity for each of the nine-month periods presented (in thousands):</w:t>
      </w:r>
    </w:p>
    <w:p>
      <w:pPr>
        <w:pStyle w:val="TextBody"/>
        <w:bidi w:val="0"/>
        <w:spacing w:before="0" w:after="0"/>
        <w:ind w:left="720" w:right="0" w:hanging="0"/>
        <w:jc w:val="both"/>
        <w:rPr>
          <w:caps w:val="false"/>
          <w:smallCaps w:val="false"/>
        </w:rPr>
      </w:pPr>
      <w:r>
        <w:rPr>
          <w:caps w:val="false"/>
          <w:smallCaps w:val="false"/>
        </w:rPr>
        <w:t> </w:t>
      </w:r>
    </w:p>
    <w:tbl>
      <w:tblPr>
        <w:tblW w:w="9088" w:type="dxa"/>
        <w:jc w:val="left"/>
        <w:tblInd w:w="0" w:type="dxa"/>
        <w:tblLayout w:type="fixed"/>
        <w:tblCellMar>
          <w:top w:w="0" w:type="dxa"/>
          <w:left w:w="0" w:type="dxa"/>
          <w:bottom w:w="0" w:type="dxa"/>
          <w:right w:w="0" w:type="dxa"/>
        </w:tblCellMar>
      </w:tblPr>
      <w:tblGrid>
        <w:gridCol w:w="5330"/>
        <w:gridCol w:w="60"/>
        <w:gridCol w:w="294"/>
        <w:gridCol w:w="1337"/>
        <w:gridCol w:w="200"/>
        <w:gridCol w:w="126"/>
        <w:gridCol w:w="294"/>
        <w:gridCol w:w="1337"/>
        <w:gridCol w:w="110"/>
      </w:tblGrid>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5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0" w:type="dxa"/>
            <w:tcBorders/>
            <w:vAlign w:val="center"/>
          </w:tcPr>
          <w:p>
            <w:pPr>
              <w:pStyle w:val="TableContents"/>
              <w:bidi w:val="0"/>
              <w:spacing w:before="0" w:after="283"/>
              <w:jc w:val="center"/>
              <w:rPr/>
            </w:pPr>
            <w:r>
              <w:rPr/>
              <w:t> </w:t>
            </w:r>
          </w:p>
        </w:tc>
      </w:tr>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00" w:type="dxa"/>
            <w:tcBorders/>
            <w:vAlign w:val="center"/>
          </w:tcPr>
          <w:p>
            <w:pPr>
              <w:pStyle w:val="TableContents"/>
              <w:bidi w:val="0"/>
              <w:spacing w:before="0" w:after="283"/>
              <w:jc w:val="center"/>
              <w:rPr/>
            </w:pPr>
            <w:r>
              <w:rPr/>
              <w:t> </w:t>
            </w:r>
          </w:p>
        </w:tc>
        <w:tc>
          <w:tcPr>
            <w:tcW w:w="126" w:type="dxa"/>
            <w:tcBorders/>
            <w:vAlign w:val="center"/>
          </w:tcPr>
          <w:p>
            <w:pPr>
              <w:pStyle w:val="TableContents"/>
              <w:bidi w:val="0"/>
              <w:spacing w:before="0" w:after="283"/>
              <w:jc w:val="center"/>
              <w:rPr/>
            </w:pPr>
            <w:r>
              <w:rPr/>
              <w:t> </w:t>
            </w:r>
          </w:p>
        </w:tc>
        <w:tc>
          <w:tcPr>
            <w:tcW w:w="16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center"/>
              <w:rPr/>
            </w:pPr>
            <w:r>
              <w:rPr/>
              <w:t> </w:t>
            </w:r>
          </w:p>
        </w:tc>
      </w:tr>
      <w:tr>
        <w:trPr/>
        <w:tc>
          <w:tcPr>
            <w:tcW w:w="5330" w:type="dxa"/>
            <w:tcBorders/>
            <w:shd w:fill="CCEEFF" w:val="clear"/>
            <w:vAlign w:val="center"/>
          </w:tcPr>
          <w:p>
            <w:pPr>
              <w:pStyle w:val="TableContents"/>
              <w:bidi w:val="0"/>
              <w:spacing w:before="0" w:after="283"/>
              <w:jc w:val="left"/>
              <w:rPr/>
            </w:pPr>
            <w:r>
              <w:rPr/>
              <w:t>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337" w:type="dxa"/>
            <w:tcBorders/>
            <w:shd w:fill="CCEEFF" w:val="clear"/>
            <w:vAlign w:val="center"/>
          </w:tcPr>
          <w:p>
            <w:pPr>
              <w:pStyle w:val="TableContents"/>
              <w:bidi w:val="0"/>
              <w:spacing w:before="0" w:after="283"/>
              <w:jc w:val="right"/>
              <w:rPr/>
            </w:pPr>
            <w:r>
              <w:rPr/>
              <w:t>(7,136</w:t>
            </w:r>
          </w:p>
        </w:tc>
        <w:tc>
          <w:tcPr>
            <w:tcW w:w="200"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337" w:type="dxa"/>
            <w:tcBorders/>
            <w:shd w:fill="CCEEFF" w:val="clear"/>
            <w:vAlign w:val="center"/>
          </w:tcPr>
          <w:p>
            <w:pPr>
              <w:pStyle w:val="TableContents"/>
              <w:bidi w:val="0"/>
              <w:spacing w:before="0" w:after="283"/>
              <w:jc w:val="right"/>
              <w:rPr/>
            </w:pPr>
            <w:r>
              <w:rPr/>
              <w:t>(6,712</w:t>
            </w:r>
          </w:p>
        </w:tc>
        <w:tc>
          <w:tcPr>
            <w:tcW w:w="110" w:type="dxa"/>
            <w:tcBorders/>
            <w:shd w:fill="CCEEFF" w:val="clear"/>
            <w:vAlign w:val="center"/>
          </w:tcPr>
          <w:p>
            <w:pPr>
              <w:pStyle w:val="TableContents"/>
              <w:bidi w:val="0"/>
              <w:spacing w:before="0" w:after="283"/>
              <w:jc w:val="left"/>
              <w:rPr/>
            </w:pPr>
            <w:r>
              <w:rPr/>
              <w:t>)</w:t>
            </w:r>
          </w:p>
        </w:tc>
      </w:tr>
      <w:tr>
        <w:trPr/>
        <w:tc>
          <w:tcPr>
            <w:tcW w:w="5330" w:type="dxa"/>
            <w:tcBorders/>
            <w:shd w:fill="FFFFFF" w:val="clear"/>
            <w:vAlign w:val="center"/>
          </w:tcPr>
          <w:p>
            <w:pPr>
              <w:pStyle w:val="TableContents"/>
              <w:bidi w:val="0"/>
              <w:spacing w:before="0" w:after="283"/>
              <w:jc w:val="left"/>
              <w:rPr/>
            </w:pPr>
            <w:r>
              <w:rPr/>
              <w:t>Net cash flows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42</w:t>
            </w:r>
          </w:p>
        </w:tc>
        <w:tc>
          <w:tcPr>
            <w:tcW w:w="20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(984</w:t>
            </w:r>
          </w:p>
        </w:tc>
        <w:tc>
          <w:tcPr>
            <w:tcW w:w="11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Net cash flows provided by financing activities</w:t>
            </w:r>
          </w:p>
        </w:tc>
        <w:tc>
          <w:tcPr>
            <w:tcW w:w="60" w:type="dxa"/>
            <w:tcBorders/>
            <w:shd w:fill="CCEEFF" w:val="clear"/>
            <w:vAlign w:val="center"/>
          </w:tcPr>
          <w:p>
            <w:pPr>
              <w:pStyle w:val="TableContents"/>
              <w:bidi w:val="0"/>
              <w:spacing w:before="0" w:after="283"/>
              <w:jc w:val="left"/>
              <w:rPr/>
            </w:pPr>
            <w:r>
              <w:rPr/>
              <w:t> </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7" w:type="dxa"/>
            <w:tcBorders>
              <w:bottom w:val="single" w:sz="8" w:space="0" w:color="000000"/>
            </w:tcBorders>
            <w:shd w:fill="CCEEFF" w:val="clear"/>
            <w:tcMar>
              <w:bottom w:w="28" w:type="dxa"/>
            </w:tcMar>
            <w:vAlign w:val="center"/>
          </w:tcPr>
          <w:p>
            <w:pPr>
              <w:pStyle w:val="TableContents"/>
              <w:bidi w:val="0"/>
              <w:spacing w:before="0" w:after="283"/>
              <w:jc w:val="right"/>
              <w:rPr/>
            </w:pPr>
            <w:r>
              <w:rPr/>
              <w:t>5,104</w:t>
            </w:r>
          </w:p>
        </w:tc>
        <w:tc>
          <w:tcPr>
            <w:tcW w:w="20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7" w:type="dxa"/>
            <w:tcBorders>
              <w:bottom w:val="single" w:sz="8" w:space="0" w:color="000000"/>
            </w:tcBorders>
            <w:shd w:fill="CCEEFF" w:val="clear"/>
            <w:tcMar>
              <w:bottom w:w="28" w:type="dxa"/>
            </w:tcMar>
            <w:vAlign w:val="center"/>
          </w:tcPr>
          <w:p>
            <w:pPr>
              <w:pStyle w:val="TableContents"/>
              <w:bidi w:val="0"/>
              <w:spacing w:before="0" w:after="283"/>
              <w:jc w:val="right"/>
              <w:rPr/>
            </w:pPr>
            <w:r>
              <w:rPr/>
              <w:t>6,558</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shd w:fill="FFFFFF" w:val="clear"/>
            <w:tcMar>
              <w:bottom w:w="28" w:type="dxa"/>
            </w:tcMar>
            <w:vAlign w:val="center"/>
          </w:tcPr>
          <w:p>
            <w:pPr>
              <w:pStyle w:val="TableContents"/>
              <w:bidi w:val="0"/>
              <w:spacing w:before="0" w:after="283"/>
              <w:jc w:val="right"/>
              <w:rPr/>
            </w:pPr>
            <w:r>
              <w:rPr/>
              <w:t>(1,990</w:t>
            </w:r>
          </w:p>
        </w:tc>
        <w:tc>
          <w:tcPr>
            <w:tcW w:w="200"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shd w:fill="FFFFFF" w:val="clear"/>
            <w:tcMar>
              <w:bottom w:w="28" w:type="dxa"/>
            </w:tcMar>
            <w:vAlign w:val="center"/>
          </w:tcPr>
          <w:p>
            <w:pPr>
              <w:pStyle w:val="TableContents"/>
              <w:bidi w:val="0"/>
              <w:spacing w:before="0" w:after="283"/>
              <w:jc w:val="right"/>
              <w:rPr/>
            </w:pPr>
            <w:r>
              <w:rPr/>
              <w:t>(1,138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net cash flows used in operating activities for the nine months ended September 30, 2024 compared to 2023 was primarily due to ceasing our cost reduction plan which was implemented in 2023, which led to an increase in the net loss in the nine months ended September 30, 2024 as costs again increased.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net cash flows provided by (used in) investing activities for the nine months ended September 30, 2024 compared to 2023 was mainly due to the timing of purchases, sales and maturities of our marketable securities portfolio.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net cash flows provided by financing activities for the nine months ended September 30, 2024 compared to 2023 was due to a decrease in net proceeds received from fundraising activities from 2023 to 2024.</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53" w:name="a_007"/>
      <w:bookmarkEnd w:id="353"/>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cash and cash equivalents as of September 30,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Risks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Effects of Inflation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generally affects Microbot by increasing its research and development expenses. Microbot does not believe that inflation and changing prices had a significant impact on its results of operations for any periods presented 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54" w:name="a_008"/>
      <w:bookmarkEnd w:id="354"/>
      <w:r>
        <w:rPr>
          <w:rFonts w:ascii="Times New Roman;Times;Serif" w:hAnsi="Times New Roman;Times;Serif"/>
          <w:b/>
          <w:i w:val="false"/>
          <w:caps w:val="false"/>
          <w:smallCaps w:val="false"/>
          <w:sz w:val="20"/>
        </w:rPr>
        <w:t>Item 4. Controls and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Controls and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September 30, 2024. Based on that review and evaluation, the Chief Executive Officer and Chief Financial Officer, along with the management of the Company, have determined that as of September 30, 2024,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55" w:name="a_009"/>
      <w:bookmarkEnd w:id="355"/>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56" w:name="a_010"/>
      <w:bookmarkEnd w:id="356"/>
      <w:r>
        <w:rPr>
          <w:rFonts w:ascii="Times New Roman;Times;Serif" w:hAnsi="Times New Roman;Times;Serif"/>
          <w:b/>
          <w:i w:val="false"/>
          <w:caps w:val="false"/>
          <w:smallCaps w:val="false"/>
          <w:sz w:val="20"/>
        </w:rPr>
        <w:t>Item 1. 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3.H. Mona Litigation:”, to the financial statements included earlier in this Quarterly Report on Form 10-Q.</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foregoing, we are not currently a party in any legal proceeding or governmental regulatory proceeding nor are we currently aware of any pending or potential legal proceeding or governmental regulatory proceeding proposed to be initiated against us, in any case that would have a material adverse effect on us or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57" w:name="a_011"/>
      <w:bookmarkEnd w:id="357"/>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there have been no material changes to our risk factors contained in our Annual Report on Form 10-K for the year ended December 31, 2023. For a further discussion of our Risk Factors, refer to Part I, Item 1A, “Risk Factors,” of our Annual Report on Form 10-K for the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we will be able to comply with the continued listing standards of Nasdaq. If we are not able to comply with the applicable continued listing requirements or standards of the Nasdaq Capital Markets, Nasdaq could delist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Capital Market. In order to maintain that listing, we must satisfy minimum financial and other continued listing requirements and standards, including those regarding minimum stockholders’ equity, minimum market value, minimum share price, and certain corporate governance requirements.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2024, we received a deficiency letter from the Nasdaq Listing Qualifications department of The Nasdaq Stock Market, LLC, notifying us that we are not in compliance with Nasdaq Listing Rule 5550(a)(2) (the “Minimum Bid Price Requirement”) for continued listing on the Nasdaq Capital Market, as the minimum bid price of our common stock on the Nasdaq Capital Market was below $1.00 for 30 consecutive business days, from August 26, 2024 to October 7,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in a position to regain compliance with the Minimum Bid Price Requirement or remain in compliance with any other listing requirements or standards.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common stock from trading on its exchange for failure to meet the listing standards, we and our stockholders could face significant material adverse consequences including:</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common stock is “penny stock” which will require brokers trading in the common stock to adhere to more stringent rules and possibly result in a reduced level of trading activity in the secondary trading market for our securities;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To the extent our common stock are listed on Nasdaq, they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our securities would not be covered securities and we would be subject to regulation in each state in which we offer our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Upon delisting from Nasdaq, our common stock may be traded, if at all, in the over-the-counter inter-dealer quotation system, more commonly known as the OTC. OTC transactions involve risks in addition to those associated with transactions in securities traded on securities exchanges such as Nasdaq. Many OTC stocks trade less frequently and in smaller volumes than exchange-listed stocks. Accordingly, our stock would be less liquid than it would be otherwise. Also, the values of OTC stocks are often more volatile than exchange-listed stocks. Additionally, institutional investors are often prohibited from investing in OTC stocks, and it might be more challenging to raise capital when needed.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if our common stock is delisted, your ability to transfer or sell your shares of our common stock may be limited and the value of those securities will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8" w:name="a_012"/>
      <w:bookmarkEnd w:id="358"/>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9" w:name="a_013"/>
      <w:bookmarkEnd w:id="359"/>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0" w:name="a_014"/>
      <w:bookmarkEnd w:id="360"/>
      <w:r>
        <w:rPr>
          <w:rFonts w:ascii="Times New Roman;Times;Serif" w:hAnsi="Times New Roman;Times;Serif"/>
          <w:b/>
          <w:i w:val="false"/>
          <w:caps w:val="false"/>
          <w:smallCaps w:val="false"/>
          <w:sz w:val="20"/>
        </w:rPr>
        <w:t>Item 4. Mine Safety Disclosures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1" w:name="a_015"/>
      <w:bookmarkEnd w:id="361"/>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September 30, 2024, no director or officer, as defined in Rule 16a-1(f) under the Securities Exchange Act of 1934, as amended, of the Company </w:t>
      </w:r>
      <w:bookmarkStart w:id="362" w:name="xdx_904_eecd--NonRule10b51ArrAdoptedFlag"/>
      <w:bookmarkStart w:id="363" w:name="xdx_909_eecd--Rule10b51ArrAdoptedFlag_db"/>
      <w:bookmarkEnd w:id="362"/>
      <w:bookmarkEnd w:id="363"/>
      <w:r>
        <w:rPr>
          <w:rFonts w:ascii="Times New Roman;Times;Serif" w:hAnsi="Times New Roman;Times;Serif"/>
          <w:b w:val="false"/>
          <w:i w:val="false"/>
          <w:caps w:val="false"/>
          <w:smallCaps w:val="false"/>
          <w:sz w:val="20"/>
        </w:rPr>
        <w:t xml:space="preserve">adopted or </w:t>
      </w:r>
      <w:bookmarkStart w:id="364" w:name="xdx_90B_eecd--NonRule10b51ArrTrmntdFlag_"/>
      <w:bookmarkStart w:id="365" w:name="xdx_90A_eecd--Rule10b51ArrTrmntdFlag_dbF"/>
      <w:bookmarkEnd w:id="364"/>
      <w:bookmarkEnd w:id="365"/>
      <w:r>
        <w:rPr>
          <w:rFonts w:ascii="Times New Roman;Times;Serif" w:hAnsi="Times New Roman;Times;Serif"/>
          <w:b w:val="false"/>
          <w:i w:val="false"/>
          <w:caps w:val="false"/>
          <w:smallCaps w:val="false"/>
          <w:sz w:val="20"/>
        </w:rPr>
        <w:t>terminated a “Rule 10b5-1 trading arrangement” or “non-Rule 10b5-1 trading arrangement,” as each term is defined in Item 408(a) of Regulation S-K.</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6" w:name="a_016"/>
      <w:bookmarkEnd w:id="366"/>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9"/>
        <w:gridCol w:w="9586"/>
      </w:tblGrid>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586"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Agreement and Plan of Merger and Reorganization, dated as of August 15, 2016, by and among StemCells, Inc., C&amp;RD Israel Ltd. and Microbot Medical Ltd. (incorporated by reference to the Company’s Current Report on Form 8-K filed on August 15, 2016).</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586"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Restated Certificate of Incorporation of the Company (incorporated by reference to the Company’s Annual Report on Form 10-K for the fiscal year ended December 31, 2006 and filed on March 15, 2007).</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586"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the Restated Certificate of Incorporation of the Company (incorporated by reference to the Company’s Current Report on Form 8-K filed on November 29, 2016)</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586"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4, 2018).</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586"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Amended and Restated By-Laws of the Company (incorporated by reference to the Company’s Current Report on Form 8-K filed on May 3, 2016).</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586"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Elimination (incorporated by reference to the Company’s Current Report on Form 8-K filed on December 12, 2018).</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586"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11, 2019).</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586"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Amendment to Section 5 of the Amended and Restated By-Laws of the Company (incorporated by reference to the Company’s Current Report on Form 8-K filed on May 3, 2021).</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586"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Description of the Company’s Securities (incorporated by reference to the Registrant’s Annual Report on Form 10-K for the fiscal year ended December 31, 2019).</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586"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Series A Warrant (incorporated by reference to the Registrant’s Current Report on Form 8-K filed on October 25, 2022)</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586"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October 25, 2022)</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586"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23, 2023)</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586"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24, 2023)</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586"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Warrant Amendment Agreement (incorporated by reference to the Registrant’s Current Report on Form 8-K filed on May 24, 2023)</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586"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Series C Warrant (incorporated by reference to the Registrant’s Current Report on Form 8-K filed on June 6, 2023)</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9586"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6, 2023)</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86"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Form of Series D Warrant (incorporated by reference to the Registrant’s Current Report on Form 8-K filed on June 28, 2023)</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586"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28, 2023)</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9586"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Form of Inducement Investment Option (incorporated by reference to the Registrant’s Current Report on Form 8-K filed on January 2, 2024)</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9586"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2, 2024)</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9586"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Form of Series F Warrant (incorporated by reference to the Registrant’s Current Report on Form 8-K filed on June 4, 2024)</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86"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4, 2024)</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586"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Securities Purchase Agreement, dated as of June 3, 2024, by and among the Company and the purchasers party thereto. (incorporated by reference to Exhibit 10.1 to the Registrant’s Current Report on Form 8-K filed on June 4, 2024)</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586"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Amendment to the At the Market Offering Agreement, dated July 1, 2024, by and between Microbot Medical Inc. and H.C. Wainwright &amp; Co., LLC (incorporated by reference to the Registrant’s Current Report on Form 8-K filed on July 1, 2024)</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586"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Harel Gadot, Chairman, President and Chief Executive Officer</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586"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Rachel Vaknin, Chief Financial Officer</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9586"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Harel Gadot, Chairman, President and Chief Executive Officer, pursuant to 18 U.S.C. Section 1350, as adopted pursuant to Section 906 of the Sarbanes-Oxley Act of 2002</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586"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Rachel Vaknin, Chief Financial Officer, pursuant to 18 U.S.C. Section 1350, as adopted pursuant to Section 906 of the Sarbanes-Oxley Act of 2002</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95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 The instance document does not appear in the Interactive Data File because its XBRL tags are embedded within the</w:t>
            </w:r>
          </w:p>
        </w:tc>
      </w:tr>
      <w:tr>
        <w:trPr/>
        <w:tc>
          <w:tcPr>
            <w:tcW w:w="619" w:type="dxa"/>
            <w:tcBorders/>
            <w:vAlign w:val="center"/>
          </w:tcPr>
          <w:p>
            <w:pPr>
              <w:pStyle w:val="TableContents"/>
              <w:bidi w:val="0"/>
              <w:spacing w:before="0" w:after="283"/>
              <w:jc w:val="left"/>
              <w:rPr>
                <w:caps w:val="false"/>
                <w:smallCaps w:val="false"/>
              </w:rPr>
            </w:pPr>
            <w:r>
              <w:rPr>
                <w:caps w:val="false"/>
                <w:smallCaps w:val="false"/>
              </w:rPr>
              <w:t> </w:t>
            </w:r>
          </w:p>
        </w:tc>
        <w:tc>
          <w:tcPr>
            <w:tcW w:w="95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document</w:t>
            </w:r>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95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w:t>
            </w:r>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95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w:t>
            </w:r>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95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w:t>
            </w:r>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95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w:t>
            </w:r>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95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w:t>
            </w:r>
          </w:p>
        </w:tc>
      </w:tr>
      <w:tr>
        <w:trPr/>
        <w:tc>
          <w:tcPr>
            <w:tcW w:w="619" w:type="dxa"/>
            <w:tcBorders/>
            <w:vAlign w:val="center"/>
          </w:tcPr>
          <w:p>
            <w:pPr>
              <w:pStyle w:val="TableContents"/>
              <w:bidi w:val="0"/>
              <w:spacing w:before="0" w:after="283"/>
              <w:jc w:val="left"/>
              <w:rPr>
                <w:caps w:val="false"/>
                <w:smallCaps w:val="false"/>
              </w:rPr>
            </w:pPr>
            <w:r>
              <w:rPr>
                <w:caps w:val="false"/>
                <w:smallCaps w:val="false"/>
              </w:rPr>
              <w:t> </w:t>
            </w:r>
          </w:p>
        </w:tc>
        <w:tc>
          <w:tcPr>
            <w:tcW w:w="95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5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7" w:name="a_017"/>
      <w:bookmarkEnd w:id="367"/>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 this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November, 2024.</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Vaknin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bookmarkStart w:id="368" w:name="ex31-1.htm"/>
      <w:bookmarkStart w:id="369" w:name="ksex311"/>
      <w:bookmarkEnd w:id="368"/>
      <w:bookmarkEnd w:id="369"/>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of Principal Executive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Harel Gadot, certify that: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Microbot Medical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720" w:right="0" w:hanging="0"/>
        <w:jc w:val="left"/>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3980"/>
        <w:gridCol w:w="75"/>
      </w:tblGrid>
      <w:tr>
        <w:trPr/>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13,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pPr>
      <w:bookmarkStart w:id="370" w:name="ex31-2.htm"/>
      <w:bookmarkStart w:id="371" w:name="ksex312"/>
      <w:bookmarkEnd w:id="370"/>
      <w:bookmarkEnd w:id="371"/>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of Principal Financial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Rachel Vaknin, certify that: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Microbot Medical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controls over financial reporting.</w:t>
      </w:r>
    </w:p>
    <w:p>
      <w:pPr>
        <w:pStyle w:val="TextBody"/>
        <w:bidi w:val="0"/>
        <w:spacing w:before="0" w:after="0"/>
        <w:ind w:left="720" w:right="0" w:hanging="0"/>
        <w:jc w:val="left"/>
        <w:rPr>
          <w:caps w:val="false"/>
          <w:smallCaps w:val="false"/>
        </w:rPr>
      </w:pPr>
      <w:r>
        <w:rPr>
          <w:caps w:val="false"/>
          <w:smallCaps w:val="false"/>
        </w:rPr>
        <w:t> </w:t>
      </w:r>
    </w:p>
    <w:tbl>
      <w:tblPr>
        <w:tblW w:w="3770" w:type="dxa"/>
        <w:jc w:val="left"/>
        <w:tblInd w:w="0" w:type="dxa"/>
        <w:tblLayout w:type="fixed"/>
        <w:tblCellMar>
          <w:top w:w="0" w:type="dxa"/>
          <w:left w:w="0" w:type="dxa"/>
          <w:bottom w:w="0" w:type="dxa"/>
          <w:right w:w="0" w:type="dxa"/>
        </w:tblCellMar>
      </w:tblPr>
      <w:tblGrid>
        <w:gridCol w:w="3695"/>
        <w:gridCol w:w="75"/>
      </w:tblGrid>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13,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pPr>
      <w:bookmarkStart w:id="372" w:name="ex32-1.htm"/>
      <w:bookmarkStart w:id="373" w:name="ksex321"/>
      <w:bookmarkEnd w:id="372"/>
      <w:bookmarkEnd w:id="373"/>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September 30, 2024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pStyle w:val="TextBody"/>
        <w:bidi w:val="0"/>
        <w:spacing w:before="0" w:after="0"/>
        <w:ind w:left="72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2225"/>
        <w:gridCol w:w="3980"/>
      </w:tblGrid>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13, 2024</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Harel Gadot </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pPr>
      <w:bookmarkStart w:id="374" w:name="ex32-2.htm"/>
      <w:bookmarkStart w:id="375" w:name="ksex322"/>
      <w:bookmarkEnd w:id="374"/>
      <w:bookmarkEnd w:id="375"/>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63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Rachel Vaknin, Chief Financial Officer of Microbot Medical Inc., hereby certify, pursuant to 18 U.S.C. Section 1350, as adopted pursuant to Section 906 of the Sarbanes-Oxley Act of 2002, that to my knowledge, the quarterly report on Form 10-Q for the period ending September 30, 2024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pStyle w:val="TextBody"/>
        <w:bidi w:val="0"/>
        <w:spacing w:before="0" w:after="0"/>
        <w:ind w:left="63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2225"/>
        <w:gridCol w:w="3650"/>
      </w:tblGrid>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13, 2024</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Vaknin</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3975/000119312516682077/d161430dex21.htm" TargetMode="External"/><Relationship Id="rId3" Type="http://schemas.openxmlformats.org/officeDocument/2006/relationships/hyperlink" Target="https://www.sec.gov/Archives/edgar/data/883975/000095013407005808/f27726exv3w1.htm" TargetMode="External"/><Relationship Id="rId4" Type="http://schemas.openxmlformats.org/officeDocument/2006/relationships/hyperlink" Target="https://www.sec.gov/Archives/edgar/data/883975/000119312516779729/d296933dex31.htm" TargetMode="External"/><Relationship Id="rId5" Type="http://schemas.openxmlformats.org/officeDocument/2006/relationships/hyperlink" Target="https://www.sec.gov/Archives/edgar/data/883975/000149315218012872/ex3-1.htm" TargetMode="External"/><Relationship Id="rId6" Type="http://schemas.openxmlformats.org/officeDocument/2006/relationships/hyperlink" Target="https://www.sec.gov/Archives/edgar/data/883975/000129993316002374/exhibit1.htm" TargetMode="External"/><Relationship Id="rId7" Type="http://schemas.openxmlformats.org/officeDocument/2006/relationships/hyperlink" Target="https://www.sec.gov/Archives/edgar/data/883975/000149315218017395/ex3-1.htm" TargetMode="External"/><Relationship Id="rId8" Type="http://schemas.openxmlformats.org/officeDocument/2006/relationships/hyperlink" Target="https://www.sec.gov/Archives/edgar/data/883975/000149315219013998/ex3-1.htm" TargetMode="External"/><Relationship Id="rId9" Type="http://schemas.openxmlformats.org/officeDocument/2006/relationships/hyperlink" Target="https://www.sec.gov/Archives/edgar/data/883975/000149315221010347/ex3-1.htm" TargetMode="External"/><Relationship Id="rId10" Type="http://schemas.openxmlformats.org/officeDocument/2006/relationships/hyperlink" Target="https://www.sec.gov/Archives/edgar/data/883975/000149315220006338/ex4-10.htm" TargetMode="External"/><Relationship Id="rId11" Type="http://schemas.openxmlformats.org/officeDocument/2006/relationships/hyperlink" Target="https://www.sec.gov/Archives/edgar/data/883975/000149315222029541/ex4-2.htm" TargetMode="External"/><Relationship Id="rId12" Type="http://schemas.openxmlformats.org/officeDocument/2006/relationships/hyperlink" Target="https://www.sec.gov/Archives/edgar/data/883975/000149315222029541/ex4-4.htm" TargetMode="External"/><Relationship Id="rId13" Type="http://schemas.openxmlformats.org/officeDocument/2006/relationships/hyperlink" Target="https://www.sec.gov/Archives/edgar/data/883975/000149315223018718/ex4-1.htm" TargetMode="External"/><Relationship Id="rId14" Type="http://schemas.openxmlformats.org/officeDocument/2006/relationships/hyperlink" Target="https://www.sec.gov/Archives/edgar/data/883975/000149315223018932/ex4-2.htm" TargetMode="External"/><Relationship Id="rId15" Type="http://schemas.openxmlformats.org/officeDocument/2006/relationships/hyperlink" Target="https://www.sec.gov/Archives/edgar/data/883975/000149315223018932/ex10-2.htm" TargetMode="External"/><Relationship Id="rId16" Type="http://schemas.openxmlformats.org/officeDocument/2006/relationships/hyperlink" Target="https://www.sec.gov/Archives/edgar/data/883975/000149315223020309/ex4-1.htm" TargetMode="External"/><Relationship Id="rId17" Type="http://schemas.openxmlformats.org/officeDocument/2006/relationships/hyperlink" Target="https://www.sec.gov/Archives/edgar/data/883975/000149315223020309/ex4-2.htm" TargetMode="External"/><Relationship Id="rId18" Type="http://schemas.openxmlformats.org/officeDocument/2006/relationships/hyperlink" Target="https://www.sec.gov/Archives/edgar/data/883975/000149315223022814/ex4-1.htm" TargetMode="External"/><Relationship Id="rId19" Type="http://schemas.openxmlformats.org/officeDocument/2006/relationships/hyperlink" Target="https://www.sec.gov/Archives/edgar/data/883975/000149315223022814/ex4-2.htm" TargetMode="External"/><Relationship Id="rId20" Type="http://schemas.openxmlformats.org/officeDocument/2006/relationships/hyperlink" Target="https://www.sec.gov/Archives/edgar/data/883975/000149315224000109/ex4-1.htm" TargetMode="External"/><Relationship Id="rId21" Type="http://schemas.openxmlformats.org/officeDocument/2006/relationships/hyperlink" Target="https://www.sec.gov/Archives/edgar/data/883975/000149315224000109/ex4-2.htm" TargetMode="External"/><Relationship Id="rId22" Type="http://schemas.openxmlformats.org/officeDocument/2006/relationships/hyperlink" Target="https://www.sec.gov/Archives/edgar/data/883975/000149315224022560/ex4-1.htm" TargetMode="External"/><Relationship Id="rId23" Type="http://schemas.openxmlformats.org/officeDocument/2006/relationships/hyperlink" Target="https://www.sec.gov/Archives/edgar/data/883975/000149315224022560/ex4-2.htm" TargetMode="External"/><Relationship Id="rId24" Type="http://schemas.openxmlformats.org/officeDocument/2006/relationships/hyperlink" Target="https://www.sec.gov/Archives/edgar/data/883975/000149315224022560/ex10-1.htm" TargetMode="External"/><Relationship Id="rId25" Type="http://schemas.openxmlformats.org/officeDocument/2006/relationships/hyperlink" Target="https://www.sec.gov/Archives/edgar/data/883975/000149315224025813/ex10-1.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15066</Words>
  <Characters>82662</Characters>
  <CharactersWithSpaces>98441</CharactersWithSpaces>
  <Paragraphs>3089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