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Trounson Alan 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07/07/2014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7707 GATEWAY BLVD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NEWARK</w:t>
            </w:r>
          </w:p>
        </w:tc>
        <w:tc>
          <w:tcPr>
            <w:tcW w:w="1040" w:type="dxa"/>
            <w:vAlign w:val="bottom"/>
          </w:tcPr>
          <w:p>
            <w:pPr>
              <w:ind w:left="180"/>
              <w:spacing w:after="0"/>
              <w:rPr>
                <w:sz w:val="20"/>
                <w:szCs w:val="20"/>
                <w:color w:val="auto"/>
              </w:rPr>
            </w:pPr>
            <w:r>
              <w:rPr>
                <w:rFonts w:ascii="Arial" w:cs="Arial" w:eastAsia="Arial" w:hAnsi="Arial"/>
                <w:sz w:val="18"/>
                <w:szCs w:val="18"/>
                <w:color w:val="0000FF"/>
              </w:rPr>
              <w:t>CA</w:t>
            </w:r>
          </w:p>
        </w:tc>
        <w:tc>
          <w:tcPr>
            <w:tcW w:w="1260" w:type="dxa"/>
            <w:vAlign w:val="bottom"/>
          </w:tcPr>
          <w:p>
            <w:pPr>
              <w:ind w:left="220"/>
              <w:spacing w:after="0"/>
              <w:rPr>
                <w:sz w:val="20"/>
                <w:szCs w:val="20"/>
                <w:color w:val="auto"/>
              </w:rPr>
            </w:pPr>
            <w:r>
              <w:rPr>
                <w:rFonts w:ascii="Arial" w:cs="Arial" w:eastAsia="Arial" w:hAnsi="Arial"/>
                <w:sz w:val="18"/>
                <w:szCs w:val="18"/>
                <w:color w:val="0000FF"/>
              </w:rPr>
              <w:t>94560</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0"/>
              </w:rPr>
              <w:t>no securities beneficially held at time of hire</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46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640" w:type="dxa"/>
            <w:vAlign w:val="bottom"/>
            <w:gridSpan w:val="7"/>
          </w:tcPr>
          <w:p>
            <w:pPr>
              <w:ind w:left="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Kenneth Stratton, attorney-</w:t>
            </w:r>
          </w:p>
        </w:tc>
        <w:tc>
          <w:tcPr>
            <w:tcW w:w="2420" w:type="dxa"/>
            <w:vAlign w:val="bottom"/>
            <w:gridSpan w:val="5"/>
            <w:vMerge w:val="restart"/>
          </w:tcPr>
          <w:p>
            <w:pPr>
              <w:ind w:left="160"/>
              <w:spacing w:after="0"/>
              <w:rPr>
                <w:sz w:val="20"/>
                <w:szCs w:val="20"/>
                <w:color w:val="auto"/>
              </w:rPr>
            </w:pPr>
            <w:r>
              <w:rPr>
                <w:rFonts w:ascii="Arial" w:cs="Arial" w:eastAsia="Arial" w:hAnsi="Arial"/>
                <w:sz w:val="18"/>
                <w:szCs w:val="18"/>
                <w:color w:val="0000FF"/>
              </w:rPr>
              <w:t>12/19/2014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gridSpan w:val="3"/>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0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Kenneth Stratton, George Koshy and Martin McGlynn,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StemCells, Inc. (the "Company"), Forms 3, 4 and</w:t>
      </w: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NASDAQ Stock Market;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of 1933 or the rules promulgated thereunder, including Rule 144, or the Securities and Exchange Act of 1934 or the rules promulgated thereunder, including Section 16.</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July, 2014.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Trounson</w:t>
      </w:r>
    </w:p>
    <w:p>
      <w:pPr>
        <w:spacing w:after="0" w:line="238" w:lineRule="auto"/>
        <w:rPr>
          <w:sz w:val="20"/>
          <w:szCs w:val="20"/>
          <w:color w:val="auto"/>
        </w:rPr>
      </w:pPr>
      <w:r>
        <w:rPr>
          <w:rFonts w:ascii="Courier New" w:cs="Courier New" w:eastAsia="Courier New" w:hAnsi="Courier New"/>
          <w:sz w:val="18"/>
          <w:szCs w:val="18"/>
          <w:color w:val="auto"/>
        </w:rPr>
        <w:t>Alan Trounson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8467" TargetMode="External"/><Relationship Id="rId12"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2019-12-18T05:24:34Z</dcterms:created>
  <dcterms:modified xsi:type="dcterms:W3CDTF">2019-12-18T05:24:34Z</dcterms:modified>
</cp:coreProperties>
</file>