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3,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288 Grove Street, Suite 388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Braintree, MA 02184</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40" w:type="dxa"/>
            <w:vAlign w:val="bottom"/>
          </w:tcPr>
          <w:p>
            <w:pPr>
              <w:spacing w:after="0"/>
              <w:rPr>
                <w:sz w:val="20"/>
                <w:szCs w:val="20"/>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20"/>
                <w:szCs w:val="20"/>
                <w:color w:val="auto"/>
              </w:rPr>
            </w:pPr>
          </w:p>
        </w:tc>
        <w:tc>
          <w:tcPr>
            <w:tcW w:w="4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29"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On June 3, 2024, Microbot Medical Inc. (the “Company”) issued a press release announcing that it has received the U.S. Food and Drug Administration’s (“FDA”) approval to proceed with its pivotal human clinical trial as part of its Investigational Device Exemption (“IDE”) application for its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4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33"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18"/>
          <w:szCs w:val="18"/>
          <w:color w:val="auto"/>
        </w:rPr>
        <w:t>The Company received the FDA’s approval to proceed with its pivotal human clinical trial as part of its IDE application for its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The study will be conducted in the U.S., and the Company has signed a clinical trial service agreement with a leading academic medical center. The Company is also in the process of engaging additional leading centers to participate in the trial. In parallel to commencing the pivotal human clinical trial, the Company is completing its biocompatibility tests as required by its IDE application.</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Forward Looking Statements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Item 8.01 of this Current Report on Form 8-K contains “forward-looking statements.” Such statements which are not purely historical (including, but not limited to statements that contain words such as “will,” “believes,” “plans,” “anticipates,” “expects,” “intends,” “would,” “could” and “estimates”) are forward-looking statements and include any statements regarding beliefs, plans, expectations or intentions regarding the future, including but not limited to, regulatory milestones.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Actual results could differ from those projected in any forward-looking statements due to numerous factors. These forward-looking statements are made as of the date of this Form 8-K, and the Company assumes no obligation to update the forward-looking statements, or to update the reasons why actual results could differ from those projected in the forward-looking statements, except as required by law. Although the Company believes that the beliefs, plans, expectations and intentions contained in this Form 8-K are reasonable, there can be no assurance that such beliefs, plans, expectations or intentions will prove to be accurate. Investors should consult all of the information set forth herein and should also refer to the risk factors disclosure outlined in the Company’s reports and statements filed from time-to-time with the Securities and Exchange Commission.</w:t>
      </w:r>
    </w:p>
    <w:p>
      <w:pPr>
        <w:spacing w:after="0" w:line="18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980" w:type="dxa"/>
            <w:vAlign w:val="bottom"/>
          </w:tcPr>
          <w:p>
            <w:pPr>
              <w:spacing w:after="0"/>
              <w:rPr>
                <w:sz w:val="20"/>
                <w:szCs w:val="20"/>
                <w:color w:val="auto"/>
              </w:rPr>
            </w:pPr>
          </w:p>
        </w:tc>
        <w:tc>
          <w:tcPr>
            <w:tcW w:w="916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tcPr>
          <w:p>
            <w:pPr>
              <w:spacing w:after="0"/>
              <w:rPr>
                <w:sz w:val="24"/>
                <w:szCs w:val="24"/>
                <w:color w:val="auto"/>
              </w:rPr>
            </w:pPr>
          </w:p>
        </w:tc>
        <w:tc>
          <w:tcPr>
            <w:tcW w:w="9160" w:type="dxa"/>
            <w:vAlign w:val="bottom"/>
          </w:tcPr>
          <w:p>
            <w:pPr>
              <w:spacing w:after="0"/>
              <w:rPr>
                <w:sz w:val="24"/>
                <w:szCs w:val="24"/>
                <w:color w:val="auto"/>
              </w:rPr>
            </w:pPr>
          </w:p>
        </w:tc>
      </w:tr>
      <w:tr>
        <w:trPr>
          <w:trHeight w:val="245"/>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9"/>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156845</wp:posOffset>
            </wp:positionV>
            <wp:extent cx="1928495" cy="745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Has Received FDA Approval to Proceed with its Pivotal Human Clinical Trial</w:t>
      </w:r>
    </w:p>
    <w:p>
      <w:pPr>
        <w:spacing w:after="0" w:line="231" w:lineRule="exact"/>
        <w:rPr>
          <w:sz w:val="20"/>
          <w:szCs w:val="20"/>
          <w:color w:val="auto"/>
        </w:rPr>
      </w:pPr>
    </w:p>
    <w:p>
      <w:pPr>
        <w:jc w:val="center"/>
        <w:spacing w:after="0" w:line="217" w:lineRule="auto"/>
        <w:rPr>
          <w:sz w:val="20"/>
          <w:szCs w:val="20"/>
          <w:color w:val="auto"/>
        </w:rPr>
      </w:pPr>
      <w:r>
        <w:rPr>
          <w:rFonts w:ascii="Times New Roman" w:cs="Times New Roman" w:eastAsia="Times New Roman" w:hAnsi="Times New Roman"/>
          <w:sz w:val="18"/>
          <w:szCs w:val="18"/>
          <w:i w:val="1"/>
          <w:iCs w:val="1"/>
          <w:color w:val="auto"/>
        </w:rPr>
        <w:t>The trial will be conducted in the US and its results will complement the preclinical data on the LIBERTY</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i w:val="1"/>
          <w:iCs w:val="1"/>
          <w:color w:val="auto"/>
        </w:rPr>
        <w:t xml:space="preserve"> Endovascular Robotic Surgical System, which together are expected to support a future 510(k) submission.</w:t>
      </w:r>
    </w:p>
    <w:p>
      <w:pPr>
        <w:spacing w:after="0" w:line="20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BRAINTREE, Mass., June 3, 2024 </w:t>
      </w:r>
      <w:r>
        <w:rPr>
          <w:rFonts w:ascii="Times New Roman" w:cs="Times New Roman" w:eastAsia="Times New Roman" w:hAnsi="Times New Roman"/>
          <w:sz w:val="18"/>
          <w:szCs w:val="18"/>
          <w:color w:val="auto"/>
        </w:rPr>
        <w:t>– Microbot Medical Inc. (Nasdaq: MBOT), developer of the innovative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Endovascular Robotic Surgical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System, today announces that it has received the U.S. Food and Drug Administration’s (“FDA”) approval to proceed with its pivotal human clinical trial as part of its Investigational Device Exemption (“IDE”) application for its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study will be conducted in the U.S., and the Company has already signed a clinical trial service agreement with a leading academic medical center. The Company is also in the process of engaging additional leading centers to participate in the trial.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parallel to commencing the pivotal human clinical trial, the Company is completing its biocompatibility tests as required by its IDE application.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recent authorization by the FDA to commence our pivotal clinical study, following submission of the results of our extensive pre-clinical studies and tests, reinforces our confidence in our innovative technology,” commented Harel Gadot, CEO, President and Chairman. “It is also a testament to our commitment to meet meaningful milestones as we continue our path towards potential regulatory clearance and subsequent commercialization in the US and other regions across the globe”.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Microbot Medical Inc. (NASDAQ: MBOT) is a pre-clinical medical device company that specializes in transformational micro-robotic technologies, with the goals of improving clinical outcomes for patients and increasing accessibility through the natural and artificial lumens within the human body.</w:t>
      </w:r>
    </w:p>
    <w:p>
      <w:pPr>
        <w:spacing w:after="0" w:line="165"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Investigational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aims to improve the way surgical robotics are being used in endovascular procedures today, by eliminating the need for large, cumbersome, and expensive capital equipment, while reducing radiation exposure and physician strain.</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The Company believes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remote operation has the potential to be the first system to democratize endovascular interventional procedures.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Further information about Microbot Medical is available at </w:t>
      </w:r>
      <w:r>
        <w:rPr>
          <w:rFonts w:ascii="Times New Roman" w:cs="Times New Roman" w:eastAsia="Times New Roman" w:hAnsi="Times New Roman"/>
          <w:sz w:val="18"/>
          <w:szCs w:val="18"/>
          <w:u w:val="single" w:color="auto"/>
          <w:color w:val="auto"/>
        </w:rPr>
        <w:t>http://www.microbotmedical.com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risks inherent in the development and/or commercialization of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w:t>
      </w:r>
    </w:p>
    <w:p>
      <w:pPr>
        <w:spacing w:after="0" w:line="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Surgical System, the outcome of its studies to evaluate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uncertainty in the results of pre-clinical and clinical trials or regulatory pathways and regulatory approvals, including whether the Company’s pivotal study in humans is successful, any failure or inability to recruit physicians and clinicians to serve as primary investigators to conduct regulatory studies which could adversely affect or delay such studies, disruptions resulting from new and ongoing hostilities between Israel and the Palestinians and other neighboring countries, any lingering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Michal Efraty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+972-(0)52-3044404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2024-06-03T07:22:10Z</dcterms:created>
  <dcterms:modified xsi:type="dcterms:W3CDTF">2024-06-03T07:22:10Z</dcterms:modified>
</cp:coreProperties>
</file>