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October 03, 2005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132080</wp:posOffset>
            </wp:positionV>
            <wp:extent cx="1886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825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2"/>
          <w:szCs w:val="22"/>
          <w:b w:val="1"/>
          <w:bCs w:val="1"/>
          <w:color w:val="auto"/>
        </w:rPr>
        <w:t>ORM</w:t>
      </w:r>
      <w:r>
        <w:rPr>
          <w:rFonts w:ascii="Arial" w:cs="Arial" w:eastAsia="Arial" w:hAnsi="Arial"/>
          <w:sz w:val="32"/>
          <w:szCs w:val="32"/>
          <w:b w:val="1"/>
          <w:bCs w:val="1"/>
          <w:color w:val="auto"/>
        </w:rPr>
        <w:t xml:space="preserve"> S-3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29" w:lineRule="auto"/>
        <w:rPr>
          <w:sz w:val="20"/>
          <w:szCs w:val="20"/>
          <w:color w:val="auto"/>
        </w:rPr>
      </w:pPr>
      <w:r>
        <w:rPr>
          <w:rFonts w:ascii="Arial" w:cs="Arial" w:eastAsia="Arial" w:hAnsi="Arial"/>
          <w:sz w:val="22"/>
          <w:szCs w:val="22"/>
          <w:b w:val="1"/>
          <w:bCs w:val="1"/>
          <w:color w:val="auto"/>
        </w:rPr>
        <w:t>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132080</wp:posOffset>
            </wp:positionV>
            <wp:extent cx="1886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255"/>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3" w:lineRule="exact"/>
        <w:rPr>
          <w:sz w:val="20"/>
          <w:szCs w:val="20"/>
          <w:color w:val="auto"/>
        </w:rPr>
      </w:pPr>
    </w:p>
    <w:tbl>
      <w:tblPr>
        <w:tblLayout w:type="fixed"/>
        <w:tblInd w:w="1520" w:type="dxa"/>
        <w:tblCellMar>
          <w:top w:w="0" w:type="dxa"/>
          <w:left w:w="0" w:type="dxa"/>
          <w:bottom w:w="0" w:type="dxa"/>
          <w:right w:w="0" w:type="dxa"/>
        </w:tblCellMar>
      </w:tblPr>
      <w:tr>
        <w:trPr>
          <w:trHeight w:val="219"/>
        </w:trPr>
        <w:tc>
          <w:tcPr>
            <w:tcW w:w="43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94-3078125</w:t>
            </w:r>
          </w:p>
        </w:tc>
      </w:tr>
      <w:tr>
        <w:trPr>
          <w:trHeight w:val="215"/>
        </w:trPr>
        <w:tc>
          <w:tcPr>
            <w:tcW w:w="4380" w:type="dxa"/>
            <w:vAlign w:val="bottom"/>
          </w:tcPr>
          <w:p>
            <w:pPr>
              <w:jc w:val="center"/>
              <w:ind w:right="1890"/>
              <w:spacing w:after="0"/>
              <w:rPr>
                <w:sz w:val="20"/>
                <w:szCs w:val="20"/>
                <w:color w:val="auto"/>
              </w:rPr>
            </w:pPr>
            <w:r>
              <w:rPr>
                <w:rFonts w:ascii="Arial" w:cs="Arial" w:eastAsia="Arial" w:hAnsi="Arial"/>
                <w:sz w:val="18"/>
                <w:szCs w:val="18"/>
                <w:i w:val="1"/>
                <w:iCs w:val="1"/>
                <w:color w:val="auto"/>
                <w:w w:val="93"/>
              </w:rPr>
              <w:t>(State or other jurisdiction</w:t>
            </w:r>
          </w:p>
        </w:tc>
        <w:tc>
          <w:tcPr>
            <w:tcW w:w="3620" w:type="dxa"/>
            <w:vAlign w:val="bottom"/>
          </w:tcPr>
          <w:p>
            <w:pPr>
              <w:jc w:val="center"/>
              <w:ind w:left="18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80" w:type="dxa"/>
            <w:vAlign w:val="bottom"/>
          </w:tcPr>
          <w:p>
            <w:pPr>
              <w:jc w:val="center"/>
              <w:ind w:right="1890"/>
              <w:spacing w:after="0"/>
              <w:rPr>
                <w:sz w:val="20"/>
                <w:szCs w:val="20"/>
                <w:color w:val="auto"/>
              </w:rPr>
            </w:pPr>
            <w:r>
              <w:rPr>
                <w:rFonts w:ascii="Arial" w:cs="Arial" w:eastAsia="Arial" w:hAnsi="Arial"/>
                <w:sz w:val="18"/>
                <w:szCs w:val="18"/>
                <w:i w:val="1"/>
                <w:iCs w:val="1"/>
                <w:color w:val="auto"/>
                <w:w w:val="94"/>
              </w:rPr>
              <w:t>of incorporation or organization)</w:t>
            </w:r>
          </w:p>
        </w:tc>
        <w:tc>
          <w:tcPr>
            <w:tcW w:w="3620" w:type="dxa"/>
            <w:vAlign w:val="bottom"/>
          </w:tcPr>
          <w:p>
            <w:pPr>
              <w:jc w:val="center"/>
              <w:ind w:left="1890"/>
              <w:spacing w:after="0"/>
              <w:rPr>
                <w:sz w:val="20"/>
                <w:szCs w:val="20"/>
                <w:color w:val="auto"/>
              </w:rPr>
            </w:pPr>
            <w:r>
              <w:rPr>
                <w:rFonts w:ascii="Arial" w:cs="Arial" w:eastAsia="Arial" w:hAnsi="Arial"/>
                <w:sz w:val="18"/>
                <w:szCs w:val="18"/>
                <w:i w:val="1"/>
                <w:iCs w:val="1"/>
                <w:color w:val="auto"/>
                <w:w w:val="93"/>
              </w:rPr>
              <w:t>Identification Number)</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principal executive offices)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Iris Brest, Esq.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(Name, address, including zip code, and telephone</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13335</wp:posOffset>
            </wp:positionV>
            <wp:extent cx="2535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send copies of all communications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Geoffrey Davis, Esq.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Ropes &amp; Gray LLP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International Place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951-7000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the effectiveness of the Registration Statement.</w:t>
      </w:r>
    </w:p>
    <w:p>
      <w:pPr>
        <w:spacing w:after="0" w:line="116"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o</w:t>
      </w:r>
    </w:p>
    <w:p>
      <w:pPr>
        <w:spacing w:after="0" w:line="63" w:lineRule="exact"/>
        <w:rPr>
          <w:sz w:val="20"/>
          <w:szCs w:val="20"/>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under the earlier effective registration statement for the same offering. o</w:t>
      </w:r>
    </w:p>
    <w:p>
      <w:pPr>
        <w:spacing w:after="0" w:line="63"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color w:val="auto"/>
        </w:rPr>
        <w:t>If this form is a post effective amendment filed pursuant to Rule 462(c) under the Securities Act, check the following box and list the Securities Act registration statement number of the earlier effective registration statement for the same offering. 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o</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Borders>
              <w:top w:val="single" w:sz="8" w:color="auto"/>
              <w:right w:val="single" w:sz="8" w:color="auto"/>
            </w:tcBorders>
          </w:tcPr>
          <w:p>
            <w:pPr>
              <w:spacing w:after="0"/>
              <w:rPr>
                <w:sz w:val="14"/>
                <w:szCs w:val="14"/>
                <w:color w:val="auto"/>
              </w:rPr>
            </w:pPr>
          </w:p>
        </w:tc>
        <w:tc>
          <w:tcPr>
            <w:tcW w:w="2720" w:type="dxa"/>
            <w:vAlign w:val="bottom"/>
            <w:tcBorders>
              <w:top w:val="single" w:sz="8" w:color="auto"/>
              <w:right w:val="single" w:sz="8" w:color="auto"/>
            </w:tcBorders>
          </w:tcPr>
          <w:p>
            <w:pPr>
              <w:spacing w:after="0"/>
              <w:rPr>
                <w:sz w:val="14"/>
                <w:szCs w:val="14"/>
                <w:color w:val="auto"/>
              </w:rPr>
            </w:pPr>
          </w:p>
        </w:tc>
        <w:tc>
          <w:tcPr>
            <w:tcW w:w="1560" w:type="dxa"/>
            <w:vAlign w:val="bottom"/>
            <w:tcBorders>
              <w:top w:val="single" w:sz="8" w:color="auto"/>
              <w:right w:val="single" w:sz="8" w:color="auto"/>
            </w:tcBorders>
          </w:tcPr>
          <w:p>
            <w:pPr>
              <w:spacing w:after="0"/>
              <w:rPr>
                <w:sz w:val="14"/>
                <w:szCs w:val="14"/>
                <w:color w:val="auto"/>
              </w:rPr>
            </w:pPr>
          </w:p>
        </w:tc>
        <w:tc>
          <w:tcPr>
            <w:tcW w:w="266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4"/>
                <w:szCs w:val="14"/>
                <w:i w:val="1"/>
                <w:iCs w:val="1"/>
                <w:color w:val="auto"/>
              </w:rPr>
              <w:t>Proposed Maximum</w:t>
            </w:r>
          </w:p>
        </w:tc>
        <w:tc>
          <w:tcPr>
            <w:tcW w:w="1400" w:type="dxa"/>
            <w:vAlign w:val="bottom"/>
            <w:tcBorders>
              <w:top w:val="single" w:sz="8" w:color="auto"/>
            </w:tcBorders>
          </w:tcPr>
          <w:p>
            <w:pPr>
              <w:jc w:val="center"/>
              <w:ind w:left="24"/>
              <w:spacing w:after="0"/>
              <w:rPr>
                <w:sz w:val="20"/>
                <w:szCs w:val="20"/>
                <w:color w:val="auto"/>
              </w:rPr>
            </w:pPr>
            <w:r>
              <w:rPr>
                <w:rFonts w:ascii="Arial" w:cs="Arial" w:eastAsia="Arial" w:hAnsi="Arial"/>
                <w:sz w:val="14"/>
                <w:szCs w:val="14"/>
                <w:i w:val="1"/>
                <w:iCs w:val="1"/>
                <w:color w:val="auto"/>
                <w:w w:val="90"/>
              </w:rPr>
              <w:t>Amount of</w:t>
            </w:r>
          </w:p>
        </w:tc>
      </w:tr>
      <w:tr>
        <w:trPr>
          <w:trHeight w:val="148"/>
        </w:trPr>
        <w:tc>
          <w:tcPr>
            <w:tcW w:w="3080" w:type="dxa"/>
            <w:vAlign w:val="bottom"/>
            <w:tcBorders>
              <w:right w:val="single" w:sz="8" w:color="auto"/>
            </w:tcBorders>
          </w:tcPr>
          <w:p>
            <w:pPr>
              <w:jc w:val="center"/>
              <w:ind w:right="22"/>
              <w:spacing w:after="0" w:line="148" w:lineRule="exact"/>
              <w:rPr>
                <w:sz w:val="20"/>
                <w:szCs w:val="20"/>
                <w:color w:val="auto"/>
              </w:rPr>
            </w:pPr>
            <w:r>
              <w:rPr>
                <w:rFonts w:ascii="Arial" w:cs="Arial" w:eastAsia="Arial" w:hAnsi="Arial"/>
                <w:sz w:val="14"/>
                <w:szCs w:val="14"/>
                <w:i w:val="1"/>
                <w:iCs w:val="1"/>
                <w:color w:val="auto"/>
                <w:w w:val="90"/>
              </w:rPr>
              <w:t>Title of each class</w:t>
            </w:r>
          </w:p>
        </w:tc>
        <w:tc>
          <w:tcPr>
            <w:tcW w:w="27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i w:val="1"/>
                <w:iCs w:val="1"/>
                <w:color w:val="auto"/>
                <w:w w:val="91"/>
              </w:rPr>
              <w:t>Amount to be</w:t>
            </w:r>
          </w:p>
        </w:tc>
        <w:tc>
          <w:tcPr>
            <w:tcW w:w="15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i w:val="1"/>
                <w:iCs w:val="1"/>
                <w:color w:val="auto"/>
                <w:w w:val="93"/>
              </w:rPr>
              <w:t>Proposed Maximum</w:t>
            </w:r>
          </w:p>
        </w:tc>
        <w:tc>
          <w:tcPr>
            <w:tcW w:w="2660" w:type="dxa"/>
            <w:vAlign w:val="bottom"/>
            <w:tcBorders>
              <w:right w:val="single" w:sz="8" w:color="auto"/>
            </w:tcBorders>
          </w:tcPr>
          <w:p>
            <w:pPr>
              <w:ind w:left="780"/>
              <w:spacing w:after="0" w:line="148" w:lineRule="exact"/>
              <w:rPr>
                <w:sz w:val="20"/>
                <w:szCs w:val="20"/>
                <w:color w:val="auto"/>
              </w:rPr>
            </w:pPr>
            <w:r>
              <w:rPr>
                <w:rFonts w:ascii="Arial" w:cs="Arial" w:eastAsia="Arial" w:hAnsi="Arial"/>
                <w:sz w:val="14"/>
                <w:szCs w:val="14"/>
                <w:i w:val="1"/>
                <w:iCs w:val="1"/>
                <w:color w:val="auto"/>
              </w:rPr>
              <w:t>Aggregate Offering</w:t>
            </w:r>
          </w:p>
        </w:tc>
        <w:tc>
          <w:tcPr>
            <w:tcW w:w="1400" w:type="dxa"/>
            <w:vAlign w:val="bottom"/>
          </w:tcPr>
          <w:p>
            <w:pPr>
              <w:jc w:val="center"/>
              <w:ind w:left="24"/>
              <w:spacing w:after="0" w:line="148" w:lineRule="exact"/>
              <w:rPr>
                <w:sz w:val="20"/>
                <w:szCs w:val="20"/>
                <w:color w:val="auto"/>
              </w:rPr>
            </w:pPr>
            <w:r>
              <w:rPr>
                <w:rFonts w:ascii="Arial" w:cs="Arial" w:eastAsia="Arial" w:hAnsi="Arial"/>
                <w:sz w:val="14"/>
                <w:szCs w:val="14"/>
                <w:i w:val="1"/>
                <w:iCs w:val="1"/>
                <w:color w:val="auto"/>
                <w:w w:val="93"/>
              </w:rPr>
              <w:t>Registration</w:t>
            </w:r>
          </w:p>
        </w:tc>
      </w:tr>
      <w:tr>
        <w:trPr>
          <w:trHeight w:val="173"/>
        </w:trPr>
        <w:tc>
          <w:tcPr>
            <w:tcW w:w="308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14"/>
                <w:szCs w:val="14"/>
                <w:i w:val="1"/>
                <w:iCs w:val="1"/>
                <w:color w:val="auto"/>
                <w:w w:val="92"/>
              </w:rPr>
              <w:t>securities to be registered</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Registered (1)(2)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7"/>
              </w:rPr>
              <w:t>Offering Price (1)</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7"/>
              </w:rPr>
              <w:t>Price(1)</w:t>
            </w:r>
          </w:p>
        </w:tc>
        <w:tc>
          <w:tcPr>
            <w:tcW w:w="140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i w:val="1"/>
                <w:iCs w:val="1"/>
                <w:color w:val="auto"/>
                <w:w w:val="92"/>
              </w:rPr>
              <w:t>Fee (2)</w:t>
            </w:r>
          </w:p>
        </w:tc>
      </w:tr>
      <w:tr>
        <w:trPr>
          <w:trHeight w:val="235"/>
        </w:trPr>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(3)</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auto"/>
              <w:right w:val="single" w:sz="8" w:color="auto"/>
            </w:tcBorders>
          </w:tcPr>
          <w:p>
            <w:pPr>
              <w:jc w:val="right"/>
              <w:ind w:right="764"/>
              <w:spacing w:after="0"/>
              <w:rPr>
                <w:sz w:val="20"/>
                <w:szCs w:val="20"/>
                <w:color w:val="auto"/>
              </w:rPr>
            </w:pPr>
            <w:r>
              <w:rPr>
                <w:rFonts w:ascii="Arial" w:cs="Arial" w:eastAsia="Arial" w:hAnsi="Arial"/>
                <w:sz w:val="18"/>
                <w:szCs w:val="18"/>
                <w:color w:val="auto"/>
              </w:rPr>
              <w:t>$100,000,000</w:t>
            </w:r>
          </w:p>
        </w:tc>
        <w:tc>
          <w:tcPr>
            <w:tcW w:w="1400" w:type="dxa"/>
            <w:vAlign w:val="bottom"/>
            <w:tcBorders>
              <w:bottom w:val="single" w:sz="8" w:color="auto"/>
            </w:tcBorders>
          </w:tcPr>
          <w:p>
            <w:pPr>
              <w:jc w:val="center"/>
              <w:ind w:left="24"/>
              <w:spacing w:after="0"/>
              <w:rPr>
                <w:sz w:val="20"/>
                <w:szCs w:val="20"/>
                <w:color w:val="auto"/>
              </w:rPr>
            </w:pPr>
            <w:r>
              <w:rPr>
                <w:rFonts w:ascii="Arial" w:cs="Arial" w:eastAsia="Arial" w:hAnsi="Arial"/>
                <w:sz w:val="18"/>
                <w:szCs w:val="18"/>
                <w:color w:val="auto"/>
                <w:w w:val="89"/>
              </w:rPr>
              <w:t>$11,770</w:t>
            </w:r>
          </w:p>
        </w:tc>
      </w:tr>
    </w:tbl>
    <w:p>
      <w:pPr>
        <w:spacing w:after="0" w:line="107" w:lineRule="exact"/>
        <w:rPr>
          <w:sz w:val="20"/>
          <w:szCs w:val="20"/>
          <w:color w:val="auto"/>
        </w:rPr>
      </w:pPr>
    </w:p>
    <w:p>
      <w:pPr>
        <w:ind w:left="260" w:right="400" w:hanging="252"/>
        <w:spacing w:after="0" w:line="285" w:lineRule="auto"/>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There are being registered under this Registration Statement such indeterminate number of shares of Common Stock of the Registrant as shall have an aggregate offering price not to exceed $100,000,000. The proposed maximum offering price per share will be determined, from time to time, by the Registrant in connection with the issuance of the securities registered under this Registration Statement.</w:t>
      </w:r>
    </w:p>
    <w:p>
      <w:pPr>
        <w:spacing w:after="0" w:line="56" w:lineRule="exact"/>
        <w:rPr>
          <w:rFonts w:ascii="Arial" w:cs="Arial" w:eastAsia="Arial" w:hAnsi="Arial"/>
          <w:sz w:val="17"/>
          <w:szCs w:val="17"/>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11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such indeterminate number of shares of Common Stock as may from time to time be issued at indeterminate prices.</w:t>
      </w:r>
    </w:p>
    <w:p>
      <w:pPr>
        <w:spacing w:after="0" w:line="112" w:lineRule="exact"/>
        <w:rPr>
          <w:sz w:val="20"/>
          <w:szCs w:val="20"/>
          <w:color w:val="auto"/>
        </w:rPr>
      </w:pPr>
    </w:p>
    <w:p>
      <w:pPr>
        <w:ind w:right="80" w:firstLine="224"/>
        <w:spacing w:after="0" w:line="259"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Security and Exchange Commission, acting pursuant to said section 8(a), may determine.</w:t>
      </w:r>
    </w:p>
    <w:p>
      <w:pPr>
        <w:sectPr>
          <w:pgSz w:w="11900" w:h="16838" w:orient="portrait"/>
          <w:cols w:equalWidth="0" w:num="1">
            <w:col w:w="11420"/>
          </w:cols>
          <w:pgMar w:left="240" w:top="122" w:right="239" w:bottom="0" w:gutter="0" w:footer="0" w:header="0"/>
        </w:sectPr>
      </w:pPr>
    </w:p>
    <w:bookmarkStart w:id="2" w:name="page3"/>
    <w:bookmarkEnd w:id="2"/>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106045</wp:posOffset>
            </wp:positionV>
            <wp:extent cx="72472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513715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308215" cy="575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8215" cy="5759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0" w:right="80"/>
        <w:spacing w:after="0" w:line="264" w:lineRule="auto"/>
        <w:rPr>
          <w:sz w:val="20"/>
          <w:szCs w:val="20"/>
          <w:color w:val="auto"/>
        </w:rPr>
      </w:pPr>
      <w:r>
        <w:rPr>
          <w:rFonts w:ascii="Arial" w:cs="Arial" w:eastAsia="Arial" w:hAnsi="Arial"/>
          <w:sz w:val="18"/>
          <w:szCs w:val="18"/>
          <w:b w:val="1"/>
          <w:bCs w:val="1"/>
          <w:color w:val="auto"/>
        </w:rPr>
        <w:t>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ectPr>
          <w:pgSz w:w="11900" w:h="16838" w:orient="portrait"/>
          <w:cols w:equalWidth="0" w:num="1">
            <w:col w:w="11420"/>
          </w:cols>
          <w:pgMar w:left="240" w:top="417" w:right="2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PROSPECTUS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SUBJECT TO COMPLETION</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03, 2005</w:t>
      </w:r>
    </w:p>
    <w:p>
      <w:pPr>
        <w:spacing w:after="0" w:line="200" w:lineRule="exact"/>
        <w:rPr>
          <w:sz w:val="20"/>
          <w:szCs w:val="20"/>
          <w:color w:val="auto"/>
        </w:rPr>
      </w:pPr>
    </w:p>
    <w:p>
      <w:pPr>
        <w:sectPr>
          <w:pgSz w:w="11900" w:h="16838" w:orient="portrait"/>
          <w:cols w:equalWidth="0" w:num="2">
            <w:col w:w="8460" w:space="720"/>
            <w:col w:w="2240"/>
          </w:cols>
          <w:pgMar w:left="240" w:top="417" w:right="239" w:bottom="1440" w:gutter="0" w:footer="0" w:header="0"/>
          <w:type w:val="continuous"/>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$100,000,000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STEMCELLS, INC.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108" w:lineRule="exact"/>
        <w:rPr>
          <w:sz w:val="20"/>
          <w:szCs w:val="20"/>
          <w:color w:val="auto"/>
        </w:rPr>
      </w:pPr>
    </w:p>
    <w:p>
      <w:pPr>
        <w:ind w:right="220" w:firstLine="400"/>
        <w:spacing w:after="0" w:line="291" w:lineRule="auto"/>
        <w:rPr>
          <w:sz w:val="20"/>
          <w:szCs w:val="20"/>
          <w:color w:val="auto"/>
        </w:rPr>
      </w:pPr>
      <w:r>
        <w:rPr>
          <w:rFonts w:ascii="Arial" w:cs="Arial" w:eastAsia="Arial" w:hAnsi="Arial"/>
          <w:sz w:val="16"/>
          <w:szCs w:val="16"/>
          <w:color w:val="auto"/>
        </w:rPr>
        <w:t>We may sell from time to time up to $100,000,000 of our common stock in one or more transactions. We will provide specific terms of these securities and offerings in supplements to this prospectus. You should read this prospectus and any supplement carefully before you invest.</w:t>
      </w:r>
    </w:p>
    <w:p>
      <w:pPr>
        <w:spacing w:after="0" w:line="61" w:lineRule="exact"/>
        <w:rPr>
          <w:sz w:val="20"/>
          <w:szCs w:val="20"/>
          <w:color w:val="auto"/>
        </w:rPr>
      </w:pPr>
    </w:p>
    <w:p>
      <w:pPr>
        <w:jc w:val="both"/>
        <w:ind w:right="40" w:firstLine="403"/>
        <w:spacing w:after="0" w:line="279" w:lineRule="auto"/>
        <w:rPr>
          <w:sz w:val="20"/>
          <w:szCs w:val="20"/>
          <w:color w:val="auto"/>
        </w:rPr>
      </w:pPr>
      <w:r>
        <w:rPr>
          <w:rFonts w:ascii="Arial" w:cs="Arial" w:eastAsia="Arial" w:hAnsi="Arial"/>
          <w:sz w:val="16"/>
          <w:szCs w:val="16"/>
          <w:b w:val="1"/>
          <w:bCs w:val="1"/>
          <w:color w:val="auto"/>
        </w:rPr>
        <w:t>The securities offered in this prospectus involve a high degree of risk. You should carefully consider the “Risk Factors” set forth herein beginning on page 1 and in our future filings made with the Securities and Exchange Commission, which are incorporated by reference in this prospectus, in determining whether to purchase our securities.</w:t>
      </w:r>
    </w:p>
    <w:p>
      <w:pPr>
        <w:spacing w:after="0" w:line="75" w:lineRule="exact"/>
        <w:rPr>
          <w:sz w:val="20"/>
          <w:szCs w:val="20"/>
          <w:color w:val="auto"/>
        </w:rPr>
      </w:pPr>
    </w:p>
    <w:p>
      <w:pPr>
        <w:ind w:right="380" w:firstLine="403"/>
        <w:spacing w:after="0" w:line="291" w:lineRule="auto"/>
        <w:rPr>
          <w:sz w:val="20"/>
          <w:szCs w:val="20"/>
          <w:color w:val="auto"/>
        </w:rPr>
      </w:pPr>
      <w:r>
        <w:rPr>
          <w:rFonts w:ascii="Arial" w:cs="Arial" w:eastAsia="Arial" w:hAnsi="Arial"/>
          <w:sz w:val="16"/>
          <w:szCs w:val="16"/>
          <w:color w:val="auto"/>
        </w:rPr>
        <w:t>Our common stock is currently listed on the Nasdaq National Market with the ticker symbol: “STEM.” On September 30, 2005, the closing price of one share of our common stock on the Nasdaq National Market was $5.52.</w:t>
      </w:r>
    </w:p>
    <w:p>
      <w:pPr>
        <w:spacing w:after="0" w:line="6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72" w:lineRule="exact"/>
        <w:rPr>
          <w:sz w:val="20"/>
          <w:szCs w:val="20"/>
          <w:color w:val="auto"/>
        </w:rPr>
      </w:pPr>
    </w:p>
    <w:p>
      <w:pPr>
        <w:jc w:val="center"/>
        <w:spacing w:after="0"/>
        <w:tabs>
          <w:tab w:leader="none" w:pos="34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405130</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firstLine="448"/>
        <w:spacing w:after="0" w:line="259"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This prospectus may only be used where it is legal to sell these securities.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00" w:type="dxa"/>
            <w:vAlign w:val="bottom"/>
          </w:tcPr>
          <w:p>
            <w:pPr>
              <w:jc w:val="right"/>
              <w:ind w:right="4552"/>
              <w:spacing w:after="0"/>
              <w:rPr>
                <w:sz w:val="20"/>
                <w:szCs w:val="20"/>
                <w:color w:val="auto"/>
              </w:rPr>
            </w:pPr>
            <w:r>
              <w:rPr>
                <w:rFonts w:ascii="Arial" w:cs="Arial" w:eastAsia="Arial" w:hAnsi="Arial"/>
                <w:sz w:val="18"/>
                <w:szCs w:val="18"/>
                <w:b w:val="1"/>
                <w:bCs w:val="1"/>
                <w:color w:val="auto"/>
              </w:rPr>
              <w:t>TABLE OF CONTENTS</w:t>
            </w:r>
          </w:p>
        </w:tc>
      </w:tr>
      <w:tr>
        <w:trPr>
          <w:trHeight w:val="348"/>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89"/>
        </w:trPr>
        <w:tc>
          <w:tcPr>
            <w:tcW w:w="4220" w:type="dxa"/>
            <w:vAlign w:val="bottom"/>
            <w:gridSpan w:val="12"/>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71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195"/>
        </w:trPr>
        <w:tc>
          <w:tcPr>
            <w:tcW w:w="4220" w:type="dxa"/>
            <w:vAlign w:val="bottom"/>
            <w:gridSpan w:val="12"/>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710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195"/>
        </w:trPr>
        <w:tc>
          <w:tcPr>
            <w:tcW w:w="3300" w:type="dxa"/>
            <w:vAlign w:val="bottom"/>
            <w:tcBorders>
              <w:bottom w:val="single" w:sz="8" w:color="0000EE"/>
            </w:tcBorders>
            <w:gridSpan w:val="10"/>
          </w:tcPr>
          <w:p>
            <w:pPr>
              <w:spacing w:after="0" w:line="195"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Note Regarding Forward-Looking Statements</w:t>
              </w:r>
            </w:hyperlink>
          </w:p>
        </w:tc>
        <w:tc>
          <w:tcPr>
            <w:tcW w:w="920" w:type="dxa"/>
            <w:vAlign w:val="bottom"/>
            <w:gridSpan w:val="2"/>
          </w:tcPr>
          <w:p>
            <w:pPr>
              <w:spacing w:after="0"/>
              <w:rPr>
                <w:sz w:val="16"/>
                <w:szCs w:val="16"/>
                <w:color w:val="auto"/>
              </w:rPr>
            </w:pPr>
          </w:p>
        </w:tc>
        <w:tc>
          <w:tcPr>
            <w:tcW w:w="710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r>
      <w:tr>
        <w:trPr>
          <w:trHeight w:val="195"/>
        </w:trPr>
        <w:tc>
          <w:tcPr>
            <w:tcW w:w="1220" w:type="dxa"/>
            <w:vAlign w:val="bottom"/>
            <w:tcBorders>
              <w:bottom w:val="single" w:sz="8" w:color="0000EE"/>
            </w:tcBorders>
            <w:gridSpan w:val="7"/>
          </w:tcPr>
          <w:p>
            <w:pPr>
              <w:spacing w:after="0" w:line="195"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3000" w:type="dxa"/>
            <w:vAlign w:val="bottom"/>
            <w:gridSpan w:val="5"/>
          </w:tcPr>
          <w:p>
            <w:pPr>
              <w:spacing w:after="0"/>
              <w:rPr>
                <w:sz w:val="16"/>
                <w:szCs w:val="16"/>
                <w:color w:val="auto"/>
              </w:rPr>
            </w:pPr>
          </w:p>
        </w:tc>
        <w:tc>
          <w:tcPr>
            <w:tcW w:w="71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1480" w:type="dxa"/>
            <w:vAlign w:val="bottom"/>
            <w:tcBorders>
              <w:bottom w:val="single" w:sz="8" w:color="0000EE"/>
            </w:tcBorders>
            <w:gridSpan w:val="8"/>
          </w:tcPr>
          <w:p>
            <w:pPr>
              <w:spacing w:after="0" w:line="195"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Plan Of Distribution</w:t>
              </w:r>
            </w:hyperlink>
          </w:p>
        </w:tc>
        <w:tc>
          <w:tcPr>
            <w:tcW w:w="2740" w:type="dxa"/>
            <w:vAlign w:val="bottom"/>
            <w:gridSpan w:val="4"/>
          </w:tcPr>
          <w:p>
            <w:pPr>
              <w:spacing w:after="0"/>
              <w:rPr>
                <w:sz w:val="16"/>
                <w:szCs w:val="16"/>
                <w:color w:val="auto"/>
              </w:rPr>
            </w:pPr>
          </w:p>
        </w:tc>
        <w:tc>
          <w:tcPr>
            <w:tcW w:w="710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195"/>
        </w:trPr>
        <w:tc>
          <w:tcPr>
            <w:tcW w:w="4220" w:type="dxa"/>
            <w:vAlign w:val="bottom"/>
            <w:gridSpan w:val="12"/>
          </w:tcPr>
          <w:p>
            <w:pPr>
              <w:spacing w:after="0" w:line="195"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710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195"/>
        </w:trPr>
        <w:tc>
          <w:tcPr>
            <w:tcW w:w="3680" w:type="dxa"/>
            <w:vAlign w:val="bottom"/>
            <w:tcBorders>
              <w:bottom w:val="single" w:sz="8" w:color="0000EE"/>
            </w:tcBorders>
            <w:gridSpan w:val="11"/>
          </w:tcPr>
          <w:p>
            <w:pPr>
              <w:spacing w:after="0" w:line="195"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Incorporation Of Certain Documents By Reference</w:t>
              </w:r>
            </w:hyperlink>
          </w:p>
        </w:tc>
        <w:tc>
          <w:tcPr>
            <w:tcW w:w="540" w:type="dxa"/>
            <w:vAlign w:val="bottom"/>
          </w:tcPr>
          <w:p>
            <w:pPr>
              <w:spacing w:after="0"/>
              <w:rPr>
                <w:sz w:val="16"/>
                <w:szCs w:val="16"/>
                <w:color w:val="auto"/>
              </w:rPr>
            </w:pPr>
          </w:p>
        </w:tc>
        <w:tc>
          <w:tcPr>
            <w:tcW w:w="710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195"/>
        </w:trPr>
        <w:tc>
          <w:tcPr>
            <w:tcW w:w="4220" w:type="dxa"/>
            <w:vAlign w:val="bottom"/>
            <w:gridSpan w:val="12"/>
          </w:tcPr>
          <w:p>
            <w:pPr>
              <w:spacing w:after="0" w:line="195" w:lineRule="exact"/>
              <w:rPr>
                <w:rFonts w:ascii="Arial" w:cs="Arial" w:eastAsia="Arial" w:hAnsi="Arial"/>
                <w:sz w:val="18"/>
                <w:szCs w:val="18"/>
                <w:color w:val="0000EE"/>
              </w:rPr>
            </w:pPr>
            <w:hyperlink w:anchor="page16">
              <w:r>
                <w:rPr>
                  <w:rFonts w:ascii="Arial" w:cs="Arial" w:eastAsia="Arial" w:hAnsi="Arial"/>
                  <w:sz w:val="18"/>
                  <w:szCs w:val="18"/>
                  <w:color w:val="0000EE"/>
                </w:rPr>
                <w:t>Legal Opinion</w:t>
              </w:r>
            </w:hyperlink>
          </w:p>
        </w:tc>
        <w:tc>
          <w:tcPr>
            <w:tcW w:w="710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r>
      <w:tr>
        <w:trPr>
          <w:trHeight w:val="195"/>
        </w:trPr>
        <w:tc>
          <w:tcPr>
            <w:tcW w:w="56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Experts</w:t>
              </w:r>
            </w:hyperlink>
          </w:p>
        </w:tc>
        <w:tc>
          <w:tcPr>
            <w:tcW w:w="480" w:type="dxa"/>
            <w:vAlign w:val="bottom"/>
            <w:tcBorders>
              <w:top w:val="single" w:sz="8" w:color="0000EE"/>
            </w:tcBorders>
            <w:gridSpan w:val="4"/>
          </w:tcPr>
          <w:p>
            <w:pPr>
              <w:spacing w:after="0"/>
              <w:rPr>
                <w:sz w:val="16"/>
                <w:szCs w:val="16"/>
                <w:color w:val="auto"/>
              </w:rPr>
            </w:pPr>
          </w:p>
        </w:tc>
        <w:tc>
          <w:tcPr>
            <w:tcW w:w="3180" w:type="dxa"/>
            <w:vAlign w:val="bottom"/>
            <w:gridSpan w:val="6"/>
          </w:tcPr>
          <w:p>
            <w:pPr>
              <w:spacing w:after="0"/>
              <w:rPr>
                <w:sz w:val="16"/>
                <w:szCs w:val="16"/>
                <w:color w:val="auto"/>
              </w:rPr>
            </w:pPr>
          </w:p>
        </w:tc>
        <w:tc>
          <w:tcPr>
            <w:tcW w:w="710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r>
      <w:tr>
        <w:trPr>
          <w:trHeight w:val="195"/>
        </w:trPr>
        <w:tc>
          <w:tcPr>
            <w:tcW w:w="60" w:type="dxa"/>
            <w:vAlign w:val="bottom"/>
          </w:tcPr>
          <w:p>
            <w:pPr>
              <w:spacing w:after="0"/>
              <w:rPr>
                <w:sz w:val="16"/>
                <w:szCs w:val="16"/>
                <w:color w:val="auto"/>
              </w:rPr>
            </w:pPr>
          </w:p>
        </w:tc>
        <w:tc>
          <w:tcPr>
            <w:tcW w:w="9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9"/>
              </w:rPr>
              <w:t>EXHIBIT 5.1</w:t>
            </w:r>
          </w:p>
        </w:tc>
        <w:tc>
          <w:tcPr>
            <w:tcW w:w="3200" w:type="dxa"/>
            <w:vAlign w:val="bottom"/>
            <w:gridSpan w:val="7"/>
          </w:tcPr>
          <w:p>
            <w:pPr>
              <w:spacing w:after="0"/>
              <w:rPr>
                <w:sz w:val="16"/>
                <w:szCs w:val="16"/>
                <w:color w:val="auto"/>
              </w:rPr>
            </w:pPr>
          </w:p>
        </w:tc>
        <w:tc>
          <w:tcPr>
            <w:tcW w:w="7100" w:type="dxa"/>
            <w:vAlign w:val="bottom"/>
          </w:tcPr>
          <w:p>
            <w:pPr>
              <w:spacing w:after="0"/>
              <w:rPr>
                <w:sz w:val="16"/>
                <w:szCs w:val="16"/>
                <w:color w:val="auto"/>
              </w:rPr>
            </w:pPr>
          </w:p>
        </w:tc>
      </w:tr>
    </w:tbl>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EXHIBIT 23.1</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395605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20" w:lineRule="exact"/>
        <w:rPr>
          <w:sz w:val="20"/>
          <w:szCs w:val="20"/>
          <w:color w:val="auto"/>
        </w:rPr>
      </w:pPr>
    </w:p>
    <w:p>
      <w:pPr>
        <w:ind w:right="20" w:firstLine="448"/>
        <w:spacing w:after="0" w:line="262"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financial statements appearing elsewhere or incorporated by reference in this prospectus. Without limiting the generality of the foregoing, prospective investors should carefully consider factors set forth under the caption “Risk Factors” below.</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120" w:lineRule="exact"/>
        <w:rPr>
          <w:sz w:val="20"/>
          <w:szCs w:val="20"/>
          <w:color w:val="auto"/>
        </w:rPr>
      </w:pPr>
    </w:p>
    <w:p>
      <w:pPr>
        <w:ind w:right="100" w:firstLine="445"/>
        <w:spacing w:after="0" w:line="269" w:lineRule="auto"/>
        <w:rPr>
          <w:sz w:val="20"/>
          <w:szCs w:val="20"/>
          <w:color w:val="auto"/>
        </w:rPr>
      </w:pPr>
      <w:r>
        <w:rPr>
          <w:rFonts w:ascii="Arial" w:cs="Arial" w:eastAsia="Arial" w:hAnsi="Arial"/>
          <w:sz w:val="17"/>
          <w:szCs w:val="17"/>
          <w:color w:val="auto"/>
        </w:rPr>
        <w:t>We are engaged in research aimed at the development of therapies that would use stem and progenitor cells to treat, and possibly cure, human diseases and injuries such as neurodegenerative diseases (for instance, Batten’s, Parkinson’s, and Alzheimer’s diseases, and other metabolic genetic disorders), demyelinating disorders (for instance, Multiple Sclerosis), spinal cord injuries, stroke, hepatitis, chronic liver failure, and diabetes. 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tissue sources, and are not developing embryonic stem cells for therapeutic use. Neither are we involved in any activity directed toward human cloning; our programs are all directed toward the use of tissue-derived cells for treating or curing diseases and injuries.</w:t>
      </w:r>
    </w:p>
    <w:p>
      <w:pPr>
        <w:spacing w:after="0" w:line="71" w:lineRule="exact"/>
        <w:rPr>
          <w:sz w:val="20"/>
          <w:szCs w:val="20"/>
          <w:color w:val="auto"/>
        </w:rPr>
      </w:pPr>
    </w:p>
    <w:p>
      <w:pPr>
        <w:ind w:firstLine="448"/>
        <w:spacing w:after="0" w:line="278" w:lineRule="auto"/>
        <w:rPr>
          <w:sz w:val="20"/>
          <w:szCs w:val="20"/>
          <w:color w:val="auto"/>
        </w:rPr>
      </w:pPr>
      <w:r>
        <w:rPr>
          <w:rFonts w:ascii="Arial" w:cs="Arial" w:eastAsia="Arial" w:hAnsi="Arial"/>
          <w:sz w:val="17"/>
          <w:szCs w:val="17"/>
          <w:color w:val="auto"/>
        </w:rPr>
        <w:t>Many diseases, such as Alzheimer’s, Parkinson’s, lysosomal storage diseases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50 million people in the United States and account for more than $300 billion annually in health care costs.</w:t>
      </w:r>
    </w:p>
    <w:p>
      <w:pPr>
        <w:spacing w:after="0" w:line="62" w:lineRule="exact"/>
        <w:rPr>
          <w:sz w:val="20"/>
          <w:szCs w:val="20"/>
          <w:color w:val="auto"/>
        </w:rPr>
      </w:pPr>
    </w:p>
    <w:p>
      <w:pPr>
        <w:ind w:right="60" w:firstLine="448"/>
        <w:spacing w:after="0" w:line="270" w:lineRule="auto"/>
        <w:rPr>
          <w:sz w:val="20"/>
          <w:szCs w:val="20"/>
          <w:color w:val="auto"/>
        </w:rPr>
      </w:pPr>
      <w:r>
        <w:rPr>
          <w:rFonts w:ascii="Arial" w:cs="Arial" w:eastAsia="Arial" w:hAnsi="Arial"/>
          <w:sz w:val="17"/>
          <w:szCs w:val="17"/>
          <w:color w:val="auto"/>
        </w:rPr>
        <w:t>Our stem cell discovery engine relies upon our state-of-the-art cell sorting capabilities and our library of known and proprietary monoclonal antibodies to human proteins. Using this library of monoclonal antibodies, we have successfully identified, purified, and characterized the human central nervous system stem cell. We have also used our proprietary monoclonal antibodies to make significant advances in our search for stem or progenitor cells of the liver and the pancreas. We have established an intellectual property position in all three areas of our stem cell research — the nervous system, the liver and the pancreas — 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are concentrating our efforts on the preclinical and clinical development of our neural stem cell program and research endeavors in characterizing the candidate stem/progenitor cells for the liver and pancreas programs.</w:t>
      </w:r>
    </w:p>
    <w:p>
      <w:pPr>
        <w:spacing w:after="0" w:line="69" w:lineRule="exact"/>
        <w:rPr>
          <w:sz w:val="20"/>
          <w:szCs w:val="20"/>
          <w:color w:val="auto"/>
        </w:rPr>
      </w:pPr>
    </w:p>
    <w:p>
      <w:pPr>
        <w:jc w:val="both"/>
        <w:ind w:right="380" w:firstLine="448"/>
        <w:spacing w:after="0" w:line="262" w:lineRule="auto"/>
        <w:rPr>
          <w:sz w:val="20"/>
          <w:szCs w:val="20"/>
          <w:color w:val="auto"/>
        </w:rPr>
      </w:pPr>
      <w:r>
        <w:rPr>
          <w:rFonts w:ascii="Arial" w:cs="Arial" w:eastAsia="Arial" w:hAnsi="Arial"/>
          <w:sz w:val="18"/>
          <w:szCs w:val="18"/>
          <w:color w:val="auto"/>
        </w:rPr>
        <w:t>In late December 2004, we submitted our first Investigational New Drug application (IND) to the U.S. Food and Drug Administration (FDA) for a clinical trial using our proprietary human neural stem cells to treat Batten Disease. That IND is currently on clinical hold, and on September 19, 2005, we submitted our response to the FDA’s questions and concerns in the form of an amendment to the IND.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Investing in our common stock is risky. In addition to the other information in this prospectus, the following risk factors should be considered carefully in evaluating us and our business. If any of the following risks were to occur, our business, financial condition or results of operations would likely suffer. In that event, the trading price of our common stock could decline, and you could lose all or a part of your investment.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2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i w:val="1"/>
          <w:iCs w:val="1"/>
          <w:color w:val="auto"/>
        </w:rPr>
        <w:t>Our financial situation is precarious and, based on currently estimated operating expenses, our existing capital resources may not be sufficient to fund our operations beyond 2006.</w:t>
      </w:r>
    </w:p>
    <w:p>
      <w:pPr>
        <w:spacing w:after="0" w:line="63"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may not be sufficient to fund our operations beyond 2006.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72" w:lineRule="exact"/>
        <w:rPr>
          <w:sz w:val="20"/>
          <w:szCs w:val="20"/>
          <w:color w:val="auto"/>
        </w:rPr>
      </w:pPr>
    </w:p>
    <w:p>
      <w:pPr>
        <w:ind w:right="60" w:firstLine="445"/>
        <w:spacing w:after="0" w:line="274"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67" w:lineRule="exact"/>
        <w:rPr>
          <w:sz w:val="20"/>
          <w:szCs w:val="20"/>
          <w:color w:val="auto"/>
        </w:rPr>
      </w:pPr>
    </w:p>
    <w:p>
      <w:pPr>
        <w:ind w:right="440"/>
        <w:spacing w:after="0" w:line="374" w:lineRule="auto"/>
        <w:rPr>
          <w:sz w:val="20"/>
          <w:szCs w:val="20"/>
          <w:color w:val="auto"/>
        </w:rPr>
      </w:pPr>
      <w:r>
        <w:rPr>
          <w:rFonts w:ascii="Arial" w:cs="Arial" w:eastAsia="Arial" w:hAnsi="Arial"/>
          <w:sz w:val="15"/>
          <w:szCs w:val="15"/>
          <w:b w:val="1"/>
          <w:bCs w:val="1"/>
          <w:i w:val="1"/>
          <w:iCs w:val="1"/>
          <w:color w:val="auto"/>
        </w:rPr>
        <w:t>The FDA may fail to approve our Investigational New Drug Application for our proposed Phase I clinical trial of our proprietary neural cell therapy product in Batten disease, and the Institutional Review Board (IRB) at the clinical site may fail to approve the clinical protocol for the trial.</w:t>
      </w:r>
    </w:p>
    <w:p>
      <w:pPr>
        <w:ind w:firstLine="445"/>
        <w:spacing w:after="0" w:line="285" w:lineRule="auto"/>
        <w:rPr>
          <w:sz w:val="20"/>
          <w:szCs w:val="20"/>
          <w:color w:val="auto"/>
        </w:rPr>
      </w:pPr>
      <w:r>
        <w:rPr>
          <w:rFonts w:ascii="Arial" w:cs="Arial" w:eastAsia="Arial" w:hAnsi="Arial"/>
          <w:sz w:val="16"/>
          <w:szCs w:val="16"/>
          <w:color w:val="auto"/>
        </w:rPr>
        <w:t>We filed our first Investigational New Drug, or IND, application to the U.S. Food and Drug Administration (FDA) in late December 2004 for our proposed Phase I clinical trial of our proprietary neural cell therapy product – HuCNS SC – to treat Batten disease. The FDA has informed us that it has suggestions and questions related to the proposed trial that require additional information and has placed our proposed trial on hold. On September 19, 2005, we submitted our response to the FDA’s questions and concerns in the form of an amendment to the IND; the FDA has 30 days in which to reply to us if it has further questions or concerns. Before we are permitted to move forward, as part of the IND process, the FDA will need to be satisfied that, among other things, the cell bank to be used in these trials qualifies as a suitable source of the cells for the proposed clinical trial, and that the pre-clinical safety testing (i.e., pharmacology and toxicology studies) we conducted in various animal models is adequate. We cannot be certain whether the FDA will remove the clinical hold on our proposed initial clinical trial and permit us to proceed to clinical testing despite the novel and unproven nature of our technology. We may not be able to satisfy the FDA’s concerns without conducting extensive and time consuming additional preclinical studies, if at all. Even if approved, our clinical trial could be substantially delayed beyond its expected timetable. In addition to requiring FDA approval, the trial cannot go forward until the IRB of the trial site has approved the proposed clinical protocol. IRB approval will be sought when and if the FDA removes the clinical hold on the proposed trial. Should the IRB of a proposed trial site fail to approve the trial, or require modifications to the protocol that are not acceptable to us, we would need to find another trial site.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at an early stage of discovery and development, and we may fail to develop any commercially acceptable products.</w:t>
      </w:r>
    </w:p>
    <w:p>
      <w:pPr>
        <w:spacing w:after="0" w:line="127" w:lineRule="exact"/>
        <w:rPr>
          <w:sz w:val="20"/>
          <w:szCs w:val="20"/>
          <w:color w:val="auto"/>
        </w:rPr>
      </w:pPr>
    </w:p>
    <w:p>
      <w:pPr>
        <w:ind w:right="280" w:firstLine="445"/>
        <w:spacing w:after="0" w:line="262" w:lineRule="auto"/>
        <w:rPr>
          <w:sz w:val="20"/>
          <w:szCs w:val="20"/>
          <w:color w:val="auto"/>
        </w:rPr>
      </w:pPr>
      <w:r>
        <w:rPr>
          <w:rFonts w:ascii="Arial" w:cs="Arial" w:eastAsia="Arial" w:hAnsi="Arial"/>
          <w:sz w:val="18"/>
          <w:szCs w:val="18"/>
          <w:color w:val="auto"/>
        </w:rPr>
        <w:t>We have yet to develop any products. Our stem cell technology is still at the discovery phase for the liver and pancreas stem cells and, while we have filed an IND with respect to our human neural (brain) stem cells, the FDA placed a clinical hold on our proposed clinical trial pending our response to its concerns and its review of that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response. On September 19, 2005, we submitted our response to the FDA’s questions and concerns in the form of an amendment to the IND. We may fail to discover the stem cells we are seeking, to develop any products, to obtain regulatory approvals, to enter clinical trials, or to commercialize any products. Any product using stem cell technology may fail to:</w:t>
      </w:r>
    </w:p>
    <w:p>
      <w:pPr>
        <w:spacing w:after="0" w:line="75" w:lineRule="exact"/>
        <w:rPr>
          <w:sz w:val="20"/>
          <w:szCs w:val="20"/>
          <w:color w:val="auto"/>
        </w:rPr>
      </w:pPr>
    </w:p>
    <w:p>
      <w:pPr>
        <w:ind w:left="440" w:hanging="217"/>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survive and persist in the desired location;</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provide the intended therapeutic benefits;</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properly integrate into existing tissue in the desired manner; or</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6" w:lineRule="exact"/>
        <w:rPr>
          <w:sz w:val="20"/>
          <w:szCs w:val="20"/>
          <w:color w:val="auto"/>
        </w:rPr>
      </w:pPr>
    </w:p>
    <w:p>
      <w:pPr>
        <w:ind w:firstLine="448"/>
        <w:spacing w:after="0" w:line="254" w:lineRule="auto"/>
        <w:rPr>
          <w:sz w:val="20"/>
          <w:szCs w:val="20"/>
          <w:color w:val="auto"/>
        </w:rPr>
      </w:pPr>
      <w:r>
        <w:rPr>
          <w:rFonts w:ascii="Arial" w:cs="Arial" w:eastAsia="Arial" w:hAnsi="Arial"/>
          <w:sz w:val="18"/>
          <w:szCs w:val="18"/>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84" w:lineRule="exact"/>
        <w:rPr>
          <w:sz w:val="20"/>
          <w:szCs w:val="20"/>
          <w:color w:val="auto"/>
        </w:rPr>
      </w:pPr>
    </w:p>
    <w:p>
      <w:pPr>
        <w:ind w:right="120" w:firstLine="448"/>
        <w:spacing w:after="0" w:line="295" w:lineRule="auto"/>
        <w:rPr>
          <w:sz w:val="20"/>
          <w:szCs w:val="20"/>
          <w:color w:val="auto"/>
        </w:rPr>
      </w:pPr>
      <w:r>
        <w:rPr>
          <w:rFonts w:ascii="Arial" w:cs="Arial" w:eastAsia="Arial" w:hAnsi="Arial"/>
          <w:sz w:val="16"/>
          <w:szCs w:val="16"/>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has not been tested with our therapies since we have not yet conducted any clinical trials.</w:t>
      </w:r>
    </w:p>
    <w:p>
      <w:pPr>
        <w:spacing w:after="0" w:line="5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stem cell research and development.</w:t>
      </w:r>
    </w:p>
    <w:p>
      <w:pPr>
        <w:spacing w:after="0" w:line="63" w:lineRule="exact"/>
        <w:rPr>
          <w:sz w:val="20"/>
          <w:szCs w:val="20"/>
          <w:color w:val="auto"/>
        </w:rPr>
      </w:pPr>
    </w:p>
    <w:p>
      <w:pPr>
        <w:ind w:right="20" w:firstLine="448"/>
        <w:spacing w:after="0" w:line="284"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of approximately $1,450,000 per year before sub-tenant rent income for our former science and administrative facility, which we have leased through June 30, 2013, and debt service payments and payments for operating costs of approximately $500,000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 significantly reduce our cash resources and adversely affect our ability to fund further development of our stem cell technology.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June 30, 2005, the reserve was $5,482,000. The Company incurred $586,000 in operating expenses for the six month period ending June 30, 2005, which was recorded against the reserve.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but fail to obtain partners to support our stem cell development efforts and to commercialize our technology.</w:t>
      </w:r>
    </w:p>
    <w:p>
      <w:pPr>
        <w:spacing w:after="0" w:line="116" w:lineRule="exact"/>
        <w:rPr>
          <w:sz w:val="20"/>
          <w:szCs w:val="20"/>
          <w:color w:val="auto"/>
        </w:rPr>
      </w:pPr>
    </w:p>
    <w:p>
      <w:pPr>
        <w:ind w:right="20" w:firstLine="448"/>
        <w:spacing w:after="0" w:line="288" w:lineRule="auto"/>
        <w:rPr>
          <w:sz w:val="20"/>
          <w:szCs w:val="20"/>
          <w:color w:val="auto"/>
        </w:rPr>
      </w:pPr>
      <w:r>
        <w:rPr>
          <w:rFonts w:ascii="Arial" w:cs="Arial" w:eastAsia="Arial" w:hAnsi="Arial"/>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we may fail to obtain revenues or become profitable.</w:t>
      </w:r>
    </w:p>
    <w:p>
      <w:pPr>
        <w:spacing w:after="0" w:line="116"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patents and proprietary rights, our business, financial condition and results of operations will be harmed.</w:t>
      </w:r>
    </w:p>
    <w:p>
      <w:pPr>
        <w:spacing w:after="0" w:line="127"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 Under the procedures of the European Patent Office, third parties may oppose our issued European patents during the relevant opposition period. Such oppositions could result in substantial uncertainties and cost for us, even if the eventual outcome is favorable to us, and the outcome might not be favorable to us. One party has opposed two of our granted European patents. If we are unsuccessful in our defense of the opposed patents, all claimed rights in the opposed patents will be lost in Europe.</w:t>
      </w:r>
    </w:p>
    <w:p>
      <w:pPr>
        <w:spacing w:after="0" w:line="65" w:lineRule="exact"/>
        <w:rPr>
          <w:sz w:val="20"/>
          <w:szCs w:val="20"/>
          <w:color w:val="auto"/>
        </w:rPr>
      </w:pPr>
    </w:p>
    <w:p>
      <w:pPr>
        <w:ind w:right="160" w:firstLine="448"/>
        <w:spacing w:after="0" w:line="27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others are first to discover and patent the stem cells we are seeking to discover, we could be blocked from further work on those stem cells.</w:t>
      </w:r>
    </w:p>
    <w:p>
      <w:pPr>
        <w:spacing w:after="0" w:line="139" w:lineRule="exact"/>
        <w:rPr>
          <w:sz w:val="20"/>
          <w:szCs w:val="20"/>
          <w:color w:val="auto"/>
        </w:rPr>
      </w:pPr>
    </w:p>
    <w:p>
      <w:pPr>
        <w:ind w:right="220" w:firstLine="448"/>
        <w:spacing w:after="0" w:line="262"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50" w:lineRule="exact"/>
        <w:rPr>
          <w:sz w:val="20"/>
          <w:szCs w:val="20"/>
          <w:color w:val="auto"/>
        </w:rPr>
      </w:pPr>
    </w:p>
    <w:p>
      <w:pPr>
        <w:ind w:right="20" w:firstLine="438"/>
        <w:spacing w:after="0" w:line="269"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valid claims that our technology infringes upon their technology,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risks of third-party patents and/or technology. We can give no assurance that any of these licenses will provide effective protection against our competitors.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6"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large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Shire Pharmaceuticals, BioMarin, Celgene, Biogen Idec, and Titan Pharmaceuticals/Schering AG. Finally, we also expect to compete with smaller biotechnology companies, such as NeuralStem, Geron, NeuroNova, ReNeuron, and ES Cell International, some of which are privately owned,.</w:t>
      </w:r>
    </w:p>
    <w:p>
      <w:pPr>
        <w:spacing w:after="0" w:line="68" w:lineRule="exact"/>
        <w:rPr>
          <w:sz w:val="20"/>
          <w:szCs w:val="20"/>
          <w:color w:val="auto"/>
        </w:rPr>
      </w:pPr>
    </w:p>
    <w:p>
      <w:pPr>
        <w:ind w:right="20" w:firstLine="445"/>
        <w:spacing w:after="0" w:line="274" w:lineRule="auto"/>
        <w:rPr>
          <w:sz w:val="20"/>
          <w:szCs w:val="20"/>
          <w:color w:val="auto"/>
        </w:rPr>
      </w:pPr>
      <w:r>
        <w:rPr>
          <w:rFonts w:ascii="Arial" w:cs="Arial" w:eastAsia="Arial" w:hAnsi="Arial"/>
          <w:sz w:val="17"/>
          <w:szCs w:val="17"/>
          <w:color w:val="auto"/>
        </w:rPr>
        <w:t>We believe that our human neural stem cells may have application to many or most of the Lysosomal Storage Diseases (“LSDs”) with CNS involvement. We have submitted our first IND to treat the Infantile and Late Infantile forms of Batten Disease, which are among the LSDs that affect the CNS; that IND is currently on clinical hold, and we have no assurance as to when or whether the FDA will release the hold and permit the clinical trial to begin. There are, so far as we know, no approved therapies for Batten’s or any of the other CNS-specific LSDs, but other companies, including Genzyme, BioMarin, and Shire, have products approved to treat peripheral aspects of some of the other LSDs, and other products are in clinical trials.</w:t>
      </w:r>
    </w:p>
    <w:p>
      <w:pPr>
        <w:spacing w:after="0" w:line="67" w:lineRule="exact"/>
        <w:rPr>
          <w:sz w:val="20"/>
          <w:szCs w:val="20"/>
          <w:color w:val="auto"/>
        </w:rPr>
      </w:pPr>
    </w:p>
    <w:p>
      <w:pPr>
        <w:ind w:right="220" w:firstLine="448"/>
        <w:spacing w:after="0" w:line="285" w:lineRule="auto"/>
        <w:rPr>
          <w:sz w:val="20"/>
          <w:szCs w:val="20"/>
          <w:color w:val="auto"/>
        </w:rPr>
      </w:pPr>
      <w:r>
        <w:rPr>
          <w:rFonts w:ascii="Arial" w:cs="Arial" w:eastAsia="Arial" w:hAnsi="Arial"/>
          <w:sz w:val="17"/>
          <w:szCs w:val="17"/>
          <w:color w:val="auto"/>
        </w:rPr>
        <w:t>In the field of diabetes, a number of major companies currently market products for the treatment of diabetes and are also engaged in the research and development of new therapies. Such companies include Eli Lilly, Novo Nordisk, J&amp;J, Amylin, ViaCell, and Serono. Consequently, should we successfully develop a cell-based therapy for diabetes, we would expect to face severe competition from these and similar companies.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right="260" w:firstLine="448"/>
        <w:spacing w:after="0" w:line="262" w:lineRule="auto"/>
        <w:rPr>
          <w:sz w:val="20"/>
          <w:szCs w:val="20"/>
          <w:color w:val="auto"/>
        </w:rPr>
      </w:pPr>
      <w:r>
        <w:rPr>
          <w:rFonts w:ascii="Arial" w:cs="Arial" w:eastAsia="Arial" w:hAnsi="Arial"/>
          <w:sz w:val="18"/>
          <w:szCs w:val="18"/>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our technology is subject to and restricted by extensive government regulation, which could impede our business.</w:t>
      </w:r>
    </w:p>
    <w:p>
      <w:pPr>
        <w:spacing w:after="0" w:line="116" w:lineRule="exact"/>
        <w:rPr>
          <w:sz w:val="20"/>
          <w:szCs w:val="20"/>
          <w:color w:val="auto"/>
        </w:rPr>
      </w:pPr>
    </w:p>
    <w:p>
      <w:pPr>
        <w:ind w:right="160" w:firstLine="448"/>
        <w:spacing w:after="0" w:line="272"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69" w:lineRule="exact"/>
        <w:rPr>
          <w:sz w:val="20"/>
          <w:szCs w:val="20"/>
          <w:color w:val="auto"/>
        </w:rPr>
      </w:pPr>
    </w:p>
    <w:p>
      <w:pPr>
        <w:ind w:right="100" w:firstLine="445"/>
        <w:spacing w:after="0" w:line="295" w:lineRule="auto"/>
        <w:rPr>
          <w:sz w:val="20"/>
          <w:szCs w:val="20"/>
          <w:color w:val="auto"/>
        </w:rPr>
      </w:pPr>
      <w:r>
        <w:rPr>
          <w:rFonts w:ascii="Arial" w:cs="Arial" w:eastAsia="Arial" w:hAnsi="Arial"/>
          <w:sz w:val="16"/>
          <w:szCs w:val="16"/>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 – 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52" w:lineRule="exact"/>
        <w:rPr>
          <w:sz w:val="20"/>
          <w:szCs w:val="20"/>
          <w:color w:val="auto"/>
        </w:rPr>
      </w:pPr>
    </w:p>
    <w:p>
      <w:pPr>
        <w:ind w:right="20" w:firstLine="438"/>
        <w:spacing w:after="0" w:line="271" w:lineRule="auto"/>
        <w:rPr>
          <w:sz w:val="20"/>
          <w:szCs w:val="20"/>
          <w:color w:val="auto"/>
        </w:rPr>
      </w:pPr>
      <w:r>
        <w:rPr>
          <w:rFonts w:ascii="Arial" w:cs="Arial" w:eastAsia="Arial" w:hAnsi="Arial"/>
          <w:sz w:val="17"/>
          <w:szCs w:val="17"/>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68" w:lineRule="exact"/>
        <w:rPr>
          <w:sz w:val="20"/>
          <w:szCs w:val="20"/>
          <w:color w:val="auto"/>
        </w:rPr>
      </w:pPr>
    </w:p>
    <w:p>
      <w:pPr>
        <w:ind w:right="80" w:firstLine="445"/>
        <w:spacing w:after="0" w:line="258" w:lineRule="auto"/>
        <w:rPr>
          <w:sz w:val="20"/>
          <w:szCs w:val="20"/>
          <w:color w:val="auto"/>
        </w:rPr>
      </w:pPr>
      <w:r>
        <w:rPr>
          <w:rFonts w:ascii="Arial" w:cs="Arial" w:eastAsia="Arial" w:hAnsi="Arial"/>
          <w:sz w:val="18"/>
          <w:szCs w:val="18"/>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improve our financial control procedures.</w:t>
      </w:r>
    </w:p>
    <w:p>
      <w:pPr>
        <w:spacing w:after="0" w:line="116" w:lineRule="exact"/>
        <w:rPr>
          <w:sz w:val="20"/>
          <w:szCs w:val="20"/>
          <w:color w:val="auto"/>
        </w:rPr>
      </w:pPr>
    </w:p>
    <w:p>
      <w:pPr>
        <w:ind w:right="240" w:firstLine="448"/>
        <w:spacing w:after="0" w:line="275" w:lineRule="auto"/>
        <w:rPr>
          <w:sz w:val="20"/>
          <w:szCs w:val="20"/>
          <w:color w:val="auto"/>
        </w:rPr>
      </w:pPr>
      <w:r>
        <w:rPr>
          <w:rFonts w:ascii="Arial" w:cs="Arial" w:eastAsia="Arial" w:hAnsi="Arial"/>
          <w:sz w:val="18"/>
          <w:szCs w:val="18"/>
          <w:color w:val="auto"/>
        </w:rPr>
        <w:t>Management’s Annual Report on Internal Controls Over Financial Reporting found deficiencies in the operating effectiveness of our internal controls over financial reporting. Such deficiencies collectively constituted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significant deficiencies and a material weakness under standards established by the American Institute of Certified Public Accountants, resulting in more than a remote likelihood that a material misstatement of the annual or interim financial statements of the Company would not be prevented or detected. In the opinion of Grant Thornton LLP, our independent auditors, management’s assessment that we did not maintain effective internal control over financial reporting as of December 31, 2004, is fairly stated, in all material respects. It is also the opinion of Grant Thornton that because of the effect of the material weakness identified by management (i.e., instances where both the preparation and review of general journal entries were performed by the same individual) on the achievement of the objectives of the control criteria, we have not maintained effective internal control over financial reporting as of December 31, 2004, based on criteria established in Internal Control—Integrated Framework issued by the Committee of Sponsoring Organizations of the Treadway Commission. We have already taken remedial steps, and will continue our on-going evaluation of internal controls and attempts to improve our internal controls over financial reporting as necessary to assure their effectiveness, but there can be no assurance that we will succeed or that other deficiencies will not be identified.</w:t>
      </w:r>
    </w:p>
    <w:p>
      <w:pPr>
        <w:spacing w:after="0" w:line="8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Since health care insurers and other organizations may not pay for our products or may impose limits on reimbursements, our ability to become profitable could be reduced.</w:t>
      </w:r>
    </w:p>
    <w:p>
      <w:pPr>
        <w:spacing w:after="0" w:line="63" w:lineRule="exact"/>
        <w:rPr>
          <w:sz w:val="20"/>
          <w:szCs w:val="20"/>
          <w:color w:val="auto"/>
        </w:rPr>
      </w:pPr>
    </w:p>
    <w:p>
      <w:pPr>
        <w:ind w:right="120" w:firstLine="448"/>
        <w:spacing w:after="0" w:line="267" w:lineRule="auto"/>
        <w:rPr>
          <w:sz w:val="20"/>
          <w:szCs w:val="20"/>
          <w:color w:val="auto"/>
        </w:rPr>
      </w:pPr>
      <w:r>
        <w:rPr>
          <w:rFonts w:ascii="Arial" w:cs="Arial" w:eastAsia="Arial" w:hAnsi="Arial"/>
          <w:sz w:val="17"/>
          <w:szCs w:val="17"/>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has not granted marketing approval. Significant uncertainty exists as to the reimbursement status of newly approved health care products or novel therapies such as ours.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7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We have limited liquidity and capital resources and may not obtain the significant capital resources we will need to sustain our research and development efforts.</w:t>
      </w:r>
    </w:p>
    <w:p>
      <w:pPr>
        <w:spacing w:after="0" w:line="63"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8"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Our stock price has been, and will likely continue to be, highly volatile, which may negatively affect our ability to obtain additional financing in the future.</w:t>
      </w:r>
    </w:p>
    <w:p>
      <w:pPr>
        <w:spacing w:after="0" w:line="150" w:lineRule="exact"/>
        <w:rPr>
          <w:sz w:val="20"/>
          <w:szCs w:val="20"/>
          <w:color w:val="auto"/>
        </w:rPr>
      </w:pPr>
    </w:p>
    <w:p>
      <w:pPr>
        <w:ind w:right="300" w:firstLine="445"/>
        <w:spacing w:after="0" w:line="275" w:lineRule="auto"/>
        <w:rPr>
          <w:sz w:val="20"/>
          <w:szCs w:val="20"/>
          <w:color w:val="auto"/>
        </w:rPr>
      </w:pPr>
      <w:r>
        <w:rPr>
          <w:rFonts w:ascii="Arial" w:cs="Arial" w:eastAsia="Arial" w:hAnsi="Arial"/>
          <w:sz w:val="18"/>
          <w:szCs w:val="18"/>
          <w:color w:val="auto"/>
        </w:rPr>
        <w:t>The market price of our stock has been and is likely to continue to be highly volatile due to the risks and uncertainties described in this section of the prospectus, as well as other factors, including:</w:t>
      </w:r>
    </w:p>
    <w:p>
      <w:pPr>
        <w:spacing w:after="0" w:line="63" w:lineRule="exact"/>
        <w:rPr>
          <w:sz w:val="20"/>
          <w:szCs w:val="20"/>
          <w:color w:val="auto"/>
        </w:rPr>
      </w:pPr>
    </w:p>
    <w:p>
      <w:pPr>
        <w:ind w:left="440" w:hanging="217"/>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conditions and publicity regarding the industry in which we operate, as well as the specific areas our product candidates seek to address;</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comments by securities analysts, or our failure to meet market expectations.</w:t>
      </w:r>
    </w:p>
    <w:p>
      <w:pPr>
        <w:spacing w:after="0" w:line="116" w:lineRule="exact"/>
        <w:rPr>
          <w:sz w:val="20"/>
          <w:szCs w:val="20"/>
          <w:color w:val="auto"/>
        </w:rPr>
      </w:pPr>
    </w:p>
    <w:p>
      <w:pPr>
        <w:ind w:right="20" w:firstLine="448"/>
        <w:spacing w:after="0" w:line="258" w:lineRule="auto"/>
        <w:rPr>
          <w:sz w:val="20"/>
          <w:szCs w:val="20"/>
          <w:color w:val="auto"/>
        </w:rPr>
      </w:pPr>
      <w:r>
        <w:rPr>
          <w:rFonts w:ascii="Arial" w:cs="Arial" w:eastAsia="Arial" w:hAnsi="Arial"/>
          <w:sz w:val="18"/>
          <w:szCs w:val="18"/>
          <w:color w:val="auto"/>
        </w:rPr>
        <w:t>Over the two-year period ended August 31, 2005, our common stock was listed on the Nasdaq Capital Market previously known as the Nasdaq SmallCap Market. During such period, the closing price of our common stock as reported on the Nasdaq Capital Market ranged from a high of $12.37 to a low of $2.51. As a result of this volatility, your investment in our stock is subject to substantial risk. Furthermore, the volatility of our stock price could negatively impact our ability to raise capital in the future.</w:t>
      </w:r>
    </w:p>
    <w:p>
      <w:pPr>
        <w:spacing w:after="0" w:line="78"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As of September 30, 2005, our common stock is listed on the Nasdaq National Market. To keep our listing on this market, we must meet Nasdaq’s listing maintenance standards. If we are unable to continue to meet Nasdaq’s listing maintenance standards, our common stock could be delisted from the Nasdaq National Market. If our common stock were delisted, we likely would seek to list the common stock on the Nasdaq Capital Market, the American Stock Exchange or a regional stock exchange. Listing on such other market or exchange could reduce the liquidity for our common stock. If were we unable to list our common stock on such other market or exchange, trading of our common stock likely would be conducted in the over-the-counter market on an electronic bulletin board established for unlisted securities or directly through market makers in our common stock. If our common stock were to trade in the over-the-counter market, an investor would find it more difficult to dispose of, or to obtain accurate quotations for the price of,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your interest in us.</w:t>
      </w:r>
    </w:p>
    <w:p>
      <w:pPr>
        <w:spacing w:after="0" w:line="116" w:lineRule="exact"/>
        <w:rPr>
          <w:sz w:val="20"/>
          <w:szCs w:val="20"/>
          <w:color w:val="auto"/>
        </w:rPr>
      </w:pPr>
    </w:p>
    <w:p>
      <w:pPr>
        <w:ind w:right="160" w:firstLine="438"/>
        <w:spacing w:after="0" w:line="295" w:lineRule="auto"/>
        <w:rPr>
          <w:sz w:val="20"/>
          <w:szCs w:val="20"/>
          <w:color w:val="auto"/>
        </w:rPr>
      </w:pPr>
      <w:r>
        <w:rPr>
          <w:rFonts w:ascii="Arial" w:cs="Arial" w:eastAsia="Arial" w:hAnsi="Arial"/>
          <w:sz w:val="16"/>
          <w:szCs w:val="16"/>
          <w:color w:val="auto"/>
        </w:rPr>
        <w:t>As of August 31, 2005, there were outstanding and exercisable warrants to purchase 3,351,712 shares of our common stock, at a weighted average exercise price of $2.110 per share. As of August 31, 2005, there were also outstanding options to purchase 6,448,151 shares of our common stock, at a weighted average exercise price of $2.821 per share.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further diluting the interest of the purchasers of the securities being sold in this offering.</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 Such statements include, without limitation, all statements as to expectation or belief and statements as to our future results of operations, the progress of our research, product development and clinical programs, the need for,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the risks to which we are subject, including those listed above.</w:t>
      </w: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20" w:lineRule="exact"/>
        <w:rPr>
          <w:sz w:val="20"/>
          <w:szCs w:val="20"/>
          <w:color w:val="auto"/>
        </w:rPr>
      </w:pPr>
    </w:p>
    <w:p>
      <w:pPr>
        <w:ind w:firstLine="448"/>
        <w:spacing w:after="0" w:line="258" w:lineRule="auto"/>
        <w:rPr>
          <w:sz w:val="20"/>
          <w:szCs w:val="20"/>
          <w:color w:val="auto"/>
        </w:rPr>
      </w:pPr>
      <w:r>
        <w:rPr>
          <w:rFonts w:ascii="Arial" w:cs="Arial" w:eastAsia="Arial" w:hAnsi="Arial"/>
          <w:sz w:val="18"/>
          <w:szCs w:val="18"/>
          <w:color w:val="auto"/>
        </w:rPr>
        <w:t>Unless otherwise indicated in the applicable prospectus supplement, we anticipate that the net proceeds from the sale of the securities offered under this prospectus will be used for working capital and general corporate purposes, as well as in connection with selected acquisitions that may be considered in the future or for other strategic purposes. Pending the application of the net proceeds, we expect to invest the proceeds in investment-grade, interest-bearing instruments or other securities.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417"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0" w:lineRule="exact"/>
        <w:rPr>
          <w:sz w:val="20"/>
          <w:szCs w:val="20"/>
          <w:color w:val="auto"/>
        </w:rPr>
      </w:pPr>
    </w:p>
    <w:p>
      <w:pPr>
        <w:ind w:right="120" w:firstLine="448"/>
        <w:spacing w:after="0" w:line="306"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may sell the securities offered hereby to or through underwriters, through agents or dealers, directly to one or more purchasers, or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combination of such methods. A prospectus supplement or supplements will describe the terms of the offering of these securities, including:</w:t>
      </w:r>
    </w:p>
    <w:p>
      <w:pPr>
        <w:spacing w:after="0" w:line="39" w:lineRule="exact"/>
        <w:rPr>
          <w:sz w:val="20"/>
          <w:szCs w:val="20"/>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name or names of any underwriters, agents or dealers, if any;</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number of securities involved;</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purchase price of the securities and the proceeds we will receive from the sale;</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over-allotment options under which underwriters may purchase additional securities from us;</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agency fees or underwriting discounts and other items constituting underwriters’, agents’ or dealers’ compensation;</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public offering price;</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discounts or concessions allowed or reallowed or paid to dealers; and</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other information material to the transaction.</w:t>
      </w:r>
    </w:p>
    <w:p>
      <w:pPr>
        <w:spacing w:after="0" w:line="116" w:lineRule="exact"/>
        <w:rPr>
          <w:sz w:val="20"/>
          <w:szCs w:val="20"/>
          <w:color w:val="auto"/>
        </w:rPr>
      </w:pPr>
    </w:p>
    <w:p>
      <w:pPr>
        <w:ind w:right="80" w:firstLine="448"/>
        <w:spacing w:after="0" w:line="255" w:lineRule="auto"/>
        <w:rPr>
          <w:sz w:val="20"/>
          <w:szCs w:val="20"/>
          <w:color w:val="auto"/>
        </w:rPr>
      </w:pPr>
      <w:r>
        <w:rPr>
          <w:rFonts w:ascii="Arial" w:cs="Arial" w:eastAsia="Arial" w:hAnsi="Arial"/>
          <w:sz w:val="18"/>
          <w:szCs w:val="18"/>
          <w:b w:val="1"/>
          <w:bCs w:val="1"/>
          <w:i w:val="1"/>
          <w:iCs w:val="1"/>
          <w:color w:val="auto"/>
        </w:rPr>
        <w:t xml:space="preserve">Underwriters. </w:t>
      </w:r>
      <w:r>
        <w:rPr>
          <w:rFonts w:ascii="Arial" w:cs="Arial" w:eastAsia="Arial" w:hAnsi="Arial"/>
          <w:sz w:val="18"/>
          <w:szCs w:val="18"/>
          <w:color w:val="auto"/>
        </w:rPr>
        <w:t>If underwriters are used in the sale of the securities, we will execute an underwriting agreement relating to the securities that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The obligations of the underwriters to purchase the securities will be subject to the conditions set forth in the applicable underwriting agreement. Unless otherwise set forth in the applicable prospectus supplement, the underwriting agreement will provide that the obligations of the underwriters will be subject to certain conditions precedent and that the underwriters with respect to a sale of the securities will be obligated to purchase all the securities if any are purchased.</w:t>
      </w:r>
    </w:p>
    <w:p>
      <w:pPr>
        <w:spacing w:after="0" w:line="83" w:lineRule="exact"/>
        <w:rPr>
          <w:sz w:val="20"/>
          <w:szCs w:val="20"/>
          <w:color w:val="auto"/>
        </w:rPr>
      </w:pPr>
    </w:p>
    <w:p>
      <w:pPr>
        <w:ind w:firstLine="445"/>
        <w:spacing w:after="0" w:line="292" w:lineRule="auto"/>
        <w:rPr>
          <w:sz w:val="20"/>
          <w:szCs w:val="20"/>
          <w:color w:val="auto"/>
        </w:rPr>
      </w:pPr>
      <w:r>
        <w:rPr>
          <w:rFonts w:ascii="Arial" w:cs="Arial" w:eastAsia="Arial" w:hAnsi="Arial"/>
          <w:sz w:val="16"/>
          <w:szCs w:val="16"/>
          <w:color w:val="auto"/>
        </w:rPr>
        <w:t>The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in the form of underwriting discounts or commissions and may also receive commissions from the purchasers of these securities for whom they may act as agent. Underwriters may sell these securities to or through dealers. These dealers may receive compensation in the form of discounts, concessions or commissions from the underwriters or commissions from the purchasers for whom they may act as agent. Any initial public offering price and any discounts or concessions allowed or reallowed or paid to dealers may be changed from time to time.</w:t>
      </w:r>
    </w:p>
    <w:p>
      <w:pPr>
        <w:spacing w:after="0" w:line="55" w:lineRule="exact"/>
        <w:rPr>
          <w:sz w:val="20"/>
          <w:szCs w:val="20"/>
          <w:color w:val="auto"/>
        </w:rPr>
      </w:pPr>
    </w:p>
    <w:p>
      <w:pPr>
        <w:jc w:val="both"/>
        <w:ind w:right="200" w:firstLine="445"/>
        <w:spacing w:after="0" w:line="262" w:lineRule="auto"/>
        <w:rPr>
          <w:sz w:val="20"/>
          <w:szCs w:val="20"/>
          <w:color w:val="auto"/>
        </w:rPr>
      </w:pPr>
      <w:r>
        <w:rPr>
          <w:rFonts w:ascii="Arial" w:cs="Arial" w:eastAsia="Arial" w:hAnsi="Arial"/>
          <w:sz w:val="18"/>
          <w:szCs w:val="18"/>
          <w:color w:val="auto"/>
        </w:rPr>
        <w:t>We also may sell the securities in connection with a remarketing upon their purchase, in connection with a redemption or repayment, by a remarketing firm acting as principal for its own account or as our agent. Remarketing firms may be deemed to be underwriters in connection with the securities that they remarket.</w:t>
      </w:r>
    </w:p>
    <w:p>
      <w:pPr>
        <w:spacing w:after="0" w:line="75" w:lineRule="exact"/>
        <w:rPr>
          <w:sz w:val="20"/>
          <w:szCs w:val="20"/>
          <w:color w:val="auto"/>
        </w:rPr>
      </w:pPr>
    </w:p>
    <w:p>
      <w:pPr>
        <w:ind w:right="40" w:firstLine="448"/>
        <w:spacing w:after="0" w:line="255" w:lineRule="auto"/>
        <w:rPr>
          <w:sz w:val="20"/>
          <w:szCs w:val="20"/>
          <w:color w:val="auto"/>
        </w:rPr>
      </w:pPr>
      <w:r>
        <w:rPr>
          <w:rFonts w:ascii="Arial" w:cs="Arial" w:eastAsia="Arial" w:hAnsi="Arial"/>
          <w:sz w:val="18"/>
          <w:szCs w:val="18"/>
          <w:color w:val="auto"/>
        </w:rPr>
        <w:t>During and after an offering through underwriters, the underwriters may purchase and sell the securities in the open market. These transactions may include over-allotment and stabilizing transactions and purchases to convey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market price of the offered securities, which may be higher than the price that might otherwise prevail in the open market. If commenced, the underwriters may discontinue these activities at any time.</w:t>
      </w:r>
    </w:p>
    <w:p>
      <w:pPr>
        <w:spacing w:after="0" w:line="63" w:lineRule="exact"/>
        <w:rPr>
          <w:sz w:val="20"/>
          <w:szCs w:val="20"/>
          <w:color w:val="auto"/>
        </w:rPr>
      </w:pPr>
    </w:p>
    <w:p>
      <w:pPr>
        <w:jc w:val="both"/>
        <w:ind w:right="160" w:firstLine="448"/>
        <w:spacing w:after="0" w:line="285" w:lineRule="auto"/>
        <w:rPr>
          <w:sz w:val="20"/>
          <w:szCs w:val="20"/>
          <w:color w:val="auto"/>
        </w:rPr>
      </w:pPr>
      <w:r>
        <w:rPr>
          <w:rFonts w:ascii="Arial" w:cs="Arial" w:eastAsia="Arial" w:hAnsi="Arial"/>
          <w:sz w:val="17"/>
          <w:szCs w:val="17"/>
          <w:b w:val="1"/>
          <w:bCs w:val="1"/>
          <w:i w:val="1"/>
          <w:iCs w:val="1"/>
          <w:color w:val="auto"/>
        </w:rPr>
        <w:t xml:space="preserve">Agents. </w:t>
      </w:r>
      <w:r>
        <w:rPr>
          <w:rFonts w:ascii="Arial" w:cs="Arial" w:eastAsia="Arial" w:hAnsi="Arial"/>
          <w:sz w:val="17"/>
          <w:szCs w:val="17"/>
          <w:color w:val="auto"/>
        </w:rPr>
        <w:t>We may also sell any of the securities through agents designated by us from time to time. We will name any agent involved in the offer or 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these securities and will list commissions payable by us to these agents in the prospectus supplement. These agents will be acting on a best efforts basis to solicit purchases for the period of their appointment, unless we state otherwise in the applicable prospectus supplement.</w:t>
      </w:r>
    </w:p>
    <w:p>
      <w:pPr>
        <w:spacing w:after="0" w:line="56" w:lineRule="exact"/>
        <w:rPr>
          <w:sz w:val="20"/>
          <w:szCs w:val="20"/>
          <w:color w:val="auto"/>
        </w:rPr>
      </w:pPr>
    </w:p>
    <w:p>
      <w:pPr>
        <w:ind w:right="360" w:firstLine="448"/>
        <w:spacing w:after="0" w:line="275" w:lineRule="auto"/>
        <w:rPr>
          <w:sz w:val="20"/>
          <w:szCs w:val="20"/>
          <w:color w:val="auto"/>
        </w:rPr>
      </w:pPr>
      <w:r>
        <w:rPr>
          <w:rFonts w:ascii="Arial" w:cs="Arial" w:eastAsia="Arial" w:hAnsi="Arial"/>
          <w:sz w:val="18"/>
          <w:szCs w:val="18"/>
          <w:b w:val="1"/>
          <w:bCs w:val="1"/>
          <w:i w:val="1"/>
          <w:iCs w:val="1"/>
          <w:color w:val="auto"/>
        </w:rPr>
        <w:t xml:space="preserve">Direct Sales. </w:t>
      </w:r>
      <w:r>
        <w:rPr>
          <w:rFonts w:ascii="Arial" w:cs="Arial" w:eastAsia="Arial" w:hAnsi="Arial"/>
          <w:sz w:val="18"/>
          <w:szCs w:val="18"/>
          <w:color w:val="auto"/>
        </w:rPr>
        <w:t>We may sell any of the securities directly to purchasers. In this case, we will not engage underwriters or agents in the offer and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securities.</w:t>
      </w:r>
    </w:p>
    <w:p>
      <w:pPr>
        <w:spacing w:after="0" w:line="63" w:lineRule="exact"/>
        <w:rPr>
          <w:sz w:val="20"/>
          <w:szCs w:val="20"/>
          <w:color w:val="auto"/>
        </w:rPr>
      </w:pPr>
    </w:p>
    <w:p>
      <w:pPr>
        <w:ind w:right="340" w:firstLine="448"/>
        <w:spacing w:after="0" w:line="262" w:lineRule="auto"/>
        <w:rPr>
          <w:sz w:val="20"/>
          <w:szCs w:val="20"/>
          <w:color w:val="auto"/>
        </w:rPr>
      </w:pPr>
      <w:r>
        <w:rPr>
          <w:rFonts w:ascii="Arial" w:cs="Arial" w:eastAsia="Arial" w:hAnsi="Arial"/>
          <w:sz w:val="18"/>
          <w:szCs w:val="18"/>
          <w:b w:val="1"/>
          <w:bCs w:val="1"/>
          <w:i w:val="1"/>
          <w:iCs w:val="1"/>
          <w:color w:val="auto"/>
        </w:rPr>
        <w:t xml:space="preserve">Indemnification. </w:t>
      </w:r>
      <w:r>
        <w:rPr>
          <w:rFonts w:ascii="Arial" w:cs="Arial" w:eastAsia="Arial" w:hAnsi="Arial"/>
          <w:sz w:val="18"/>
          <w:szCs w:val="18"/>
          <w:color w:val="auto"/>
        </w:rPr>
        <w:t>We may indemnify underwriters, dealers or agents who participate in the distribution of the securities against certain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liabilities under the Securities Act of 1933, as amended, and agree to contribute to payments which these underwriters, dealers or agents may be required to make.</w:t>
      </w:r>
    </w:p>
    <w:p>
      <w:pPr>
        <w:spacing w:after="0" w:line="75" w:lineRule="exact"/>
        <w:rPr>
          <w:sz w:val="20"/>
          <w:szCs w:val="20"/>
          <w:color w:val="auto"/>
        </w:rPr>
      </w:pPr>
    </w:p>
    <w:p>
      <w:pPr>
        <w:ind w:right="160" w:firstLine="448"/>
        <w:spacing w:after="0" w:line="275" w:lineRule="auto"/>
        <w:rPr>
          <w:sz w:val="20"/>
          <w:szCs w:val="20"/>
          <w:color w:val="auto"/>
        </w:rPr>
      </w:pPr>
      <w:r>
        <w:rPr>
          <w:rFonts w:ascii="Arial" w:cs="Arial" w:eastAsia="Arial" w:hAnsi="Arial"/>
          <w:sz w:val="18"/>
          <w:szCs w:val="18"/>
          <w:b w:val="1"/>
          <w:bCs w:val="1"/>
          <w:i w:val="1"/>
          <w:iCs w:val="1"/>
          <w:color w:val="auto"/>
        </w:rPr>
        <w:t xml:space="preserve">Listing. </w:t>
      </w:r>
      <w:r>
        <w:rPr>
          <w:rFonts w:ascii="Arial" w:cs="Arial" w:eastAsia="Arial" w:hAnsi="Arial"/>
          <w:sz w:val="18"/>
          <w:szCs w:val="18"/>
          <w:color w:val="auto"/>
        </w:rPr>
        <w:t>Our common stock is currently listed on the Nasdaq National Market under the symbol “STEM”. No underwriters will be obligated to make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in our securities. We cannot predict the activity or liquidity of any trading in our securities.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over the Internet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You may also read and copy any document we file with the SEC at its public reference facility: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F Street, N.E.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1" w:lineRule="exact"/>
        <w:rPr>
          <w:sz w:val="20"/>
          <w:szCs w:val="20"/>
          <w:color w:val="auto"/>
        </w:rPr>
      </w:pPr>
    </w:p>
    <w:p>
      <w:pPr>
        <w:ind w:right="60" w:firstLine="441"/>
        <w:spacing w:after="0" w:line="306" w:lineRule="auto"/>
        <w:rPr>
          <w:sz w:val="20"/>
          <w:szCs w:val="20"/>
          <w:color w:val="auto"/>
        </w:rPr>
      </w:pPr>
      <w:r>
        <w:rPr>
          <w:rFonts w:ascii="Arial" w:cs="Arial" w:eastAsia="Arial" w:hAnsi="Arial"/>
          <w:sz w:val="17"/>
          <w:szCs w:val="17"/>
          <w:color w:val="auto"/>
        </w:rPr>
        <w:t>You may also obtain copies of the documents at prescribed rates by writing to the Public Reference Section of the SEC, 100 F Street, N.E., Washington, DC 20549. Please call 1-800-SEC-0330 for further information on the operations of the public reference facility and copying charges.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0" w:lineRule="exact"/>
        <w:rPr>
          <w:sz w:val="20"/>
          <w:szCs w:val="20"/>
          <w:color w:val="auto"/>
        </w:rPr>
      </w:pPr>
    </w:p>
    <w:p>
      <w:pPr>
        <w:ind w:right="120" w:firstLine="445"/>
        <w:spacing w:after="0" w:line="258"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the information that we file later with the SEC will automatically update and supersede this information. We incorporate by reference in this prospectus the following documents filed by us with the SEC:</w:t>
      </w:r>
    </w:p>
    <w:p>
      <w:pPr>
        <w:spacing w:after="0" w:line="78" w:lineRule="exact"/>
        <w:rPr>
          <w:sz w:val="20"/>
          <w:szCs w:val="20"/>
          <w:color w:val="auto"/>
        </w:rPr>
      </w:pPr>
    </w:p>
    <w:p>
      <w:pPr>
        <w:ind w:left="1120" w:right="340" w:hanging="440"/>
        <w:spacing w:after="0" w:line="275" w:lineRule="auto"/>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year ended December 31, 2004, including any amendment filed for the purpose of updating such Annual Report;</w:t>
      </w:r>
    </w:p>
    <w:p>
      <w:pPr>
        <w:spacing w:after="0" w:line="76" w:lineRule="exact"/>
        <w:rPr>
          <w:rFonts w:ascii="Arial" w:cs="Arial" w:eastAsia="Arial" w:hAnsi="Arial"/>
          <w:sz w:val="18"/>
          <w:szCs w:val="18"/>
          <w:b w:val="1"/>
          <w:bCs w:val="1"/>
          <w:color w:val="auto"/>
        </w:rPr>
      </w:pPr>
    </w:p>
    <w:p>
      <w:pPr>
        <w:ind w:left="1120" w:hanging="440"/>
        <w:spacing w:after="0" w:line="275" w:lineRule="auto"/>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Quarterly Reports on Form 10-Q for the quarters ended March 31, 2005 and June 30, 2005, including any amendment filed for the purpose of updating such Quarterly Reports;</w:t>
      </w:r>
    </w:p>
    <w:p>
      <w:pPr>
        <w:spacing w:after="0" w:line="76" w:lineRule="exact"/>
        <w:rPr>
          <w:rFonts w:ascii="Arial" w:cs="Arial" w:eastAsia="Arial" w:hAnsi="Arial"/>
          <w:sz w:val="18"/>
          <w:szCs w:val="18"/>
          <w:b w:val="1"/>
          <w:bCs w:val="1"/>
          <w:color w:val="auto"/>
        </w:rPr>
      </w:pPr>
    </w:p>
    <w:p>
      <w:pPr>
        <w:ind w:left="1120" w:hanging="440"/>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Proxy Statement for Annual Meeting of Stockholders on Schedule 14A filed with the SEC on March 23, 2005;</w:t>
      </w:r>
    </w:p>
    <w:p>
      <w:pPr>
        <w:spacing w:after="0" w:line="129" w:lineRule="exact"/>
        <w:rPr>
          <w:rFonts w:ascii="Arial" w:cs="Arial" w:eastAsia="Arial" w:hAnsi="Arial"/>
          <w:sz w:val="18"/>
          <w:szCs w:val="18"/>
          <w:b w:val="1"/>
          <w:bCs w:val="1"/>
          <w:color w:val="auto"/>
        </w:rPr>
      </w:pPr>
    </w:p>
    <w:p>
      <w:pPr>
        <w:ind w:left="1120" w:right="160" w:hanging="440"/>
        <w:spacing w:after="0" w:line="275" w:lineRule="auto"/>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contained in our registration statements on Form 8-A (File No. 1-19871) filed under the Exchange Act, including any amendment or report filed for the purpose of updating such description; and</w:t>
      </w:r>
    </w:p>
    <w:p>
      <w:pPr>
        <w:spacing w:after="0" w:line="76" w:lineRule="exact"/>
        <w:rPr>
          <w:rFonts w:ascii="Arial" w:cs="Arial" w:eastAsia="Arial" w:hAnsi="Arial"/>
          <w:sz w:val="18"/>
          <w:szCs w:val="18"/>
          <w:b w:val="1"/>
          <w:bCs w:val="1"/>
          <w:color w:val="auto"/>
        </w:rPr>
      </w:pPr>
    </w:p>
    <w:p>
      <w:pPr>
        <w:ind w:left="1120" w:right="300" w:hanging="440"/>
        <w:spacing w:after="0" w:line="306" w:lineRule="auto"/>
        <w:tabs>
          <w:tab w:leader="none" w:pos="112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Our Current Reports on Form 8-K filed with the SEC on September 30, 2005, September 27, 2005, September 8, 2005, September 1, 2005, August 3, 2005, July 6, 2005, April 27, 2005, March 15, 2005, March 4, 2005, February 1, 2005 and January 11, 2005.</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8"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140" w:firstLine="438"/>
        <w:spacing w:after="0" w:line="272" w:lineRule="auto"/>
        <w:rPr>
          <w:sz w:val="20"/>
          <w:szCs w:val="20"/>
          <w:color w:val="auto"/>
        </w:rPr>
      </w:pPr>
      <w:r>
        <w:rPr>
          <w:rFonts w:ascii="Arial" w:cs="Arial" w:eastAsia="Arial" w:hAnsi="Arial"/>
          <w:sz w:val="17"/>
          <w:szCs w:val="17"/>
          <w:color w:val="auto"/>
        </w:rPr>
        <w:t>Any statement made in a document incorporated by reference or deemed incorporated herein by reference is deemed to be modified or superseded for purposes of this prospectus if a statement contained in this prospectus or in any other subsequently filed document which is also incorporated or deemed incorporated by reference herein modifies or supersedes that statement. Any such statement so modified or superseded shall not be deemed, except as so modified or superseded, to constitute a part of this prospectus. We also incorporate by reference all documents filed pursuant to Sections 13(a), 13(c), 14 or 15(d) of the Exchange Act after the date of this prospectus and prior to the termination of this offering; provided, however, that we are not incorporating any information furnished under any of Item 2.02 or Item 7.01 of any current report on Form 8-K.</w:t>
      </w:r>
    </w:p>
    <w:p>
      <w:pPr>
        <w:spacing w:after="0" w:line="69" w:lineRule="exact"/>
        <w:rPr>
          <w:sz w:val="20"/>
          <w:szCs w:val="20"/>
          <w:color w:val="auto"/>
        </w:rPr>
      </w:pPr>
    </w:p>
    <w:p>
      <w:pPr>
        <w:ind w:firstLine="448"/>
        <w:spacing w:after="0" w:line="310" w:lineRule="auto"/>
        <w:rPr>
          <w:sz w:val="20"/>
          <w:szCs w:val="20"/>
          <w:color w:val="auto"/>
        </w:rPr>
      </w:pPr>
      <w:r>
        <w:rPr>
          <w:rFonts w:ascii="Arial" w:cs="Arial" w:eastAsia="Arial" w:hAnsi="Arial"/>
          <w:sz w:val="16"/>
          <w:szCs w:val="16"/>
          <w:color w:val="auto"/>
        </w:rPr>
        <w:t>Statements made in this prospectus or in any document incorporated by reference in this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3155 Porter Drive</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Palo Alto, Ca 94304</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Phone: (650) 475-3100</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irpr@stemcellsinc.com</w:t>
      </w:r>
    </w:p>
    <w:p>
      <w:pPr>
        <w:spacing w:after="0" w:line="101" w:lineRule="exact"/>
        <w:rPr>
          <w:sz w:val="20"/>
          <w:szCs w:val="20"/>
          <w:color w:val="auto"/>
        </w:rPr>
      </w:pPr>
    </w:p>
    <w:p>
      <w:pPr>
        <w:ind w:right="80" w:firstLine="448"/>
        <w:spacing w:after="0" w:line="275"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OPINION</w:t>
      </w:r>
    </w:p>
    <w:p>
      <w:pPr>
        <w:spacing w:after="0" w:line="12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For the purpose of this offering, Ropes &amp; Gray LLP, Boston, Massachusetts, is giving its opinion on the validity of the securities offered hereby.</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20"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10-K for each of the two years ended December 31, 2003 and 2004 have been audited by Grant Thornton LLP, independent registered public accounting firm, as stated in their reports, each of which is incorporated herein by reference and has been so incorporated in reliance upon such reports given upon their authority as experts in accounting and auditing.</w:t>
      </w:r>
    </w:p>
    <w:p>
      <w:pPr>
        <w:spacing w:after="0" w:line="78" w:lineRule="exact"/>
        <w:rPr>
          <w:sz w:val="20"/>
          <w:szCs w:val="20"/>
          <w:color w:val="auto"/>
        </w:rPr>
      </w:pPr>
    </w:p>
    <w:p>
      <w:pPr>
        <w:ind w:right="20" w:firstLine="445"/>
        <w:spacing w:after="0" w:line="258" w:lineRule="auto"/>
        <w:rPr>
          <w:sz w:val="20"/>
          <w:szCs w:val="20"/>
          <w:color w:val="auto"/>
        </w:rPr>
      </w:pPr>
      <w:r>
        <w:rPr>
          <w:rFonts w:ascii="Arial" w:cs="Arial" w:eastAsia="Arial" w:hAnsi="Arial"/>
          <w:sz w:val="18"/>
          <w:szCs w:val="18"/>
          <w:color w:val="auto"/>
        </w:rPr>
        <w:t>The financial statements of StemCells, Inc. for the year ended December 31, 2002 appearing in the Company’s Annual Report on Form 10-K for the year ended December 31, 2004, have been audited by Ernst &amp; Young LLP, independent registered public accounting firm, as set forth in their report thereon, included therein, and incorporated herein by reference. Such financial statements are incorporated herein by reference in reliance upon such report given upon the authority of such firm as experts in accounting and auditing.</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418"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92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558"/>
        </w:trPr>
        <w:tc>
          <w:tcPr>
            <w:tcW w:w="13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180" w:type="dxa"/>
            <w:vAlign w:val="bottom"/>
          </w:tcPr>
          <w:p>
            <w:pPr>
              <w:jc w:val="center"/>
              <w:ind w:left="30"/>
              <w:spacing w:after="0"/>
              <w:rPr>
                <w:sz w:val="20"/>
                <w:szCs w:val="20"/>
                <w:color w:val="auto"/>
              </w:rPr>
            </w:pPr>
            <w:r>
              <w:rPr>
                <w:rFonts w:ascii="Arial" w:cs="Arial" w:eastAsia="Arial" w:hAnsi="Arial"/>
                <w:sz w:val="18"/>
                <w:szCs w:val="18"/>
                <w:b w:val="1"/>
                <w:bCs w:val="1"/>
                <w:color w:val="auto"/>
              </w:rPr>
              <w:t>PART II</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3"/>
        </w:trPr>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80" w:type="dxa"/>
            <w:vAlign w:val="bottom"/>
          </w:tcPr>
          <w:p>
            <w:pPr>
              <w:jc w:val="center"/>
              <w:ind w:left="50"/>
              <w:spacing w:after="0"/>
              <w:rPr>
                <w:sz w:val="20"/>
                <w:szCs w:val="20"/>
                <w:color w:val="auto"/>
              </w:rPr>
            </w:pPr>
            <w:r>
              <w:rPr>
                <w:rFonts w:ascii="Arial" w:cs="Arial" w:eastAsia="Arial" w:hAnsi="Arial"/>
                <w:sz w:val="18"/>
                <w:szCs w:val="18"/>
                <w:b w:val="1"/>
                <w:bCs w:val="1"/>
                <w:color w:val="auto"/>
              </w:rPr>
              <w:t>INFORMATION NOT REQUIRED IN PROSPECTUS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0"/>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ITEM 14. OTHER EXPENSES OF DISTRIBUTION</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5"/>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11,770</w:t>
            </w:r>
          </w:p>
        </w:tc>
      </w:tr>
      <w:tr>
        <w:trPr>
          <w:trHeight w:val="215"/>
        </w:trPr>
        <w:tc>
          <w:tcPr>
            <w:tcW w:w="9240" w:type="dxa"/>
            <w:vAlign w:val="bottom"/>
            <w:gridSpan w:val="3"/>
          </w:tcPr>
          <w:p>
            <w:pPr>
              <w:spacing w:after="0"/>
              <w:rPr>
                <w:sz w:val="20"/>
                <w:szCs w:val="20"/>
                <w:color w:val="auto"/>
              </w:rPr>
            </w:pPr>
            <w:r>
              <w:rPr>
                <w:rFonts w:ascii="Arial" w:cs="Arial" w:eastAsia="Arial" w:hAnsi="Arial"/>
                <w:sz w:val="18"/>
                <w:szCs w:val="18"/>
                <w:color w:val="auto"/>
              </w:rPr>
              <w:t>Blue sky fees and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15"/>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15"/>
        </w:trPr>
        <w:tc>
          <w:tcPr>
            <w:tcW w:w="9240" w:type="dxa"/>
            <w:vAlign w:val="bottom"/>
            <w:gridSpan w:val="3"/>
          </w:tcPr>
          <w:p>
            <w:pPr>
              <w:spacing w:after="0"/>
              <w:rPr>
                <w:sz w:val="20"/>
                <w:szCs w:val="20"/>
                <w:color w:val="auto"/>
              </w:rPr>
            </w:pPr>
            <w:r>
              <w:rPr>
                <w:rFonts w:ascii="Arial" w:cs="Arial" w:eastAsia="Arial" w:hAnsi="Arial"/>
                <w:sz w:val="18"/>
                <w:szCs w:val="18"/>
                <w:color w:val="auto"/>
              </w:rPr>
              <w:t>Printing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5"/>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30"/>
        </w:trPr>
        <w:tc>
          <w:tcPr>
            <w:tcW w:w="924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01"/>
        </w:trPr>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5"/>
        </w:trPr>
        <w:tc>
          <w:tcPr>
            <w:tcW w:w="9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102,770</w:t>
            </w:r>
          </w:p>
        </w:tc>
      </w:tr>
      <w:tr>
        <w:trPr>
          <w:trHeight w:val="296"/>
        </w:trPr>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6"/>
        </w:trPr>
        <w:tc>
          <w:tcPr>
            <w:tcW w:w="9240" w:type="dxa"/>
            <w:vAlign w:val="bottom"/>
            <w:gridSpan w:val="3"/>
          </w:tcPr>
          <w:p>
            <w:pPr>
              <w:spacing w:after="0"/>
              <w:rPr>
                <w:sz w:val="20"/>
                <w:szCs w:val="20"/>
                <w:color w:val="auto"/>
              </w:rPr>
            </w:pPr>
            <w:r>
              <w:rPr>
                <w:rFonts w:ascii="Arial" w:cs="Arial" w:eastAsia="Arial" w:hAnsi="Arial"/>
                <w:sz w:val="18"/>
                <w:szCs w:val="18"/>
                <w:color w:val="auto"/>
                <w:w w:val="87"/>
              </w:rPr>
              <w:t>*Estimated</w:t>
            </w:r>
          </w:p>
        </w:tc>
        <w:tc>
          <w:tcPr>
            <w:tcW w:w="14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430"/>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ITEM 15. INDEMNIFICATION OF DIRECTORS AND OFFICERS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93" w:lineRule="exact"/>
        <w:rPr>
          <w:sz w:val="20"/>
          <w:szCs w:val="20"/>
          <w:color w:val="auto"/>
        </w:rPr>
      </w:pPr>
    </w:p>
    <w:p>
      <w:pPr>
        <w:ind w:right="40" w:firstLine="448"/>
        <w:spacing w:after="0" w:line="285"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0" w:lineRule="exact"/>
        <w:rPr>
          <w:sz w:val="20"/>
          <w:szCs w:val="20"/>
          <w:color w:val="auto"/>
        </w:rPr>
      </w:pPr>
    </w:p>
    <w:p>
      <w:pPr>
        <w:ind w:right="20" w:firstLine="448"/>
        <w:spacing w:after="0" w:line="295" w:lineRule="auto"/>
        <w:rPr>
          <w:sz w:val="20"/>
          <w:szCs w:val="20"/>
          <w:color w:val="auto"/>
        </w:rPr>
      </w:pPr>
      <w:r>
        <w:rPr>
          <w:rFonts w:ascii="Arial" w:cs="Arial" w:eastAsia="Arial" w:hAnsi="Arial"/>
          <w:sz w:val="16"/>
          <w:szCs w:val="16"/>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(relating to unlawful payment of dividends and unlawful stock purchase and redemption) or (iv) for any transaction from which the director derived an improper personal benefit.</w:t>
      </w:r>
    </w:p>
    <w:p>
      <w:pPr>
        <w:spacing w:after="0" w:line="52"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The Registrant’s Certificate provides that the Company’s Directors shall not be liable to the Registrant or its stockholders for monetary damages for breach of fiduciary duty as a director except to the extent that exculpation from liabilities is not permitted under the DGCL as in effect at the time such liability is determined. The Registrant’s Certificate further provides that the Registrant shall indemnify its directors and officers to the fullest extent permitted by the DGCL.</w:t>
      </w:r>
    </w:p>
    <w:p>
      <w:pPr>
        <w:spacing w:after="0" w:line="78" w:lineRule="exact"/>
        <w:rPr>
          <w:sz w:val="20"/>
          <w:szCs w:val="20"/>
          <w:color w:val="auto"/>
        </w:rPr>
      </w:pPr>
    </w:p>
    <w:p>
      <w:pPr>
        <w:ind w:right="200" w:firstLine="445"/>
        <w:spacing w:after="0" w:line="275" w:lineRule="auto"/>
        <w:rPr>
          <w:sz w:val="20"/>
          <w:szCs w:val="20"/>
          <w:color w:val="auto"/>
        </w:rPr>
      </w:pPr>
      <w:r>
        <w:rPr>
          <w:rFonts w:ascii="Arial" w:cs="Arial" w:eastAsia="Arial" w:hAnsi="Arial"/>
          <w:sz w:val="18"/>
          <w:szCs w:val="18"/>
          <w:color w:val="auto"/>
        </w:rPr>
        <w:t>The Company has a liability insurance policy in effect which covers certain claims against any officer or director of the Company by reason of certain breaches of duty, neglect, errors or omissions committed by such person in his or her capacity as an officer or director.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Ropes &amp; Gray LLP (1)</w:t>
      </w:r>
    </w:p>
    <w:p>
      <w:pPr>
        <w:spacing w:after="0" w:line="1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registered public accounting firm (1)</w:t>
      </w:r>
    </w:p>
    <w:p>
      <w:pPr>
        <w:spacing w:after="0" w:line="1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Grant Thornton LLP, independent registered public accounting firm (1)</w:t>
      </w:r>
    </w:p>
    <w:p>
      <w:pPr>
        <w:spacing w:after="0" w:line="1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Ropes &amp; Gray LLP (To be included in the opinion filed as Exhibit 5.1)</w:t>
      </w:r>
    </w:p>
    <w:p>
      <w:pPr>
        <w:spacing w:after="0" w:line="1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306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 Filed herewith.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0" w:lineRule="exact"/>
        <w:rPr>
          <w:sz w:val="20"/>
          <w:szCs w:val="20"/>
          <w:color w:val="auto"/>
        </w:rPr>
      </w:pPr>
    </w:p>
    <w:p>
      <w:pPr>
        <w:ind w:right="20" w:firstLine="224"/>
        <w:spacing w:after="0" w:line="253" w:lineRule="auto"/>
        <w:rPr>
          <w:sz w:val="20"/>
          <w:szCs w:val="20"/>
          <w:color w:val="auto"/>
        </w:rPr>
      </w:pPr>
      <w:r>
        <w:rPr>
          <w:rFonts w:ascii="Arial" w:cs="Arial" w:eastAsia="Arial" w:hAnsi="Arial"/>
          <w:sz w:val="18"/>
          <w:szCs w:val="18"/>
          <w:color w:val="auto"/>
        </w:rPr>
        <w:t>a. Insofar as indemnification for liabilities arising under the Securities Act of 1933 may be permitted to directors, officers and controlling persons of the registrant pursuant to the provisions set forth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sz w:val="20"/>
          <w:szCs w:val="20"/>
          <w:color w:val="auto"/>
        </w:rPr>
      </w:pPr>
    </w:p>
    <w:p>
      <w:pPr>
        <w:ind w:firstLine="224"/>
        <w:spacing w:after="0" w:line="255"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The undersigned registrant hereby undertakes:</w:t>
      </w:r>
    </w:p>
    <w:p>
      <w:pPr>
        <w:spacing w:after="0" w:line="116" w:lineRule="exact"/>
        <w:rPr>
          <w:sz w:val="20"/>
          <w:szCs w:val="20"/>
          <w:color w:val="auto"/>
        </w:rPr>
      </w:pPr>
    </w:p>
    <w:p>
      <w:pPr>
        <w:ind w:left="700" w:hanging="245"/>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5" w:lineRule="exact"/>
        <w:rPr>
          <w:rFonts w:ascii="Arial" w:cs="Arial" w:eastAsia="Arial" w:hAnsi="Arial"/>
          <w:sz w:val="18"/>
          <w:szCs w:val="18"/>
          <w:color w:val="auto"/>
        </w:rPr>
      </w:pPr>
    </w:p>
    <w:p>
      <w:pPr>
        <w:ind w:left="1300" w:hanging="16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5" w:lineRule="exact"/>
        <w:rPr>
          <w:rFonts w:ascii="Arial" w:cs="Arial" w:eastAsia="Arial" w:hAnsi="Arial"/>
          <w:sz w:val="18"/>
          <w:szCs w:val="18"/>
          <w:color w:val="auto"/>
        </w:rPr>
      </w:pPr>
    </w:p>
    <w:p>
      <w:pPr>
        <w:ind w:left="700" w:right="20" w:firstLine="440"/>
        <w:spacing w:after="0" w:line="284" w:lineRule="auto"/>
        <w:tabs>
          <w:tab w:leader="none" w:pos="1327" w:val="left"/>
        </w:tabs>
        <w:numPr>
          <w:ilvl w:val="1"/>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w:t>
      </w:r>
    </w:p>
    <w:p>
      <w:pPr>
        <w:spacing w:after="0" w:line="1" w:lineRule="exact"/>
        <w:rPr>
          <w:rFonts w:ascii="Arial" w:cs="Arial" w:eastAsia="Arial" w:hAnsi="Arial"/>
          <w:sz w:val="16"/>
          <w:szCs w:val="16"/>
          <w:color w:val="auto"/>
        </w:rPr>
      </w:pPr>
    </w:p>
    <w:p>
      <w:pPr>
        <w:ind w:left="700" w:right="520"/>
        <w:spacing w:after="0" w:line="258" w:lineRule="auto"/>
        <w:rPr>
          <w:rFonts w:ascii="Arial" w:cs="Arial" w:eastAsia="Arial" w:hAnsi="Arial"/>
          <w:sz w:val="16"/>
          <w:szCs w:val="16"/>
          <w:color w:val="auto"/>
        </w:rPr>
      </w:pPr>
      <w:r>
        <w:rPr>
          <w:rFonts w:ascii="Arial" w:cs="Arial" w:eastAsia="Arial" w:hAnsi="Arial"/>
          <w:sz w:val="18"/>
          <w:szCs w:val="18"/>
          <w:color w:val="auto"/>
        </w:rPr>
        <w:t>20 percent change in the maximum aggregate offering price set forth in the “Calculation of Registration Fee” table in the effective registration statement;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700" w:right="400" w:firstLine="448"/>
        <w:spacing w:after="0" w:line="275" w:lineRule="auto"/>
        <w:rPr>
          <w:sz w:val="20"/>
          <w:szCs w:val="20"/>
          <w:color w:val="auto"/>
        </w:rPr>
      </w:pPr>
      <w:r>
        <w:rPr>
          <w:rFonts w:ascii="Arial" w:cs="Arial" w:eastAsia="Arial" w:hAnsi="Arial"/>
          <w:sz w:val="18"/>
          <w:szCs w:val="18"/>
          <w:color w:val="auto"/>
        </w:rPr>
        <w:t>c. To include any material information with respect to the plan of distribution not previously disclosed in the registration statement or any material change to such information in the registration statement;</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PROVIDED, HOWEVER, that paragraphs (c)(1)(a) and (c)(1)(b) do not apply if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75" w:lineRule="exact"/>
        <w:rPr>
          <w:sz w:val="20"/>
          <w:szCs w:val="20"/>
          <w:color w:val="auto"/>
        </w:rPr>
      </w:pPr>
    </w:p>
    <w:p>
      <w:pPr>
        <w:ind w:right="60" w:firstLine="455"/>
        <w:spacing w:after="0" w:line="262"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4" w:lineRule="exact"/>
        <w:rPr>
          <w:rFonts w:ascii="Arial" w:cs="Arial" w:eastAsia="Arial" w:hAnsi="Arial"/>
          <w:sz w:val="18"/>
          <w:szCs w:val="18"/>
          <w:color w:val="auto"/>
        </w:rPr>
      </w:pPr>
    </w:p>
    <w:p>
      <w:pPr>
        <w:ind w:firstLine="455"/>
        <w:spacing w:after="0" w:line="275"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firstLine="448"/>
        <w:spacing w:after="0" w:line="262"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Palo Alto, State of California, on the 30 day of September, 2005.</w:t>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TEM</w:t>
      </w:r>
      <w:r>
        <w:rPr>
          <w:rFonts w:ascii="Arial" w:cs="Arial" w:eastAsia="Arial" w:hAnsi="Arial"/>
          <w:sz w:val="18"/>
          <w:szCs w:val="18"/>
          <w:b w:val="1"/>
          <w:bCs w:val="1"/>
          <w:color w:val="auto"/>
        </w:rPr>
        <w:t>C</w:t>
      </w:r>
      <w:r>
        <w:rPr>
          <w:rFonts w:ascii="Arial" w:cs="Arial" w:eastAsia="Arial" w:hAnsi="Arial"/>
          <w:sz w:val="12"/>
          <w:szCs w:val="12"/>
          <w:b w:val="1"/>
          <w:bCs w:val="1"/>
          <w:color w:val="auto"/>
        </w:rPr>
        <w:t>ELLS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7" w:lineRule="exact"/>
        <w:rPr>
          <w:sz w:val="20"/>
          <w:szCs w:val="20"/>
          <w:color w:val="auto"/>
        </w:rPr>
      </w:pPr>
    </w:p>
    <w:p>
      <w:pPr>
        <w:ind w:left="504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13970</wp:posOffset>
            </wp:positionV>
            <wp:extent cx="2151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Martin M. McGlynn</w:t>
      </w:r>
    </w:p>
    <w:p>
      <w:pPr>
        <w:spacing w:after="0" w:line="22"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President and Chief Executive</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pacing w:after="0" w:line="1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80"/>
          </w:cols>
          <w:pgMar w:left="240" w:top="417"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20" w:lineRule="exact"/>
        <w:rPr>
          <w:sz w:val="20"/>
          <w:szCs w:val="20"/>
          <w:color w:val="auto"/>
        </w:rPr>
      </w:pPr>
    </w:p>
    <w:p>
      <w:pPr>
        <w:ind w:firstLine="448"/>
        <w:spacing w:after="0" w:line="292" w:lineRule="auto"/>
        <w:rPr>
          <w:sz w:val="20"/>
          <w:szCs w:val="20"/>
          <w:color w:val="auto"/>
        </w:rPr>
      </w:pPr>
      <w:r>
        <w:rPr>
          <w:rFonts w:ascii="Arial" w:cs="Arial" w:eastAsia="Arial" w:hAnsi="Arial"/>
          <w:sz w:val="16"/>
          <w:szCs w:val="16"/>
          <w:color w:val="auto"/>
        </w:rPr>
        <w:t>Each person whose signature appears below constitutes and appoints Martin M. McGlynn and Rodney K.B. Young,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S-3 to be filed by StemCells,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pacing w:after="0" w:line="116" w:lineRule="exact"/>
        <w:rPr>
          <w:sz w:val="20"/>
          <w:szCs w:val="20"/>
          <w:color w:val="auto"/>
        </w:rPr>
      </w:pPr>
    </w:p>
    <w:p>
      <w:pPr>
        <w:ind w:right="400" w:firstLine="448"/>
        <w:spacing w:after="0" w:line="27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420"/>
          </w:cols>
          <w:pgMar w:left="240" w:top="417"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9533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Martin M. McGlynn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ARTIN</w:t>
      </w:r>
      <w:r>
        <w:rPr>
          <w:rFonts w:ascii="Arial" w:cs="Arial" w:eastAsia="Arial" w:hAnsi="Arial"/>
          <w:sz w:val="18"/>
          <w:szCs w:val="18"/>
          <w:color w:val="auto"/>
        </w:rPr>
        <w:t xml:space="preserve"> M. M</w:t>
      </w:r>
      <w:r>
        <w:rPr>
          <w:rFonts w:ascii="Arial" w:cs="Arial" w:eastAsia="Arial" w:hAnsi="Arial"/>
          <w:sz w:val="12"/>
          <w:szCs w:val="12"/>
          <w:color w:val="auto"/>
        </w:rPr>
        <w:t>C</w:t>
      </w:r>
      <w:r>
        <w:rPr>
          <w:rFonts w:ascii="Arial" w:cs="Arial" w:eastAsia="Arial" w:hAnsi="Arial"/>
          <w:sz w:val="18"/>
          <w:szCs w:val="18"/>
          <w:color w:val="auto"/>
        </w:rPr>
        <w:t>G</w:t>
      </w:r>
      <w:r>
        <w:rPr>
          <w:rFonts w:ascii="Arial" w:cs="Arial" w:eastAsia="Arial" w:hAnsi="Arial"/>
          <w:sz w:val="12"/>
          <w:szCs w:val="12"/>
          <w:color w:val="auto"/>
        </w:rPr>
        <w:t>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Rodney K.B. Young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ODNEY</w:t>
      </w:r>
      <w:r>
        <w:rPr>
          <w:rFonts w:ascii="Arial" w:cs="Arial" w:eastAsia="Arial" w:hAnsi="Arial"/>
          <w:sz w:val="18"/>
          <w:szCs w:val="18"/>
          <w:color w:val="auto"/>
        </w:rPr>
        <w:t xml:space="preserve"> K.B. Y</w:t>
      </w:r>
      <w:r>
        <w:rPr>
          <w:rFonts w:ascii="Arial" w:cs="Arial" w:eastAsia="Arial" w:hAnsi="Arial"/>
          <w:sz w:val="12"/>
          <w:szCs w:val="12"/>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George Koshy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EORGE</w:t>
      </w:r>
      <w:r>
        <w:rPr>
          <w:rFonts w:ascii="Arial" w:cs="Arial" w:eastAsia="Arial" w:hAnsi="Arial"/>
          <w:sz w:val="18"/>
          <w:szCs w:val="18"/>
          <w:color w:val="auto"/>
        </w:rPr>
        <w:t xml:space="preserve"> K</w:t>
      </w:r>
      <w:r>
        <w:rPr>
          <w:rFonts w:ascii="Arial" w:cs="Arial" w:eastAsia="Arial" w:hAnsi="Arial"/>
          <w:sz w:val="12"/>
          <w:szCs w:val="12"/>
          <w:color w:val="auto"/>
        </w:rPr>
        <w:t>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John J. Schwartz, Ph.D.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OHN</w:t>
      </w:r>
      <w:r>
        <w:rPr>
          <w:rFonts w:ascii="Arial" w:cs="Arial" w:eastAsia="Arial" w:hAnsi="Arial"/>
          <w:sz w:val="18"/>
          <w:szCs w:val="18"/>
          <w:color w:val="auto"/>
        </w:rPr>
        <w:t xml:space="preserve"> J. S</w:t>
      </w:r>
      <w:r>
        <w:rPr>
          <w:rFonts w:ascii="Arial" w:cs="Arial" w:eastAsia="Arial" w:hAnsi="Arial"/>
          <w:sz w:val="12"/>
          <w:szCs w:val="12"/>
          <w:color w:val="auto"/>
        </w:rPr>
        <w:t>CHWARTZ</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Eric H. Bjerkholt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RIC</w:t>
      </w:r>
      <w:r>
        <w:rPr>
          <w:rFonts w:ascii="Arial" w:cs="Arial" w:eastAsia="Arial" w:hAnsi="Arial"/>
          <w:sz w:val="18"/>
          <w:szCs w:val="18"/>
          <w:color w:val="auto"/>
        </w:rPr>
        <w:t xml:space="preserve"> H. B</w:t>
      </w:r>
      <w:r>
        <w:rPr>
          <w:rFonts w:ascii="Arial" w:cs="Arial" w:eastAsia="Arial" w:hAnsi="Arial"/>
          <w:sz w:val="12"/>
          <w:szCs w:val="12"/>
          <w:color w:val="auto"/>
        </w:rPr>
        <w:t>JERKHOLT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Ricardo B. Levy, Ph.D.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ICARDO B</w:t>
      </w:r>
      <w:r>
        <w:rPr>
          <w:rFonts w:ascii="Arial" w:cs="Arial" w:eastAsia="Arial" w:hAnsi="Arial"/>
          <w:sz w:val="18"/>
          <w:szCs w:val="18"/>
          <w:color w:val="auto"/>
        </w:rPr>
        <w:t>. L</w:t>
      </w:r>
      <w:r>
        <w:rPr>
          <w:rFonts w:ascii="Arial" w:cs="Arial" w:eastAsia="Arial" w:hAnsi="Arial"/>
          <w:sz w:val="12"/>
          <w:szCs w:val="12"/>
          <w:color w:val="auto"/>
        </w:rPr>
        <w:t>EVY</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 Roger M. Perlmutter, M.D., P</w:t>
      </w:r>
      <w:r>
        <w:rPr>
          <w:rFonts w:ascii="Arial" w:cs="Arial" w:eastAsia="Arial" w:hAnsi="Arial"/>
          <w:sz w:val="11"/>
          <w:szCs w:val="11"/>
          <w:color w:val="auto"/>
        </w:rPr>
        <w:t>H</w:t>
      </w:r>
      <w:r>
        <w:rPr>
          <w:rFonts w:ascii="Arial" w:cs="Arial" w:eastAsia="Arial" w:hAnsi="Arial"/>
          <w:sz w:val="16"/>
          <w:szCs w:val="16"/>
          <w:color w:val="auto"/>
        </w:rPr>
        <w:t>.D.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OGER</w:t>
      </w:r>
      <w:r>
        <w:rPr>
          <w:rFonts w:ascii="Arial" w:cs="Arial" w:eastAsia="Arial" w:hAnsi="Arial"/>
          <w:sz w:val="18"/>
          <w:szCs w:val="18"/>
          <w:color w:val="auto"/>
        </w:rPr>
        <w:t xml:space="preserve"> M. P</w:t>
      </w:r>
      <w:r>
        <w:rPr>
          <w:rFonts w:ascii="Arial" w:cs="Arial" w:eastAsia="Arial" w:hAnsi="Arial"/>
          <w:sz w:val="12"/>
          <w:szCs w:val="12"/>
          <w:color w:val="auto"/>
        </w:rPr>
        <w:t>ERLMUTTER</w:t>
      </w:r>
      <w:r>
        <w:rPr>
          <w:rFonts w:ascii="Arial" w:cs="Arial" w:eastAsia="Arial" w:hAnsi="Arial"/>
          <w:sz w:val="18"/>
          <w:szCs w:val="18"/>
          <w:color w:val="auto"/>
        </w:rPr>
        <w:t xml:space="preserve"> M.D., P</w:t>
      </w:r>
      <w:r>
        <w:rPr>
          <w:rFonts w:ascii="Arial" w:cs="Arial" w:eastAsia="Arial" w:hAnsi="Arial"/>
          <w:sz w:val="12"/>
          <w:szCs w:val="12"/>
          <w:color w:val="auto"/>
        </w:rPr>
        <w:t>H</w:t>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Irving L. Weissman, M.D.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RVING</w:t>
      </w:r>
      <w:r>
        <w:rPr>
          <w:rFonts w:ascii="Arial" w:cs="Arial" w:eastAsia="Arial" w:hAnsi="Arial"/>
          <w:sz w:val="18"/>
          <w:szCs w:val="18"/>
          <w:color w:val="auto"/>
        </w:rPr>
        <w:t xml:space="preserve"> L. W</w:t>
      </w:r>
      <w:r>
        <w:rPr>
          <w:rFonts w:ascii="Arial" w:cs="Arial" w:eastAsia="Arial" w:hAnsi="Arial"/>
          <w:sz w:val="12"/>
          <w:szCs w:val="12"/>
          <w:color w:val="auto"/>
        </w:rPr>
        <w:t>EISSMAN</w:t>
      </w:r>
      <w:r>
        <w:rPr>
          <w:rFonts w:ascii="Arial" w:cs="Arial" w:eastAsia="Arial" w:hAnsi="Arial"/>
          <w:sz w:val="18"/>
          <w:szCs w:val="18"/>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4"/>
                <w:szCs w:val="14"/>
                <w:color w:val="auto"/>
              </w:rPr>
              <w:t>Title</w:t>
            </w:r>
          </w:p>
        </w:tc>
        <w:tc>
          <w:tcPr>
            <w:tcW w:w="3040" w:type="dxa"/>
            <w:vAlign w:val="bottom"/>
            <w:gridSpan w:val="2"/>
          </w:tcPr>
          <w:p>
            <w:pPr>
              <w:ind w:left="580"/>
              <w:spacing w:after="0"/>
              <w:rPr>
                <w:sz w:val="20"/>
                <w:szCs w:val="20"/>
                <w:color w:val="auto"/>
              </w:rPr>
            </w:pPr>
            <w:r>
              <w:rPr>
                <w:rFonts w:ascii="Arial" w:cs="Arial" w:eastAsia="Arial" w:hAnsi="Arial"/>
                <w:sz w:val="14"/>
                <w:szCs w:val="14"/>
                <w:color w:val="auto"/>
              </w:rPr>
              <w:t>Date</w:t>
            </w:r>
          </w:p>
        </w:tc>
      </w:tr>
      <w:tr>
        <w:trPr>
          <w:trHeight w:val="194"/>
        </w:trPr>
        <w:tc>
          <w:tcPr>
            <w:tcW w:w="24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President, Chief Executive Officer</w:t>
            </w:r>
          </w:p>
        </w:tc>
        <w:tc>
          <w:tcPr>
            <w:tcW w:w="580" w:type="dxa"/>
            <w:vAlign w:val="bottom"/>
          </w:tcPr>
          <w:p>
            <w:pPr>
              <w:spacing w:after="0"/>
              <w:rPr>
                <w:sz w:val="16"/>
                <w:szCs w:val="16"/>
                <w:color w:val="auto"/>
              </w:rPr>
            </w:pPr>
          </w:p>
        </w:tc>
        <w:tc>
          <w:tcPr>
            <w:tcW w:w="2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September 30, 2005</w:t>
            </w:r>
          </w:p>
        </w:tc>
      </w:tr>
      <w:tr>
        <w:trPr>
          <w:trHeight w:val="215"/>
        </w:trPr>
        <w:tc>
          <w:tcPr>
            <w:tcW w:w="2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98"/>
              </w:rPr>
              <w:t>and Director (principal executive</w:t>
            </w:r>
          </w:p>
        </w:tc>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5"/>
        </w:trPr>
        <w:tc>
          <w:tcPr>
            <w:tcW w:w="2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officer)</w:t>
            </w:r>
          </w:p>
        </w:tc>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5"/>
        </w:trPr>
        <w:tc>
          <w:tcPr>
            <w:tcW w:w="2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99"/>
              </w:rPr>
              <w:t>Chief Financial Officer (principal</w:t>
            </w:r>
          </w:p>
        </w:tc>
        <w:tc>
          <w:tcPr>
            <w:tcW w:w="5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September 30, 2005</w:t>
            </w:r>
          </w:p>
        </w:tc>
      </w:tr>
      <w:tr>
        <w:trPr>
          <w:trHeight w:val="230"/>
        </w:trPr>
        <w:tc>
          <w:tcPr>
            <w:tcW w:w="2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financial officer)</w:t>
            </w:r>
          </w:p>
        </w:tc>
        <w:tc>
          <w:tcPr>
            <w:tcW w:w="5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Controller (principal accounting</w:t>
            </w:r>
          </w:p>
        </w:tc>
        <w:tc>
          <w:tcPr>
            <w:tcW w:w="5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September 30, 2005</w:t>
            </w:r>
          </w:p>
        </w:tc>
      </w:tr>
      <w:tr>
        <w:trPr>
          <w:trHeight w:val="230"/>
        </w:trPr>
        <w:tc>
          <w:tcPr>
            <w:tcW w:w="2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officer)</w:t>
            </w:r>
          </w:p>
        </w:tc>
        <w:tc>
          <w:tcPr>
            <w:tcW w:w="5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42"/>
        </w:trPr>
        <w:tc>
          <w:tcPr>
            <w:tcW w:w="24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Chairman</w:t>
            </w:r>
          </w:p>
        </w:tc>
        <w:tc>
          <w:tcPr>
            <w:tcW w:w="58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September 22, 2005</w:t>
            </w:r>
          </w:p>
        </w:tc>
      </w:tr>
      <w:tr>
        <w:trPr>
          <w:trHeight w:val="457"/>
        </w:trPr>
        <w:tc>
          <w:tcPr>
            <w:tcW w:w="2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September 23, 2005</w:t>
            </w:r>
          </w:p>
        </w:tc>
      </w:tr>
      <w:tr>
        <w:trPr>
          <w:trHeight w:val="457"/>
        </w:trPr>
        <w:tc>
          <w:tcPr>
            <w:tcW w:w="2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September 26, 2005</w:t>
            </w:r>
          </w:p>
        </w:tc>
      </w:tr>
      <w:tr>
        <w:trPr>
          <w:trHeight w:val="457"/>
        </w:trPr>
        <w:tc>
          <w:tcPr>
            <w:tcW w:w="2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September 23 , 2005</w:t>
            </w:r>
          </w:p>
        </w:tc>
      </w:tr>
      <w:tr>
        <w:trPr>
          <w:trHeight w:val="457"/>
        </w:trPr>
        <w:tc>
          <w:tcPr>
            <w:tcW w:w="2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September 27, 2005</w:t>
            </w:r>
          </w:p>
        </w:tc>
      </w:tr>
      <w:tr>
        <w:trPr>
          <w:trHeight w:val="645"/>
        </w:trPr>
        <w:tc>
          <w:tcPr>
            <w:tcW w:w="2800" w:type="dxa"/>
            <w:vAlign w:val="bottom"/>
            <w:gridSpan w:val="2"/>
          </w:tcPr>
          <w:p>
            <w:pPr>
              <w:spacing w:after="0"/>
              <w:rPr>
                <w:sz w:val="20"/>
                <w:szCs w:val="20"/>
                <w:color w:val="auto"/>
              </w:rPr>
            </w:pPr>
            <w:r>
              <w:rPr>
                <w:rFonts w:ascii="Arial" w:cs="Arial" w:eastAsia="Arial" w:hAnsi="Arial"/>
                <w:sz w:val="18"/>
                <w:szCs w:val="18"/>
                <w:color w:val="auto"/>
              </w:rPr>
              <w:t>II-5</w:t>
            </w:r>
          </w:p>
        </w:tc>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134620</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2">
            <w:col w:w="4860" w:space="720"/>
            <w:col w:w="5840"/>
          </w:cols>
          <w:pgMar w:left="240" w:top="417"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80" w:type="dxa"/>
            <w:vAlign w:val="bottom"/>
          </w:tcPr>
          <w:p>
            <w:pPr>
              <w:ind w:left="4020"/>
              <w:spacing w:after="0"/>
              <w:rPr>
                <w:sz w:val="20"/>
                <w:szCs w:val="20"/>
                <w:color w:val="auto"/>
              </w:rPr>
            </w:pPr>
            <w:r>
              <w:rPr>
                <w:rFonts w:ascii="Arial" w:cs="Arial" w:eastAsia="Arial" w:hAnsi="Arial"/>
                <w:sz w:val="18"/>
                <w:szCs w:val="18"/>
                <w:color w:val="auto"/>
              </w:rPr>
              <w:t>EXHIBIT INDEX</w:t>
            </w:r>
          </w:p>
        </w:tc>
      </w:tr>
      <w:tr>
        <w:trPr>
          <w:trHeight w:val="344"/>
        </w:trPr>
        <w:tc>
          <w:tcPr>
            <w:tcW w:w="70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167"/>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w:t>
            </w:r>
          </w:p>
        </w:tc>
        <w:tc>
          <w:tcPr>
            <w:tcW w:w="34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 of Exhibit</w:t>
            </w:r>
          </w:p>
        </w:tc>
      </w:tr>
      <w:tr>
        <w:trPr>
          <w:trHeight w:val="424"/>
        </w:trPr>
        <w:tc>
          <w:tcPr>
            <w:tcW w:w="700" w:type="dxa"/>
            <w:vAlign w:val="bottom"/>
          </w:tcPr>
          <w:p>
            <w:pPr>
              <w:spacing w:after="0"/>
              <w:rPr>
                <w:sz w:val="20"/>
                <w:szCs w:val="20"/>
                <w:color w:val="auto"/>
              </w:rPr>
            </w:pPr>
            <w:r>
              <w:rPr>
                <w:rFonts w:ascii="Arial" w:cs="Arial" w:eastAsia="Arial" w:hAnsi="Arial"/>
                <w:sz w:val="18"/>
                <w:szCs w:val="18"/>
                <w:color w:val="auto"/>
              </w:rPr>
              <w:t>5.1</w:t>
            </w: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Opinion of Ropes &amp; Gray LLP (1)</w:t>
            </w:r>
          </w:p>
        </w:tc>
      </w:tr>
      <w:tr>
        <w:trPr>
          <w:trHeight w:val="430"/>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 (1)</w:t>
            </w:r>
          </w:p>
        </w:tc>
      </w:tr>
      <w:tr>
        <w:trPr>
          <w:trHeight w:val="430"/>
        </w:trPr>
        <w:tc>
          <w:tcPr>
            <w:tcW w:w="700" w:type="dxa"/>
            <w:vAlign w:val="bottom"/>
          </w:tcPr>
          <w:p>
            <w:pPr>
              <w:spacing w:after="0"/>
              <w:rPr>
                <w:sz w:val="20"/>
                <w:szCs w:val="20"/>
                <w:color w:val="auto"/>
              </w:rPr>
            </w:pPr>
            <w:r>
              <w:rPr>
                <w:rFonts w:ascii="Arial" w:cs="Arial" w:eastAsia="Arial" w:hAnsi="Arial"/>
                <w:sz w:val="18"/>
                <w:szCs w:val="18"/>
                <w:color w:val="auto"/>
              </w:rPr>
              <w:t>23.2</w:t>
            </w: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Consent of Grant Thornton LLP, independent registered public accounting firm (1)</w:t>
            </w:r>
          </w:p>
        </w:tc>
      </w:tr>
      <w:tr>
        <w:trPr>
          <w:trHeight w:val="430"/>
        </w:trPr>
        <w:tc>
          <w:tcPr>
            <w:tcW w:w="700" w:type="dxa"/>
            <w:vAlign w:val="bottom"/>
          </w:tcPr>
          <w:p>
            <w:pPr>
              <w:spacing w:after="0"/>
              <w:rPr>
                <w:sz w:val="20"/>
                <w:szCs w:val="20"/>
                <w:color w:val="auto"/>
              </w:rPr>
            </w:pPr>
            <w:r>
              <w:rPr>
                <w:rFonts w:ascii="Arial" w:cs="Arial" w:eastAsia="Arial" w:hAnsi="Arial"/>
                <w:sz w:val="18"/>
                <w:szCs w:val="18"/>
                <w:color w:val="auto"/>
              </w:rPr>
              <w:t>23.3</w:t>
            </w: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Consent of Ropes &amp; Gray LLP (to be included in the opinion filed as Exhibit 5.1)</w:t>
            </w:r>
          </w:p>
        </w:tc>
      </w:tr>
      <w:tr>
        <w:trPr>
          <w:trHeight w:val="430"/>
        </w:trPr>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Power of Attorney (Included on the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61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42"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20"/>
          </w:cols>
          <w:pgMar w:left="240" w:top="417"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5.1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October 3, 2005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94394</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Registration Statement on Form S-3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opinion is furnished to you in connection with the above-referenced registration statement (the “Registration Statement”) of StemCells, Inc., a Delaware corporation (the “Company”), filed with the Securities and Exchange Commission under the Securities Act of 1933, as amended (the “Act”), with respect to shares of common stock, $0.01 par value per share, of the Company (the “Offered Securities”). The Offered Securities being registered under the Registration Statement will have an aggregate offering price of up to $100,000,000 and will be offered on a delayed basis pursuant to the provisions of Rule 415 under the Securities Act.</w:t>
      </w:r>
    </w:p>
    <w:p>
      <w:pPr>
        <w:spacing w:after="0" w:line="8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We have acted as counsel for the Company in connection with the registration of the Offered Securities. For purposes of this opinion, we have examined and relied upon such documents, records, certificates and other instruments as we have deemed necessary.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Basing our opinion on the foregoing, we are of the opinion that:</w:t>
      </w:r>
    </w:p>
    <w:p>
      <w:pPr>
        <w:spacing w:after="0" w:line="116" w:lineRule="exact"/>
        <w:rPr>
          <w:sz w:val="20"/>
          <w:szCs w:val="20"/>
          <w:color w:val="auto"/>
        </w:rPr>
      </w:pPr>
    </w:p>
    <w:p>
      <w:pPr>
        <w:ind w:left="780" w:right="520" w:hanging="436"/>
        <w:spacing w:after="0" w:line="340"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when the Board of Directors of the Company or committees designated thereby have approved and authorized the price and other terms and conditions relating to the issue and sale of the Offered Securities, the Offered Securities will have been duly authorized by the Company; and</w:t>
      </w:r>
    </w:p>
    <w:p>
      <w:pPr>
        <w:spacing w:after="0" w:line="29" w:lineRule="exact"/>
        <w:rPr>
          <w:rFonts w:ascii="Arial" w:cs="Arial" w:eastAsia="Arial" w:hAnsi="Arial"/>
          <w:sz w:val="16"/>
          <w:szCs w:val="16"/>
          <w:color w:val="auto"/>
        </w:rPr>
      </w:pPr>
    </w:p>
    <w:p>
      <w:pPr>
        <w:ind w:left="780" w:right="740" w:hanging="436"/>
        <w:spacing w:after="0" w:line="306"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the issuance by the Company of the Offered Securities against payment of the agreed consideration in accordance with the corporate authorization referred to above, the Offered Securities will be validly issued, fully paid and nonassessable.</w:t>
      </w:r>
    </w:p>
    <w:p>
      <w:pPr>
        <w:spacing w:after="0" w:line="3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The opinions express above are limited to the Delaware General Corporate Law, including the applicable provisions of the Delaware Constitution and the reported cases interpreting those laws.</w:t>
      </w:r>
    </w:p>
    <w:p>
      <w:pPr>
        <w:spacing w:after="0" w:line="6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We hereby consent to your filing this opinion as an exhibit to the Registration Statement and to the use of our name therein. Our consent shall not be deemed an admission that we are experts whose consent is required under Section 7 of the 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This opinion may be used only in connection with offer and sale of the Offered Securities while the Registration Statement is in effect.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Ropes &amp; Gray LLP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Ropes &amp; Gray LLP</w:t>
      </w:r>
    </w:p>
    <w:p>
      <w:pPr>
        <w:sectPr>
          <w:pgSz w:w="11900" w:h="16838" w:orient="portrait"/>
          <w:cols w:equalWidth="0" w:num="1">
            <w:col w:w="11420"/>
          </w:cols>
          <w:pgMar w:left="240" w:top="92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ERNST &amp; YOUNG LLP, INDEPENDENT REGISTERED PUBLIC ACCOUNTING FIRM</w:t>
      </w:r>
    </w:p>
    <w:p>
      <w:pPr>
        <w:spacing w:after="0" w:line="116" w:lineRule="exact"/>
        <w:rPr>
          <w:sz w:val="20"/>
          <w:szCs w:val="20"/>
          <w:color w:val="auto"/>
        </w:rPr>
      </w:pPr>
    </w:p>
    <w:p>
      <w:pPr>
        <w:jc w:val="both"/>
        <w:ind w:right="60" w:firstLine="445"/>
        <w:spacing w:after="0" w:line="278"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StemCells, Inc. for the registration of $100,000,000 of its common stock and to the incorporation by reference therein of our report dated March 4, 2003, except for Note 1, as to which the date is March 25, 2004, with respect to the 2002 consolidated financial statements of StemCells, Inc. included in its Annual Report (Form 10-K) for the year ended December 31, 2004 filed with the Securities and Exchange Commission.</w:t>
      </w:r>
    </w:p>
    <w:p>
      <w:pPr>
        <w:spacing w:after="0" w:line="38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03, 2005</w:t>
      </w:r>
    </w:p>
    <w:p>
      <w:pPr>
        <w:sectPr>
          <w:pgSz w:w="11900" w:h="16838" w:orient="portrait"/>
          <w:cols w:equalWidth="0" w:num="1">
            <w:col w:w="11420"/>
          </w:cols>
          <w:pgMar w:left="240" w:top="928"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We have issued our reports dated March 4, 2005 accompanying the consolidated financial statements and management’s assessment of the effectiveness of internal control over financial reporting as of December 31, 2004 of StemCells, Inc. appearing in the Annual Report on Form 10-K for the year ended December 31, 2004, which are incorporated by reference in this Registration Statement. We consent to the incorporation by reference in the Registration Statement of the aforementioned reports and to the use of our name as it appears under the caption “Experts.”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 2005</w:t>
      </w:r>
    </w:p>
    <w:sectPr>
      <w:pgSz w:w="11900" w:h="16838" w:orient="portrait"/>
      <w:cols w:equalWidth="0" w:num="1">
        <w:col w:w="11420"/>
      </w:cols>
      <w:pgMar w:left="240" w:top="9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2019-12-11T22:46:15Z</dcterms:created>
  <dcterms:modified xsi:type="dcterms:W3CDTF">2019-12-11T22:46:15Z</dcterms:modified>
</cp:coreProperties>
</file>