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0"/>
        <w:spacing w:after="0"/>
        <w:rPr>
          <w:sz w:val="20"/>
          <w:szCs w:val="20"/>
          <w:color w:val="auto"/>
        </w:rPr>
      </w:pPr>
      <w:r>
        <w:rPr>
          <w:rFonts w:ascii="Courier New" w:cs="Courier New" w:eastAsia="Courier New" w:hAnsi="Courier New"/>
          <w:sz w:val="16"/>
          <w:szCs w:val="16"/>
          <w:color w:val="auto"/>
        </w:rPr>
        <w:t>As filed with the Commission on June 16, 1997 File No. 333-_____</w:t>
      </w:r>
    </w:p>
    <w:p>
      <w:pPr>
        <w:spacing w:after="0" w:line="20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2"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FORM S-8 REGISTRATION STATEMENT</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45" w:right="139" w:bottom="0" w:gutter="0" w:footer="0" w:header="0"/>
        </w:sectPr>
      </w:pPr>
    </w:p>
    <w:p>
      <w:pPr>
        <w:spacing w:after="0" w:line="196"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(State or other jurisdiction of</w:t>
      </w:r>
    </w:p>
    <w:p>
      <w:pPr>
        <w:spacing w:after="0" w:line="2"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94-3078125</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99" w:lineRule="exact"/>
        <w:rPr>
          <w:sz w:val="24"/>
          <w:szCs w:val="24"/>
          <w:color w:val="auto"/>
        </w:rPr>
      </w:pPr>
    </w:p>
    <w:p>
      <w:pPr>
        <w:sectPr>
          <w:pgSz w:w="11900" w:h="16838" w:orient="portrait"/>
          <w:cols w:equalWidth="0" w:num="2">
            <w:col w:w="4040" w:space="520"/>
            <w:col w:w="6960"/>
          </w:cols>
          <w:pgMar w:left="240" w:top="245" w:right="139" w:bottom="0" w:gutter="0" w:footer="0" w:header="0"/>
          <w:type w:val="continuous"/>
        </w:sectPr>
      </w:pPr>
    </w:p>
    <w:p>
      <w:pPr>
        <w:ind w:left="3140"/>
        <w:spacing w:after="0"/>
        <w:rPr>
          <w:sz w:val="20"/>
          <w:szCs w:val="20"/>
          <w:color w:val="auto"/>
        </w:rPr>
      </w:pPr>
      <w:r>
        <w:rPr>
          <w:rFonts w:ascii="Courier New" w:cs="Courier New" w:eastAsia="Courier New" w:hAnsi="Courier New"/>
          <w:sz w:val="17"/>
          <w:szCs w:val="17"/>
          <w:color w:val="auto"/>
        </w:rPr>
        <w:t>Two Richmond Square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Providence, Rhode Island 02906</w:t>
      </w:r>
    </w:p>
    <w:p>
      <w:pPr>
        <w:spacing w:after="0" w:line="2"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196"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1992 EMPLOYEE STOCK PURCHASE PLAN</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(Full title of the plan)</w:t>
      </w:r>
    </w:p>
    <w:p>
      <w:pPr>
        <w:spacing w:after="0" w:line="196"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Frederic A. Eustis, III, Esq.</w:t>
      </w:r>
    </w:p>
    <w:p>
      <w:pPr>
        <w:spacing w:after="0" w:line="2"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Secretary</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Two Richmond Square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Providence, Rhode Island 02906</w:t>
      </w:r>
    </w:p>
    <w:p>
      <w:pPr>
        <w:spacing w:after="0" w:line="2" w:lineRule="exact"/>
        <w:rPr>
          <w:sz w:val="24"/>
          <w:szCs w:val="24"/>
          <w:color w:val="auto"/>
        </w:rPr>
      </w:pPr>
    </w:p>
    <w:p>
      <w:pPr>
        <w:ind w:left="3940" w:hanging="600"/>
        <w:spacing w:after="0"/>
        <w:tabs>
          <w:tab w:leader="none" w:pos="3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272-3310</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address and telephone number of agent for service)</w:t>
      </w:r>
    </w:p>
    <w:p>
      <w:pPr>
        <w:spacing w:after="0" w:line="196"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of Securities</w:t>
            </w:r>
          </w:p>
        </w:tc>
        <w:tc>
          <w:tcPr>
            <w:tcW w:w="2240" w:type="dxa"/>
            <w:vAlign w:val="bottom"/>
          </w:tcPr>
          <w:p>
            <w:pPr>
              <w:ind w:left="320"/>
              <w:spacing w:after="0"/>
              <w:rPr>
                <w:sz w:val="20"/>
                <w:szCs w:val="20"/>
                <w:color w:val="auto"/>
              </w:rPr>
            </w:pPr>
            <w:r>
              <w:rPr>
                <w:rFonts w:ascii="Courier New" w:cs="Courier New" w:eastAsia="Courier New" w:hAnsi="Courier New"/>
                <w:sz w:val="17"/>
                <w:szCs w:val="17"/>
                <w:color w:val="auto"/>
              </w:rPr>
              <w:t>Amount to be</w:t>
            </w:r>
          </w:p>
        </w:tc>
        <w:tc>
          <w:tcPr>
            <w:tcW w:w="2480" w:type="dxa"/>
            <w:vAlign w:val="bottom"/>
          </w:tcPr>
          <w:p>
            <w:pPr>
              <w:ind w:left="500"/>
              <w:spacing w:after="0"/>
              <w:rPr>
                <w:sz w:val="20"/>
                <w:szCs w:val="20"/>
                <w:color w:val="auto"/>
              </w:rPr>
            </w:pPr>
            <w:r>
              <w:rPr>
                <w:rFonts w:ascii="Courier New" w:cs="Courier New" w:eastAsia="Courier New" w:hAnsi="Courier New"/>
                <w:sz w:val="17"/>
                <w:szCs w:val="17"/>
                <w:color w:val="auto"/>
              </w:rPr>
              <w:t>Proposed maximum</w:t>
            </w:r>
          </w:p>
        </w:tc>
        <w:tc>
          <w:tcPr>
            <w:tcW w:w="2620" w:type="dxa"/>
            <w:vAlign w:val="bottom"/>
          </w:tcPr>
          <w:p>
            <w:pPr>
              <w:ind w:left="440"/>
              <w:spacing w:after="0"/>
              <w:rPr>
                <w:sz w:val="20"/>
                <w:szCs w:val="20"/>
                <w:color w:val="auto"/>
              </w:rPr>
            </w:pPr>
            <w:r>
              <w:rPr>
                <w:rFonts w:ascii="Courier New" w:cs="Courier New" w:eastAsia="Courier New" w:hAnsi="Courier New"/>
                <w:sz w:val="17"/>
                <w:szCs w:val="17"/>
                <w:color w:val="auto"/>
              </w:rPr>
              <w:t>Proposed maximum</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rPr>
              <w:t>Amount of</w:t>
            </w:r>
          </w:p>
        </w:tc>
      </w:t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to be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registered</w:t>
            </w:r>
          </w:p>
        </w:tc>
        <w:tc>
          <w:tcPr>
            <w:tcW w:w="2240" w:type="dxa"/>
            <w:vAlign w:val="bottom"/>
          </w:tcPr>
          <w:p>
            <w:pPr>
              <w:ind w:left="320"/>
              <w:spacing w:after="0"/>
              <w:rPr>
                <w:sz w:val="20"/>
                <w:szCs w:val="20"/>
                <w:color w:val="auto"/>
              </w:rPr>
            </w:pPr>
            <w:r>
              <w:rPr>
                <w:rFonts w:ascii="Courier New" w:cs="Courier New" w:eastAsia="Courier New" w:hAnsi="Courier New"/>
                <w:sz w:val="17"/>
                <w:szCs w:val="17"/>
                <w:color w:val="auto"/>
              </w:rPr>
              <w:t>registered</w:t>
            </w:r>
          </w:p>
        </w:tc>
        <w:tc>
          <w:tcPr>
            <w:tcW w:w="2480" w:type="dxa"/>
            <w:vAlign w:val="bottom"/>
          </w:tcPr>
          <w:p>
            <w:pPr>
              <w:ind w:left="500"/>
              <w:spacing w:after="0"/>
              <w:rPr>
                <w:sz w:val="20"/>
                <w:szCs w:val="20"/>
                <w:color w:val="auto"/>
              </w:rPr>
            </w:pPr>
            <w:r>
              <w:rPr>
                <w:rFonts w:ascii="Courier New" w:cs="Courier New" w:eastAsia="Courier New" w:hAnsi="Courier New"/>
                <w:sz w:val="17"/>
                <w:szCs w:val="17"/>
                <w:color w:val="auto"/>
              </w:rPr>
              <w:t>offering price per</w:t>
            </w:r>
          </w:p>
        </w:tc>
        <w:tc>
          <w:tcPr>
            <w:tcW w:w="2620" w:type="dxa"/>
            <w:vAlign w:val="bottom"/>
          </w:tcPr>
          <w:p>
            <w:pPr>
              <w:ind w:left="440"/>
              <w:spacing w:after="0"/>
              <w:rPr>
                <w:sz w:val="20"/>
                <w:szCs w:val="20"/>
                <w:color w:val="auto"/>
              </w:rPr>
            </w:pPr>
            <w:r>
              <w:rPr>
                <w:rFonts w:ascii="Courier New" w:cs="Courier New" w:eastAsia="Courier New" w:hAnsi="Courier New"/>
                <w:sz w:val="17"/>
                <w:szCs w:val="17"/>
                <w:color w:val="auto"/>
              </w:rPr>
              <w:t>aggregate offering</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w w:val="96"/>
              </w:rPr>
              <w:t>registration fee</w:t>
            </w:r>
          </w:p>
        </w:tc>
      </w:tr>
      <w:tr>
        <w:trPr>
          <w:trHeight w:val="194"/>
        </w:trPr>
        <w:tc>
          <w:tcPr>
            <w:tcW w:w="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tcPr>
          <w:p>
            <w:pPr>
              <w:ind w:left="500"/>
              <w:spacing w:after="0"/>
              <w:rPr>
                <w:sz w:val="20"/>
                <w:szCs w:val="20"/>
                <w:color w:val="auto"/>
              </w:rPr>
            </w:pPr>
            <w:r>
              <w:rPr>
                <w:rFonts w:ascii="Courier New" w:cs="Courier New" w:eastAsia="Courier New" w:hAnsi="Courier New"/>
                <w:sz w:val="17"/>
                <w:szCs w:val="17"/>
                <w:color w:val="auto"/>
              </w:rPr>
              <w:t>share</w:t>
            </w:r>
          </w:p>
        </w:tc>
        <w:tc>
          <w:tcPr>
            <w:tcW w:w="2620" w:type="dxa"/>
            <w:vAlign w:val="bottom"/>
          </w:tcPr>
          <w:p>
            <w:pPr>
              <w:ind w:left="140"/>
              <w:spacing w:after="0"/>
              <w:rPr>
                <w:sz w:val="20"/>
                <w:szCs w:val="20"/>
                <w:color w:val="auto"/>
              </w:rPr>
            </w:pPr>
            <w:r>
              <w:rPr>
                <w:rFonts w:ascii="Courier New" w:cs="Courier New" w:eastAsia="Courier New" w:hAnsi="Courier New"/>
                <w:sz w:val="17"/>
                <w:szCs w:val="17"/>
                <w:color w:val="auto"/>
              </w:rPr>
              <w:t>price</w:t>
            </w:r>
          </w:p>
        </w:tc>
        <w:tc>
          <w:tcPr>
            <w:tcW w:w="1960" w:type="dxa"/>
            <w:vAlign w:val="bottom"/>
          </w:tcPr>
          <w:p>
            <w:pPr>
              <w:spacing w:after="0"/>
              <w:rPr>
                <w:sz w:val="16"/>
                <w:szCs w:val="16"/>
                <w:color w:val="auto"/>
              </w:rPr>
            </w:pPr>
          </w:p>
        </w:tc>
      </w:tr>
      <w:tr>
        <w:trPr>
          <w:trHeight w:val="194"/>
        </w:trPr>
        <w:tc>
          <w:tcPr>
            <w:tcW w:w="2220" w:type="dxa"/>
            <w:vAlign w:val="bottom"/>
            <w:gridSpan w:val="2"/>
          </w:tcPr>
          <w:p>
            <w:pPr>
              <w:spacing w:after="0"/>
              <w:rPr>
                <w:sz w:val="20"/>
                <w:szCs w:val="20"/>
                <w:color w:val="auto"/>
              </w:rPr>
            </w:pPr>
            <w:r>
              <w:rPr>
                <w:rFonts w:ascii="Courier New" w:cs="Courier New" w:eastAsia="Courier New" w:hAnsi="Courier New"/>
                <w:sz w:val="17"/>
                <w:szCs w:val="17"/>
                <w:color w:val="auto"/>
              </w:rPr>
              <w:t>Common Stock,</w:t>
            </w:r>
          </w:p>
        </w:tc>
        <w:tc>
          <w:tcPr>
            <w:tcW w:w="2240" w:type="dxa"/>
            <w:vAlign w:val="bottom"/>
          </w:tcPr>
          <w:p>
            <w:pPr>
              <w:ind w:left="320"/>
              <w:spacing w:after="0"/>
              <w:rPr>
                <w:sz w:val="20"/>
                <w:szCs w:val="20"/>
                <w:color w:val="auto"/>
              </w:rPr>
            </w:pPr>
            <w:r>
              <w:rPr>
                <w:rFonts w:ascii="Courier New" w:cs="Courier New" w:eastAsia="Courier New" w:hAnsi="Courier New"/>
                <w:sz w:val="17"/>
                <w:szCs w:val="17"/>
                <w:color w:val="auto"/>
              </w:rPr>
              <w:t>100,000 shares</w:t>
            </w:r>
          </w:p>
        </w:tc>
        <w:tc>
          <w:tcPr>
            <w:tcW w:w="2480" w:type="dxa"/>
            <w:vAlign w:val="bottom"/>
          </w:tcPr>
          <w:p>
            <w:pPr>
              <w:ind w:left="500"/>
              <w:spacing w:after="0"/>
              <w:rPr>
                <w:sz w:val="20"/>
                <w:szCs w:val="20"/>
                <w:color w:val="auto"/>
              </w:rPr>
            </w:pPr>
            <w:r>
              <w:rPr>
                <w:rFonts w:ascii="Courier New" w:cs="Courier New" w:eastAsia="Courier New" w:hAnsi="Courier New"/>
                <w:sz w:val="17"/>
                <w:szCs w:val="17"/>
                <w:color w:val="auto"/>
              </w:rPr>
              <w:t>$5.375</w:t>
            </w:r>
          </w:p>
        </w:tc>
        <w:tc>
          <w:tcPr>
            <w:tcW w:w="2620" w:type="dxa"/>
            <w:vAlign w:val="bottom"/>
          </w:tcPr>
          <w:p>
            <w:pPr>
              <w:ind w:left="440"/>
              <w:spacing w:after="0"/>
              <w:rPr>
                <w:sz w:val="20"/>
                <w:szCs w:val="20"/>
                <w:color w:val="auto"/>
              </w:rPr>
            </w:pPr>
            <w:r>
              <w:rPr>
                <w:rFonts w:ascii="Courier New" w:cs="Courier New" w:eastAsia="Courier New" w:hAnsi="Courier New"/>
                <w:sz w:val="17"/>
                <w:szCs w:val="17"/>
                <w:color w:val="auto"/>
              </w:rPr>
              <w:t>$5,375,000</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rPr>
              <w:t>$163.00</w:t>
            </w:r>
          </w:p>
        </w:tc>
      </w:tr>
      <w:tr>
        <w:trPr>
          <w:trHeight w:val="194"/>
        </w:trPr>
        <w:tc>
          <w:tcPr>
            <w:tcW w:w="2220" w:type="dxa"/>
            <w:vAlign w:val="bottom"/>
            <w:gridSpan w:val="2"/>
          </w:tcPr>
          <w:p>
            <w:pPr>
              <w:spacing w:after="0"/>
              <w:rPr>
                <w:sz w:val="20"/>
                <w:szCs w:val="20"/>
                <w:color w:val="auto"/>
              </w:rPr>
            </w:pPr>
            <w:r>
              <w:rPr>
                <w:rFonts w:ascii="Courier New" w:cs="Courier New" w:eastAsia="Courier New" w:hAnsi="Courier New"/>
                <w:sz w:val="17"/>
                <w:szCs w:val="17"/>
                <w:color w:val="auto"/>
              </w:rPr>
              <w:t>par value $0.01</w:t>
            </w:r>
          </w:p>
        </w:tc>
        <w:tc>
          <w:tcPr>
            <w:tcW w:w="2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393" w:lineRule="exact"/>
        <w:rPr>
          <w:sz w:val="24"/>
          <w:szCs w:val="24"/>
          <w:color w:val="auto"/>
        </w:rPr>
      </w:pPr>
    </w:p>
    <w:p>
      <w:pPr>
        <w:ind w:right="3420" w:firstLine="101"/>
        <w:spacing w:after="0" w:line="241" w:lineRule="auto"/>
        <w:rPr>
          <w:sz w:val="20"/>
          <w:szCs w:val="20"/>
          <w:color w:val="auto"/>
        </w:rPr>
      </w:pPr>
      <w:r>
        <w:rPr>
          <w:rFonts w:ascii="Courier New" w:cs="Courier New" w:eastAsia="Courier New" w:hAnsi="Courier New"/>
          <w:sz w:val="17"/>
          <w:szCs w:val="17"/>
          <w:color w:val="auto"/>
        </w:rPr>
        <w:t>Estimated solely for the purpose of determining the registration fee pursuant to Rule 457(h) on the basis of the average of the high and low prices of CytoTherapeutics, Inc. Common Stock, par value $0.01, reported on NASDAQ/NMS on June 10,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Page 1 of 6 pages.</w:t>
      </w:r>
    </w:p>
    <w:p>
      <w:pPr>
        <w:spacing w:after="0" w:line="391"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by Reference</w:t>
      </w:r>
    </w:p>
    <w:p>
      <w:pPr>
        <w:spacing w:after="0" w:line="2"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4"/>
          <w:szCs w:val="24"/>
          <w:color w:val="auto"/>
        </w:rPr>
      </w:pPr>
    </w:p>
    <w:p>
      <w:pPr>
        <w:jc w:val="both"/>
        <w:ind w:right="3420" w:firstLine="910"/>
        <w:spacing w:after="0"/>
        <w:rPr>
          <w:sz w:val="20"/>
          <w:szCs w:val="20"/>
          <w:color w:val="auto"/>
        </w:rPr>
      </w:pPr>
      <w:r>
        <w:rPr>
          <w:rFonts w:ascii="Courier New" w:cs="Courier New" w:eastAsia="Courier New" w:hAnsi="Courier New"/>
          <w:sz w:val="17"/>
          <w:szCs w:val="17"/>
          <w:color w:val="auto"/>
        </w:rPr>
        <w:t>Pursuant to General Instruction E to Form S-8, the contents of the Registrant's Registration Statement on Form S-8 (File Number 33-49524) are incorporated herein by reference thereto.</w:t>
      </w:r>
    </w:p>
    <w:p>
      <w:pPr>
        <w:spacing w:after="0" w:line="392"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Exhibit</w:t>
      </w:r>
    </w:p>
    <w:p>
      <w:pPr>
        <w:sectPr>
          <w:pgSz w:w="11900" w:h="16838" w:orient="portrait"/>
          <w:cols w:equalWidth="0" w:num="1">
            <w:col w:w="11520"/>
          </w:cols>
          <w:pgMar w:left="240" w:top="245" w:right="139" w:bottom="0" w:gutter="0" w:footer="0" w:header="0"/>
          <w:type w:val="continuous"/>
        </w:sectPr>
      </w:pPr>
    </w:p>
    <w:bookmarkStart w:id="1" w:name="page2"/>
    <w:bookmarkEnd w:id="1"/>
    <w:p>
      <w:pPr>
        <w:ind w:left="920" w:right="23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Specimen Stock Certificate (incorporated by reference to Exhibit 4 of the Registrant's Registration Statement on Form S-1,</w:t>
      </w:r>
    </w:p>
    <w:p>
      <w:pPr>
        <w:spacing w:after="0" w:line="3"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File No. 33-45739).</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Ropes &amp; Gray.</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Ernst &amp; Young LLP.</w:t>
      </w:r>
    </w:p>
    <w:p>
      <w:pPr>
        <w:spacing w:after="0" w:line="199" w:lineRule="exact"/>
        <w:rPr>
          <w:sz w:val="20"/>
          <w:szCs w:val="20"/>
          <w:color w:val="auto"/>
        </w:rPr>
      </w:pPr>
    </w:p>
    <w:p>
      <w:pPr>
        <w:ind w:left="920" w:right="243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Ropes &amp; Gray (contained in the opinion filed as Exhibit 5 to this registration statement).</w:t>
      </w:r>
    </w:p>
    <w:p>
      <w:pPr>
        <w:spacing w:after="0" w:line="200" w:lineRule="exact"/>
        <w:rPr>
          <w:sz w:val="20"/>
          <w:szCs w:val="20"/>
          <w:color w:val="auto"/>
        </w:rPr>
      </w:pPr>
    </w:p>
    <w:p>
      <w:pPr>
        <w:ind w:left="920" w:right="22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7"/>
          <w:szCs w:val="17"/>
          <w:color w:val="auto"/>
        </w:rPr>
        <w:t>Powers of Attorney (included in Part II of this registration statement under the caption "Signatures").</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36" w:right="1440" w:bottom="1440" w:gutter="0" w:footer="0" w:header="0"/>
        </w:sectPr>
      </w:pPr>
    </w:p>
    <w:bookmarkStart w:id="2" w:name="page3"/>
    <w:bookmarkEnd w:id="2"/>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393" w:lineRule="exact"/>
        <w:rPr>
          <w:sz w:val="20"/>
          <w:szCs w:val="20"/>
          <w:color w:val="auto"/>
        </w:rPr>
      </w:pPr>
    </w:p>
    <w:p>
      <w:pPr>
        <w:jc w:val="both"/>
        <w:ind w:right="2119" w:firstLine="910"/>
        <w:spacing w:after="0" w:line="260"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Providence, Rhode Island, on May 30, 1997.</w:t>
      </w:r>
    </w:p>
    <w:p>
      <w:pPr>
        <w:spacing w:after="0" w:line="200" w:lineRule="exact"/>
        <w:rPr>
          <w:sz w:val="20"/>
          <w:szCs w:val="20"/>
          <w:color w:val="auto"/>
        </w:rPr>
      </w:pPr>
    </w:p>
    <w:p>
      <w:pPr>
        <w:spacing w:after="0" w:line="372" w:lineRule="exact"/>
        <w:rPr>
          <w:sz w:val="20"/>
          <w:szCs w:val="20"/>
          <w:color w:val="auto"/>
        </w:rPr>
      </w:pPr>
    </w:p>
    <w:p>
      <w:pPr>
        <w:jc w:val="center"/>
        <w:ind w:right="199"/>
        <w:spacing w:after="0"/>
        <w:tabs>
          <w:tab w:leader="none" w:pos="2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Seth A. Rudnick</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Seth A. Rudnick</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Chairman and Chief Executive Officer</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Director</w:t>
      </w:r>
    </w:p>
    <w:p>
      <w:pPr>
        <w:spacing w:after="0" w:line="393"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Each person whose signature appears below constitutes and appoints Seth A. Rudnick and Frederic A. Eustis,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CytoTherapeutics,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98"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below by the following persons in the capacities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Capacity</w:t>
            </w: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rPr>
              <w:t>Date</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060" w:type="dxa"/>
            <w:vAlign w:val="bottom"/>
          </w:tcPr>
          <w:p>
            <w:pPr>
              <w:ind w:left="122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/s/ Seth A. Rudnick</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Chairman, Chief Executive Officer</w:t>
            </w: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w w:val="98"/>
              </w:rPr>
              <w:t>May 30, 1997</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__________________________</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and Director (principal executive</w:t>
            </w:r>
          </w:p>
        </w:tc>
        <w:tc>
          <w:tcPr>
            <w:tcW w:w="1520" w:type="dxa"/>
            <w:vAlign w:val="bottom"/>
          </w:tcPr>
          <w:p>
            <w:pPr>
              <w:spacing w:after="0"/>
              <w:rPr>
                <w:sz w:val="16"/>
                <w:szCs w:val="16"/>
                <w:color w:val="auto"/>
              </w:rPr>
            </w:pP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Seth A. Rudnick</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officer)</w:t>
            </w:r>
          </w:p>
        </w:tc>
        <w:tc>
          <w:tcPr>
            <w:tcW w:w="1520" w:type="dxa"/>
            <w:vAlign w:val="bottom"/>
          </w:tcPr>
          <w:p>
            <w:pPr>
              <w:spacing w:after="0"/>
              <w:rPr>
                <w:sz w:val="16"/>
                <w:szCs w:val="16"/>
                <w:color w:val="auto"/>
              </w:rPr>
            </w:pPr>
          </w:p>
        </w:tc>
      </w:tr>
      <w:tr>
        <w:trPr>
          <w:trHeight w:val="389"/>
        </w:trPr>
        <w:tc>
          <w:tcPr>
            <w:tcW w:w="3340" w:type="dxa"/>
            <w:vAlign w:val="bottom"/>
          </w:tcPr>
          <w:p>
            <w:pPr>
              <w:spacing w:after="0"/>
              <w:rPr>
                <w:sz w:val="20"/>
                <w:szCs w:val="20"/>
                <w:color w:val="auto"/>
              </w:rPr>
            </w:pPr>
            <w:r>
              <w:rPr>
                <w:rFonts w:ascii="Courier New" w:cs="Courier New" w:eastAsia="Courier New" w:hAnsi="Courier New"/>
                <w:sz w:val="17"/>
                <w:szCs w:val="17"/>
                <w:color w:val="auto"/>
              </w:rPr>
              <w:t>/s/ Frederic A. Eustis</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Acting Chief Financial Officer, Vice</w:t>
            </w: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w w:val="98"/>
              </w:rPr>
              <w:t>May 30, 1997</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___________________________</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President, General Counsel, Secretary</w:t>
            </w:r>
          </w:p>
        </w:tc>
        <w:tc>
          <w:tcPr>
            <w:tcW w:w="1520" w:type="dxa"/>
            <w:vAlign w:val="bottom"/>
          </w:tcPr>
          <w:p>
            <w:pPr>
              <w:spacing w:after="0"/>
              <w:rPr>
                <w:sz w:val="16"/>
                <w:szCs w:val="16"/>
                <w:color w:val="auto"/>
              </w:rPr>
            </w:pP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Frederic A. Eustis</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and Treasurer (principal financial</w:t>
            </w:r>
          </w:p>
        </w:tc>
        <w:tc>
          <w:tcPr>
            <w:tcW w:w="1520" w:type="dxa"/>
            <w:vAlign w:val="bottom"/>
          </w:tcPr>
          <w:p>
            <w:pPr>
              <w:spacing w:after="0"/>
              <w:rPr>
                <w:sz w:val="16"/>
                <w:szCs w:val="16"/>
                <w:color w:val="auto"/>
              </w:rPr>
            </w:pPr>
          </w:p>
        </w:tc>
      </w:tr>
      <w:tr>
        <w:trPr>
          <w:trHeight w:val="194"/>
        </w:trPr>
        <w:tc>
          <w:tcPr>
            <w:tcW w:w="3340" w:type="dxa"/>
            <w:vAlign w:val="bottom"/>
          </w:tcPr>
          <w:p>
            <w:pPr>
              <w:spacing w:after="0"/>
              <w:rPr>
                <w:sz w:val="16"/>
                <w:szCs w:val="16"/>
                <w:color w:val="auto"/>
              </w:rPr>
            </w:pP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officer)</w:t>
            </w:r>
          </w:p>
        </w:tc>
        <w:tc>
          <w:tcPr>
            <w:tcW w:w="1520" w:type="dxa"/>
            <w:vAlign w:val="bottom"/>
          </w:tcPr>
          <w:p>
            <w:pPr>
              <w:spacing w:after="0"/>
              <w:rPr>
                <w:sz w:val="16"/>
                <w:szCs w:val="16"/>
                <w:color w:val="auto"/>
              </w:rPr>
            </w:pPr>
          </w:p>
        </w:tc>
      </w:tr>
      <w:tr>
        <w:trPr>
          <w:trHeight w:val="389"/>
        </w:trPr>
        <w:tc>
          <w:tcPr>
            <w:tcW w:w="3340" w:type="dxa"/>
            <w:vAlign w:val="bottom"/>
          </w:tcPr>
          <w:p>
            <w:pPr>
              <w:spacing w:after="0"/>
              <w:rPr>
                <w:sz w:val="20"/>
                <w:szCs w:val="20"/>
                <w:color w:val="auto"/>
              </w:rPr>
            </w:pPr>
            <w:r>
              <w:rPr>
                <w:rFonts w:ascii="Courier New" w:cs="Courier New" w:eastAsia="Courier New" w:hAnsi="Courier New"/>
                <w:sz w:val="17"/>
                <w:szCs w:val="17"/>
                <w:color w:val="auto"/>
              </w:rPr>
              <w:t>/s/ Suzanne Fleming</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Controller (principal accounting</w:t>
            </w: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w w:val="98"/>
              </w:rPr>
              <w:t>May 30, 1997</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___________________________</w:t>
            </w:r>
          </w:p>
        </w:tc>
        <w:tc>
          <w:tcPr>
            <w:tcW w:w="5060" w:type="dxa"/>
            <w:vAlign w:val="bottom"/>
          </w:tcPr>
          <w:p>
            <w:pPr>
              <w:ind w:left="1020"/>
              <w:spacing w:after="0"/>
              <w:rPr>
                <w:sz w:val="20"/>
                <w:szCs w:val="20"/>
                <w:color w:val="auto"/>
              </w:rPr>
            </w:pPr>
            <w:r>
              <w:rPr>
                <w:rFonts w:ascii="Courier New" w:cs="Courier New" w:eastAsia="Courier New" w:hAnsi="Courier New"/>
                <w:sz w:val="17"/>
                <w:szCs w:val="17"/>
                <w:color w:val="auto"/>
              </w:rPr>
              <w:t>officer)</w:t>
            </w:r>
          </w:p>
        </w:tc>
        <w:tc>
          <w:tcPr>
            <w:tcW w:w="1520" w:type="dxa"/>
            <w:vAlign w:val="bottom"/>
          </w:tcPr>
          <w:p>
            <w:pPr>
              <w:spacing w:after="0"/>
              <w:rPr>
                <w:sz w:val="16"/>
                <w:szCs w:val="16"/>
                <w:color w:val="auto"/>
              </w:rPr>
            </w:pP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Suzanne Fleming</w:t>
            </w:r>
          </w:p>
        </w:tc>
        <w:tc>
          <w:tcPr>
            <w:tcW w:w="50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778"/>
        </w:trPr>
        <w:tc>
          <w:tcPr>
            <w:tcW w:w="3340" w:type="dxa"/>
            <w:vAlign w:val="bottom"/>
          </w:tcPr>
          <w:p>
            <w:pPr>
              <w:spacing w:after="0"/>
              <w:rPr>
                <w:sz w:val="24"/>
                <w:szCs w:val="24"/>
                <w:color w:val="auto"/>
              </w:rPr>
            </w:pPr>
          </w:p>
        </w:tc>
        <w:tc>
          <w:tcPr>
            <w:tcW w:w="5060" w:type="dxa"/>
            <w:vAlign w:val="bottom"/>
          </w:tcPr>
          <w:p>
            <w:pPr>
              <w:ind w:left="600"/>
              <w:spacing w:after="0"/>
              <w:rPr>
                <w:sz w:val="20"/>
                <w:szCs w:val="20"/>
                <w:color w:val="auto"/>
              </w:rPr>
            </w:pPr>
            <w:r>
              <w:rPr>
                <w:rFonts w:ascii="Courier New" w:cs="Courier New" w:eastAsia="Courier New" w:hAnsi="Courier New"/>
                <w:sz w:val="17"/>
                <w:szCs w:val="17"/>
                <w:color w:val="auto"/>
              </w:rPr>
              <w:t>-3-</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108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Edwin C. Cadman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Capacity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Date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1997</w:t>
      </w:r>
    </w:p>
    <w:p>
      <w:pPr>
        <w:spacing w:after="0" w:line="11" w:lineRule="exact"/>
        <w:rPr>
          <w:sz w:val="20"/>
          <w:szCs w:val="20"/>
          <w:color w:val="auto"/>
        </w:rPr>
      </w:pPr>
    </w:p>
    <w:p>
      <w:pPr>
        <w:sectPr>
          <w:pgSz w:w="11900" w:h="16838" w:orient="portrait"/>
          <w:cols w:equalWidth="0" w:num="3">
            <w:col w:w="3640" w:space="720"/>
            <w:col w:w="3620" w:space="720"/>
            <w:col w:w="1519"/>
          </w:cols>
          <w:pgMar w:left="240" w:top="1086" w:right="1440" w:bottom="1440" w:gutter="0" w:footer="0" w:header="0"/>
        </w:sect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Edwin C. Cadman</w:t>
      </w:r>
    </w:p>
    <w:p>
      <w:pPr>
        <w:spacing w:after="0" w:line="196" w:lineRule="exact"/>
        <w:rPr>
          <w:sz w:val="20"/>
          <w:szCs w:val="20"/>
          <w:color w:val="auto"/>
        </w:rPr>
      </w:pPr>
    </w:p>
    <w:p>
      <w:pPr>
        <w:spacing w:after="0"/>
        <w:tabs>
          <w:tab w:leader="none" w:pos="4340" w:val="left"/>
          <w:tab w:leader="none" w:pos="8680" w:val="left"/>
        </w:tabs>
        <w:rPr>
          <w:sz w:val="20"/>
          <w:szCs w:val="20"/>
          <w:color w:val="auto"/>
        </w:rPr>
      </w:pPr>
      <w:r>
        <w:rPr>
          <w:rFonts w:ascii="Courier New" w:cs="Courier New" w:eastAsia="Courier New" w:hAnsi="Courier New"/>
          <w:sz w:val="17"/>
          <w:szCs w:val="17"/>
          <w:color w:val="auto"/>
        </w:rPr>
        <w:t>/s/ Donald R. Conklin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Donald R. Conklin</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 Patrick Aebischer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___________________________</w:t>
            </w:r>
          </w:p>
        </w:tc>
        <w:tc>
          <w:tcPr>
            <w:tcW w:w="3380" w:type="dxa"/>
            <w:vAlign w:val="bottom"/>
          </w:tcPr>
          <w:p>
            <w:pPr>
              <w:ind w:left="820"/>
              <w:spacing w:after="0"/>
              <w:rPr>
                <w:sz w:val="20"/>
                <w:szCs w:val="20"/>
                <w:color w:val="auto"/>
              </w:rPr>
            </w:pPr>
            <w:r>
              <w:rPr>
                <w:rFonts w:ascii="Courier New" w:cs="Courier New" w:eastAsia="Courier New" w:hAnsi="Courier New"/>
                <w:sz w:val="17"/>
                <w:szCs w:val="17"/>
                <w:color w:val="auto"/>
              </w:rPr>
              <w:t>Director</w:t>
            </w:r>
          </w:p>
        </w:tc>
        <w:tc>
          <w:tcPr>
            <w:tcW w:w="2540" w:type="dxa"/>
            <w:vAlign w:val="bottom"/>
          </w:tcPr>
          <w:p>
            <w:pPr>
              <w:ind w:left="1780"/>
              <w:spacing w:after="0"/>
              <w:rPr>
                <w:sz w:val="20"/>
                <w:szCs w:val="20"/>
                <w:color w:val="auto"/>
              </w:rPr>
            </w:pPr>
            <w:r>
              <w:rPr>
                <w:rFonts w:ascii="Courier New" w:cs="Courier New" w:eastAsia="Courier New" w:hAnsi="Courier New"/>
                <w:sz w:val="17"/>
                <w:szCs w:val="17"/>
                <w:color w:val="auto"/>
              </w:rPr>
              <w:t>May 30,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Patrick Aebischer</w:t>
            </w:r>
          </w:p>
        </w:tc>
        <w:tc>
          <w:tcPr>
            <w:tcW w:w="33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/s/ Mark J. Levin</w:t>
            </w:r>
          </w:p>
        </w:tc>
        <w:tc>
          <w:tcPr>
            <w:tcW w:w="3380" w:type="dxa"/>
            <w:vAlign w:val="bottom"/>
          </w:tcPr>
          <w:p>
            <w:pPr>
              <w:ind w:left="820"/>
              <w:spacing w:after="0"/>
              <w:rPr>
                <w:sz w:val="20"/>
                <w:szCs w:val="20"/>
                <w:color w:val="auto"/>
              </w:rPr>
            </w:pPr>
            <w:r>
              <w:rPr>
                <w:rFonts w:ascii="Courier New" w:cs="Courier New" w:eastAsia="Courier New" w:hAnsi="Courier New"/>
                <w:sz w:val="17"/>
                <w:szCs w:val="17"/>
                <w:color w:val="auto"/>
              </w:rPr>
              <w:t>Director</w:t>
            </w:r>
          </w:p>
        </w:tc>
        <w:tc>
          <w:tcPr>
            <w:tcW w:w="2540" w:type="dxa"/>
            <w:vAlign w:val="bottom"/>
          </w:tcPr>
          <w:p>
            <w:pPr>
              <w:ind w:left="1780"/>
              <w:spacing w:after="0"/>
              <w:rPr>
                <w:sz w:val="20"/>
                <w:szCs w:val="20"/>
                <w:color w:val="auto"/>
              </w:rPr>
            </w:pPr>
            <w:r>
              <w:rPr>
                <w:rFonts w:ascii="Courier New" w:cs="Courier New" w:eastAsia="Courier New" w:hAnsi="Courier New"/>
                <w:sz w:val="17"/>
                <w:szCs w:val="17"/>
                <w:color w:val="auto"/>
              </w:rPr>
              <w:t>May 30,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Mark J. Levin</w:t>
      </w:r>
    </w:p>
    <w:p>
      <w:pPr>
        <w:spacing w:after="0" w:line="196" w:lineRule="exact"/>
        <w:rPr>
          <w:sz w:val="20"/>
          <w:szCs w:val="20"/>
          <w:color w:val="auto"/>
        </w:rPr>
      </w:pPr>
    </w:p>
    <w:p>
      <w:pPr>
        <w:spacing w:after="0"/>
        <w:tabs>
          <w:tab w:leader="none" w:pos="4340" w:val="left"/>
          <w:tab w:leader="none" w:pos="8680" w:val="left"/>
        </w:tabs>
        <w:rPr>
          <w:sz w:val="20"/>
          <w:szCs w:val="20"/>
          <w:color w:val="auto"/>
        </w:rPr>
      </w:pPr>
      <w:r>
        <w:rPr>
          <w:rFonts w:ascii="Courier New" w:cs="Courier New" w:eastAsia="Courier New" w:hAnsi="Courier New"/>
          <w:sz w:val="17"/>
          <w:szCs w:val="17"/>
          <w:color w:val="auto"/>
        </w:rPr>
        <w:t>/s/ Richard J. Ramsden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Ramsden</w:t>
      </w:r>
    </w:p>
    <w:p>
      <w:pPr>
        <w:spacing w:after="0" w:line="196" w:lineRule="exact"/>
        <w:rPr>
          <w:sz w:val="20"/>
          <w:szCs w:val="20"/>
          <w:color w:val="auto"/>
        </w:rPr>
      </w:pPr>
    </w:p>
    <w:p>
      <w:pPr>
        <w:spacing w:after="0"/>
        <w:tabs>
          <w:tab w:leader="none" w:pos="4340" w:val="left"/>
          <w:tab w:leader="none" w:pos="8680" w:val="left"/>
        </w:tabs>
        <w:rPr>
          <w:sz w:val="20"/>
          <w:szCs w:val="20"/>
          <w:color w:val="auto"/>
        </w:rPr>
      </w:pPr>
      <w:r>
        <w:rPr>
          <w:rFonts w:ascii="Courier New" w:cs="Courier New" w:eastAsia="Courier New" w:hAnsi="Courier New"/>
          <w:sz w:val="17"/>
          <w:szCs w:val="17"/>
          <w:color w:val="auto"/>
        </w:rPr>
        <w:t>/s/ Peter K. Simon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K. Simon</w:t>
      </w:r>
    </w:p>
    <w:p>
      <w:pPr>
        <w:spacing w:after="0" w:line="196" w:lineRule="exact"/>
        <w:rPr>
          <w:sz w:val="20"/>
          <w:szCs w:val="20"/>
          <w:color w:val="auto"/>
        </w:rPr>
      </w:pPr>
    </w:p>
    <w:p>
      <w:pPr>
        <w:spacing w:after="0"/>
        <w:tabs>
          <w:tab w:leader="none" w:pos="4340" w:val="left"/>
          <w:tab w:leader="none" w:pos="8680" w:val="left"/>
        </w:tabs>
        <w:rPr>
          <w:sz w:val="20"/>
          <w:szCs w:val="20"/>
          <w:color w:val="auto"/>
        </w:rPr>
      </w:pPr>
      <w:r>
        <w:rPr>
          <w:rFonts w:ascii="Courier New" w:cs="Courier New" w:eastAsia="Courier New" w:hAnsi="Courier New"/>
          <w:sz w:val="17"/>
          <w:szCs w:val="17"/>
          <w:color w:val="auto"/>
        </w:rPr>
        <w:t>/s/ Sandra Nusinoff Lehrman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Sandra Nusinoff Lehrman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86" w:right="1440" w:bottom="144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6880"/>
        <w:spacing w:after="0"/>
        <w:rPr>
          <w:sz w:val="20"/>
          <w:szCs w:val="20"/>
          <w:color w:val="auto"/>
        </w:rPr>
      </w:pPr>
      <w:r>
        <w:rPr>
          <w:rFonts w:ascii="Courier New" w:cs="Courier New" w:eastAsia="Courier New" w:hAnsi="Courier New"/>
          <w:sz w:val="17"/>
          <w:szCs w:val="17"/>
          <w:color w:val="auto"/>
        </w:rPr>
        <w:t>Exhibit 5.1</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June 16, 1997</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Richmond Square</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This opinion is furnished to you in connection with a registration statement on Form S-8 (the "Registration Statement"), filed with the Securities and Exchange Commission (the "Commission") under the Securities Act of 1933, as amended, for the registration of 100,000 shares of common stock, $.01 par value (the "Shares"), of CytoTherapeutics, Inc. (the "Company") issuable under the Company's 1992 Employee Stock Purchase Plan (the "Plan").</w:t>
      </w:r>
    </w:p>
    <w:p>
      <w:pPr>
        <w:spacing w:after="0" w:line="201"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We have acted as counsel for the Company in connection with the Plan and are familiar with the actions taken by the Company in connection therewith. For purposes of this opinion we have examined the Registration Statement, the Plan, and such other documents as we deemed appropriate.</w:t>
      </w:r>
    </w:p>
    <w:p>
      <w:pPr>
        <w:spacing w:after="0" w:line="199"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Based upon the foregoing, we are of the opinion that the Shares have been duly authorized, and the Shares, when issued and sold in accordance with the terms of the Plan, will be validly issued, fully paid and non-assessable.</w:t>
      </w:r>
    </w:p>
    <w:p>
      <w:pPr>
        <w:spacing w:after="0" w:line="200"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We hereby consent to your filing this opinion as an exhibit to the Registration Statement and to all references to our firm included in or made a part of this Registration Statement.</w:t>
      </w:r>
    </w:p>
    <w:p>
      <w:pPr>
        <w:spacing w:after="0" w:line="198"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/s/ Ropes &amp; Gray</w:t>
      </w:r>
    </w:p>
    <w:p>
      <w:pPr>
        <w:spacing w:after="0" w:line="196"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Ropes &amp; Gray</w:t>
      </w: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23" w:right="1440" w:bottom="1440" w:gutter="0" w:footer="0" w:header="0"/>
        </w:sectPr>
      </w:pPr>
    </w:p>
    <w:bookmarkStart w:id="6" w:name="page7"/>
    <w:bookmarkEnd w:id="6"/>
    <w:p>
      <w:pPr>
        <w:ind w:left="6780"/>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385"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CONSENT OF INDEPENDENT AUDITORS</w:t>
      </w:r>
    </w:p>
    <w:p>
      <w:pPr>
        <w:spacing w:after="0" w:line="393"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(Form S-8) pertaining to the 1992 Employee Stock Purchase Plan of CytoTherapeutics, Inc. of our report dated February 6, 1997, except for Note 17, as to which the date is February 13, 1997, with respect to the consolidated financial statements of CytoTherapeutics, Inc. included in its Annual Report (Form 10-K) for the year ended December 31, 1996, filed with the Securities and Exchange Commission.</w:t>
      </w:r>
    </w:p>
    <w:p>
      <w:pPr>
        <w:spacing w:after="0" w:line="394"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 Ernst &amp; Young LLP</w:t>
      </w:r>
    </w:p>
    <w:p>
      <w:pPr>
        <w:spacing w:after="0" w:line="196"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ERNST &amp; YOUNG LLP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9, 1997</w:t>
      </w: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10"/>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2019-12-13T21:51:54Z</dcterms:created>
  <dcterms:modified xsi:type="dcterms:W3CDTF">2019-12-13T21:51:54Z</dcterms:modified>
</cp:coreProperties>
</file>