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333-128797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E8112D"/>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November 16, 2005)</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11,750,820 Shares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INC. LOGO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We are offering 11,750,820 shares of our common stock pursuant to this prospectus supplement. The common stock will be sold at a negotiated price of</w:t>
      </w:r>
    </w:p>
    <w:p>
      <w:pPr>
        <w:spacing w:after="0" w:line="5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$3.05 per share. Our common stock is quoted on The Nasdaq National Market under the symbol “STEM.” On March 31, 2006, the last reported sales price of our common stock on The Nasdaq National Market was $3.58 per share.</w:t>
      </w:r>
    </w:p>
    <w:p>
      <w:pPr>
        <w:spacing w:after="0" w:line="186"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color w:val="auto"/>
        </w:rPr>
        <w:t>Investing in our common stock involves a high degree of risk. Before buying any shares, you should read the discussion of material risks of investing in our common stock under the heading “Risk factors” beginning on page S-4 of this prospectus supplement.</w:t>
      </w:r>
    </w:p>
    <w:p>
      <w:pPr>
        <w:spacing w:after="0" w:line="145" w:lineRule="exact"/>
        <w:rPr>
          <w:sz w:val="20"/>
          <w:szCs w:val="20"/>
          <w:color w:val="auto"/>
        </w:rPr>
      </w:pPr>
    </w:p>
    <w:p>
      <w:pPr>
        <w:ind w:right="220"/>
        <w:spacing w:after="0" w:line="37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05"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auto"/>
        </w:rPr>
        <w:t>We have retained UBS Securities LLC to act as our exclusive placement agent in connection with the arrangement of this transaction. We have agreed to pay the placement agent the placement agent fees set forth in the table below, which assumes that we sell all of the 11,750,820 shares we are offering. We have also agreed to reimburse the placement agent for certain of its expenses as described under “Plan of distribution” in this prospectus supplement. The placement agent is not required to arrange for the sale of any specific number or dollar amount of shares but will use reasonable efforts to arrange for the sale of all of the shares.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60" w:type="dxa"/>
            <w:vAlign w:val="bottom"/>
          </w:tcPr>
          <w:p>
            <w:pPr>
              <w:jc w:val="right"/>
              <w:ind w:right="143"/>
              <w:spacing w:after="0"/>
              <w:rPr>
                <w:sz w:val="20"/>
                <w:szCs w:val="20"/>
                <w:color w:val="auto"/>
              </w:rPr>
            </w:pPr>
            <w:r>
              <w:rPr>
                <w:rFonts w:ascii="Arial" w:cs="Arial" w:eastAsia="Arial" w:hAnsi="Arial"/>
                <w:sz w:val="14"/>
                <w:szCs w:val="14"/>
                <w:b w:val="1"/>
                <w:bCs w:val="1"/>
                <w:color w:val="auto"/>
              </w:rPr>
              <w:t>Per share</w:t>
            </w:r>
          </w:p>
        </w:tc>
        <w:tc>
          <w:tcPr>
            <w:tcW w:w="540" w:type="dxa"/>
            <w:vAlign w:val="bottom"/>
          </w:tcPr>
          <w:p>
            <w:pPr>
              <w:spacing w:after="0"/>
              <w:rPr>
                <w:sz w:val="14"/>
                <w:szCs w:val="14"/>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b w:val="1"/>
                <w:bCs w:val="1"/>
                <w:color w:val="auto"/>
              </w:rPr>
              <w:t>Total</w:t>
            </w:r>
          </w:p>
        </w:tc>
      </w:tr>
      <w:tr>
        <w:trPr>
          <w:trHeight w:val="201"/>
        </w:trPr>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Offering price</w:t>
            </w:r>
          </w:p>
        </w:tc>
        <w:tc>
          <w:tcPr>
            <w:tcW w:w="35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6"/>
                <w:szCs w:val="16"/>
                <w:color w:val="auto"/>
              </w:rPr>
              <w:t>3.05</w:t>
            </w:r>
          </w:p>
        </w:tc>
        <w:tc>
          <w:tcPr>
            <w:tcW w:w="5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35,840,001</w:t>
            </w:r>
          </w:p>
        </w:tc>
        <w:tc>
          <w:tcPr>
            <w:tcW w:w="100" w:type="dxa"/>
            <w:vAlign w:val="bottom"/>
            <w:tcBorders>
              <w:bottom w:val="single" w:sz="8" w:color="auto"/>
            </w:tcBorders>
          </w:tcPr>
          <w:p>
            <w:pPr>
              <w:spacing w:after="0"/>
              <w:rPr>
                <w:sz w:val="17"/>
                <w:szCs w:val="17"/>
                <w:color w:val="auto"/>
              </w:rPr>
            </w:pPr>
          </w:p>
        </w:tc>
      </w:tr>
      <w:tr>
        <w:trPr>
          <w:trHeight w:val="205"/>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Placement agent fees</w:t>
            </w:r>
          </w:p>
        </w:tc>
        <w:tc>
          <w:tcPr>
            <w:tcW w:w="35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0.183</w:t>
            </w: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2,150,400</w:t>
            </w:r>
          </w:p>
        </w:tc>
        <w:tc>
          <w:tcPr>
            <w:tcW w:w="100" w:type="dxa"/>
            <w:vAlign w:val="bottom"/>
            <w:tcBorders>
              <w:bottom w:val="single" w:sz="8" w:color="auto"/>
            </w:tcBorders>
          </w:tcPr>
          <w:p>
            <w:pPr>
              <w:spacing w:after="0"/>
              <w:rPr>
                <w:sz w:val="17"/>
                <w:szCs w:val="17"/>
                <w:color w:val="auto"/>
              </w:rPr>
            </w:pPr>
          </w:p>
        </w:tc>
      </w:tr>
      <w:tr>
        <w:trPr>
          <w:trHeight w:val="205"/>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Proceeds, before expenses, to us</w:t>
            </w:r>
          </w:p>
        </w:tc>
        <w:tc>
          <w:tcPr>
            <w:tcW w:w="35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2.867</w:t>
            </w: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33,689,601</w:t>
            </w:r>
          </w:p>
        </w:tc>
        <w:tc>
          <w:tcPr>
            <w:tcW w:w="100" w:type="dxa"/>
            <w:vAlign w:val="bottom"/>
            <w:tcBorders>
              <w:bottom w:val="single" w:sz="8" w:color="auto"/>
            </w:tcBorders>
          </w:tcPr>
          <w:p>
            <w:pPr>
              <w:spacing w:after="0"/>
              <w:rPr>
                <w:sz w:val="17"/>
                <w:szCs w:val="17"/>
                <w:color w:val="auto"/>
              </w:rPr>
            </w:pPr>
          </w:p>
        </w:tc>
      </w:tr>
    </w:tbl>
    <w:p>
      <w:pPr>
        <w:spacing w:after="0" w:line="16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expect the total offering expenses, excluding placement agent fees, to be approximately $500,000 for all sales pursuant to this prospectus supplement. Because there is no minimum offering amount required as a condition to the closing of this offering, the actual public offering amount, placement agent fees and proceeds to us are not presently determinable and may be substantially less than the maximum amounts set forth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Delivery of the shares will be made on or about April 6, 2006.</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UBS Investment Bank</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Placement Agent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April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right="8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593090</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t>This prospectus supplement is not complete without, and may not be utilized except in connection with, the accompanying prospectus dated November 16, 2005 and any amendments to such prospectus. This prospectus supplement provides supplemental information regarding us, updates certain information contained in the accompanying prospectus and describes the specific terms of this offering. The accompanying prospectus gives more general information, some of which may not apply to this offering.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You should carefully read both this prospectus supplement and the accompanying prospectus, as well as the additional information described under “Incorporation of certain documents by reference,” before deciding to invest in shares of our common stock.</w:t>
      </w:r>
    </w:p>
    <w:p>
      <w:pPr>
        <w:spacing w:after="0" w:line="4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You should rely only on the information contained and incorporated by reference in this prospectus supplement and the accompanying prospectus. We have not, and the placement agent has not, authorized anyone to give you different or additional information. You should not assume that the information included or incorporated by reference in this prospectus supplement and accompanying prospectus is accurate as of any date after the respective dates of the documents containing the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 w:type="dxa"/>
            <w:vAlign w:val="bottom"/>
          </w:tcPr>
          <w:p>
            <w:pPr>
              <w:spacing w:after="0"/>
              <w:rPr>
                <w:sz w:val="14"/>
                <w:szCs w:val="14"/>
                <w:color w:val="auto"/>
              </w:rPr>
            </w:pPr>
          </w:p>
        </w:tc>
        <w:tc>
          <w:tcPr>
            <w:tcW w:w="10020" w:type="dxa"/>
            <w:vAlign w:val="bottom"/>
            <w:gridSpan w:val="20"/>
            <w:vMerge w:val="restart"/>
          </w:tcPr>
          <w:p>
            <w:pPr>
              <w:spacing w:after="0"/>
              <w:rPr>
                <w:sz w:val="20"/>
                <w:szCs w:val="20"/>
                <w:color w:val="auto"/>
              </w:rPr>
            </w:pPr>
            <w:r>
              <w:rPr>
                <w:rFonts w:ascii="Arial" w:cs="Arial" w:eastAsia="Arial" w:hAnsi="Arial"/>
                <w:sz w:val="18"/>
                <w:szCs w:val="18"/>
                <w:b w:val="1"/>
                <w:bCs w:val="1"/>
                <w:color w:val="0000EE"/>
              </w:rPr>
              <w:t>Prospectus supplement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20" w:type="dxa"/>
            <w:vAlign w:val="bottom"/>
            <w:gridSpan w:val="20"/>
            <w:vMerge w:val="continue"/>
          </w:tcPr>
          <w:p>
            <w:pPr>
              <w:spacing w:after="0"/>
              <w:rPr>
                <w:sz w:val="15"/>
                <w:szCs w:val="15"/>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S-1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2340" w:type="dxa"/>
            <w:vAlign w:val="bottom"/>
            <w:tcBorders>
              <w:bottom w:val="single" w:sz="8" w:color="0000EE"/>
            </w:tcBorders>
            <w:gridSpan w:val="14"/>
          </w:tcPr>
          <w:p>
            <w:pPr>
              <w:spacing w:after="0" w:line="192"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7680" w:type="dxa"/>
            <w:vAlign w:val="bottom"/>
            <w:gridSpan w:val="6"/>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9160" w:type="dxa"/>
            <w:vAlign w:val="bottom"/>
            <w:gridSpan w:val="15"/>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60" w:type="dxa"/>
            <w:vAlign w:val="bottom"/>
            <w:tcBorders>
              <w:bottom w:val="single" w:sz="8" w:color="0000EE"/>
            </w:tcBorders>
            <w:gridSpan w:val="18"/>
          </w:tcPr>
          <w:p>
            <w:pPr>
              <w:spacing w:after="0" w:line="19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Note regarding forward-looking statements</w:t>
              </w:r>
            </w:hyperlink>
          </w:p>
        </w:tc>
        <w:tc>
          <w:tcPr>
            <w:tcW w:w="6960" w:type="dxa"/>
            <w:vAlign w:val="bottom"/>
            <w:gridSpan w:val="2"/>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S-15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S-16</w:t>
            </w: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208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Price range of common stock</w:t>
              </w:r>
            </w:hyperlink>
          </w:p>
        </w:tc>
        <w:tc>
          <w:tcPr>
            <w:tcW w:w="7940" w:type="dxa"/>
            <w:vAlign w:val="bottom"/>
            <w:gridSpan w:val="7"/>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Borders>
              <w:bottom w:val="single" w:sz="8" w:color="0000EE"/>
            </w:tcBorders>
            <w:gridSpan w:val="10"/>
          </w:tcPr>
          <w:p>
            <w:pPr>
              <w:spacing w:after="0" w:line="19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Dividend policy</w:t>
              </w:r>
            </w:hyperlink>
          </w:p>
        </w:tc>
        <w:tc>
          <w:tcPr>
            <w:tcW w:w="8860" w:type="dxa"/>
            <w:vAlign w:val="bottom"/>
            <w:gridSpan w:val="10"/>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S-17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Borders>
              <w:bottom w:val="single" w:sz="8" w:color="0000EE"/>
            </w:tcBorders>
            <w:gridSpan w:val="8"/>
          </w:tcPr>
          <w:p>
            <w:pPr>
              <w:spacing w:after="0" w:line="192"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Capitalization</w:t>
              </w:r>
            </w:hyperlink>
          </w:p>
        </w:tc>
        <w:tc>
          <w:tcPr>
            <w:tcW w:w="9000" w:type="dxa"/>
            <w:vAlign w:val="bottom"/>
            <w:gridSpan w:val="12"/>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S-18</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 w:type="dxa"/>
            <w:vAlign w:val="bottom"/>
            <w:tcBorders>
              <w:bottom w:val="single" w:sz="8" w:color="0000EE"/>
            </w:tcBorders>
            <w:gridSpan w:val="2"/>
          </w:tcPr>
          <w:p>
            <w:pPr>
              <w:spacing w:after="0" w:line="192"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Dilution</w:t>
              </w:r>
            </w:hyperlink>
          </w:p>
        </w:tc>
        <w:tc>
          <w:tcPr>
            <w:tcW w:w="9420" w:type="dxa"/>
            <w:vAlign w:val="bottom"/>
            <w:gridSpan w:val="18"/>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S-19</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80" w:type="dxa"/>
            <w:vAlign w:val="bottom"/>
            <w:tcBorders>
              <w:bottom w:val="single" w:sz="8" w:color="0000EE"/>
            </w:tcBorders>
            <w:gridSpan w:val="11"/>
          </w:tcPr>
          <w:p>
            <w:pPr>
              <w:spacing w:after="0" w:line="192"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Plan of distribution</w:t>
              </w:r>
            </w:hyperlink>
          </w:p>
        </w:tc>
        <w:tc>
          <w:tcPr>
            <w:tcW w:w="8640" w:type="dxa"/>
            <w:vAlign w:val="bottom"/>
            <w:gridSpan w:val="9"/>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S-20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S-22</w:t>
            </w: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tcBorders>
              <w:bottom w:val="single" w:sz="8" w:color="0000EE"/>
            </w:tcBorders>
            <w:gridSpan w:val="19"/>
          </w:tcPr>
          <w:p>
            <w:pPr>
              <w:spacing w:after="0" w:line="192"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Incorporation of certain documents by reference</w:t>
              </w:r>
            </w:hyperlink>
          </w:p>
        </w:tc>
        <w:tc>
          <w:tcPr>
            <w:tcW w:w="66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Borders>
              <w:bottom w:val="single" w:sz="8" w:color="0000EE"/>
            </w:tcBorders>
            <w:gridSpan w:val="6"/>
          </w:tcPr>
          <w:p>
            <w:pPr>
              <w:spacing w:after="0" w:line="192"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Legal matters</w:t>
              </w:r>
            </w:hyperlink>
          </w:p>
        </w:tc>
        <w:tc>
          <w:tcPr>
            <w:tcW w:w="9040" w:type="dxa"/>
            <w:vAlign w:val="bottom"/>
            <w:gridSpan w:val="14"/>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S-24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S-24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sz w:val="20"/>
                <w:szCs w:val="20"/>
                <w:color w:val="auto"/>
              </w:rPr>
            </w:pPr>
            <w:r>
              <w:rPr>
                <w:rFonts w:ascii="Arial" w:cs="Arial" w:eastAsia="Arial" w:hAnsi="Arial"/>
                <w:sz w:val="18"/>
                <w:szCs w:val="18"/>
                <w:b w:val="1"/>
                <w:bCs w:val="1"/>
                <w:color w:val="0000EE"/>
              </w:rPr>
              <w:t>Prospectus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92" w:lineRule="exact"/>
              <w:rPr>
                <w:sz w:val="20"/>
                <w:szCs w:val="20"/>
                <w:color w:val="auto"/>
              </w:rPr>
            </w:pPr>
            <w:r>
              <w:rPr>
                <w:rFonts w:ascii="Arial" w:cs="Arial" w:eastAsia="Arial" w:hAnsi="Arial"/>
                <w:sz w:val="18"/>
                <w:szCs w:val="18"/>
                <w:color w:val="0000EE"/>
                <w:w w:val="88"/>
              </w:rPr>
              <w:t>Summary</w:t>
            </w:r>
          </w:p>
        </w:tc>
        <w:tc>
          <w:tcPr>
            <w:tcW w:w="120" w:type="dxa"/>
            <w:vAlign w:val="bottom"/>
            <w:tcBorders>
              <w:top w:val="single" w:sz="8" w:color="0000EE"/>
            </w:tcBorders>
          </w:tcPr>
          <w:p>
            <w:pPr>
              <w:spacing w:after="0"/>
              <w:rPr>
                <w:sz w:val="16"/>
                <w:szCs w:val="16"/>
                <w:color w:val="auto"/>
              </w:rPr>
            </w:pPr>
          </w:p>
        </w:tc>
        <w:tc>
          <w:tcPr>
            <w:tcW w:w="9200" w:type="dxa"/>
            <w:vAlign w:val="bottom"/>
            <w:gridSpan w:val="16"/>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Borders>
              <w:bottom w:val="single" w:sz="8" w:color="0000EE"/>
            </w:tcBorders>
            <w:gridSpan w:val="6"/>
          </w:tcPr>
          <w:p>
            <w:pPr>
              <w:spacing w:after="0" w:line="192" w:lineRule="exact"/>
              <w:rPr>
                <w:sz w:val="20"/>
                <w:szCs w:val="20"/>
                <w:color w:val="auto"/>
              </w:rPr>
            </w:pPr>
            <w:r>
              <w:rPr>
                <w:rFonts w:ascii="Arial" w:cs="Arial" w:eastAsia="Arial" w:hAnsi="Arial"/>
                <w:sz w:val="18"/>
                <w:szCs w:val="18"/>
                <w:color w:val="0000EE"/>
                <w:w w:val="88"/>
              </w:rPr>
              <w:t>Our company</w:t>
            </w:r>
          </w:p>
        </w:tc>
        <w:tc>
          <w:tcPr>
            <w:tcW w:w="9040" w:type="dxa"/>
            <w:vAlign w:val="bottom"/>
            <w:gridSpan w:val="14"/>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sz w:val="20"/>
                <w:szCs w:val="20"/>
                <w:color w:val="auto"/>
              </w:rPr>
            </w:pPr>
            <w:r>
              <w:rPr>
                <w:rFonts w:ascii="Arial" w:cs="Arial" w:eastAsia="Arial" w:hAnsi="Arial"/>
                <w:sz w:val="18"/>
                <w:szCs w:val="18"/>
                <w:color w:val="0000EE"/>
                <w:w w:val="89"/>
              </w:rPr>
              <w:t>Risk factors</w:t>
            </w:r>
          </w:p>
        </w:tc>
        <w:tc>
          <w:tcPr>
            <w:tcW w:w="9160" w:type="dxa"/>
            <w:vAlign w:val="bottom"/>
            <w:gridSpan w:val="15"/>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sz w:val="20"/>
                <w:szCs w:val="20"/>
                <w:color w:val="auto"/>
              </w:rPr>
            </w:pPr>
            <w:r>
              <w:rPr>
                <w:rFonts w:ascii="Arial" w:cs="Arial" w:eastAsia="Arial" w:hAnsi="Arial"/>
                <w:sz w:val="18"/>
                <w:szCs w:val="18"/>
                <w:color w:val="0000EE"/>
              </w:rPr>
              <w:t>Note regarding forward looking statements</w:t>
            </w: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40" w:type="dxa"/>
            <w:vAlign w:val="bottom"/>
            <w:tcBorders>
              <w:top w:val="single" w:sz="8" w:color="0000EE"/>
            </w:tcBorders>
            <w:gridSpan w:val="17"/>
          </w:tcPr>
          <w:p>
            <w:pPr>
              <w:spacing w:after="0" w:line="192" w:lineRule="exact"/>
              <w:rPr>
                <w:sz w:val="20"/>
                <w:szCs w:val="20"/>
                <w:color w:val="auto"/>
              </w:rPr>
            </w:pPr>
            <w:r>
              <w:rPr>
                <w:rFonts w:ascii="Arial" w:cs="Arial" w:eastAsia="Arial" w:hAnsi="Arial"/>
                <w:sz w:val="18"/>
                <w:szCs w:val="18"/>
                <w:color w:val="0000EE"/>
              </w:rPr>
              <w:t>Use of proceeds</w:t>
            </w:r>
          </w:p>
        </w:tc>
        <w:tc>
          <w:tcPr>
            <w:tcW w:w="6980" w:type="dxa"/>
            <w:vAlign w:val="bottom"/>
            <w:gridSpan w:val="3"/>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380" w:type="dxa"/>
            <w:vAlign w:val="bottom"/>
            <w:tcBorders>
              <w:bottom w:val="single" w:sz="8" w:color="0000EE"/>
            </w:tcBorders>
            <w:gridSpan w:val="11"/>
          </w:tcPr>
          <w:p>
            <w:pPr>
              <w:spacing w:after="0" w:line="192" w:lineRule="exact"/>
              <w:rPr>
                <w:sz w:val="20"/>
                <w:szCs w:val="20"/>
                <w:color w:val="auto"/>
              </w:rPr>
            </w:pPr>
            <w:r>
              <w:rPr>
                <w:rFonts w:ascii="Arial" w:cs="Arial" w:eastAsia="Arial" w:hAnsi="Arial"/>
                <w:sz w:val="18"/>
                <w:szCs w:val="18"/>
                <w:color w:val="0000EE"/>
                <w:w w:val="91"/>
              </w:rPr>
              <w:t>Plan of distribution</w:t>
            </w:r>
          </w:p>
        </w:tc>
        <w:tc>
          <w:tcPr>
            <w:tcW w:w="8640" w:type="dxa"/>
            <w:vAlign w:val="bottom"/>
            <w:gridSpan w:val="9"/>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sz w:val="20"/>
                <w:szCs w:val="20"/>
                <w:color w:val="auto"/>
              </w:rPr>
            </w:pPr>
            <w:r>
              <w:rPr>
                <w:rFonts w:ascii="Arial" w:cs="Arial" w:eastAsia="Arial" w:hAnsi="Arial"/>
                <w:sz w:val="18"/>
                <w:szCs w:val="18"/>
                <w:color w:val="0000EE"/>
              </w:rPr>
              <w:t>Where you can find more information</w:t>
            </w: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sz w:val="20"/>
                <w:szCs w:val="20"/>
                <w:color w:val="auto"/>
              </w:rPr>
            </w:pPr>
            <w:r>
              <w:rPr>
                <w:rFonts w:ascii="Arial" w:cs="Arial" w:eastAsia="Arial" w:hAnsi="Arial"/>
                <w:sz w:val="18"/>
                <w:szCs w:val="18"/>
                <w:color w:val="0000EE"/>
              </w:rPr>
              <w:t>Incorporation of documents by reference</w:t>
            </w: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0000EE"/>
            </w:tcBorders>
            <w:gridSpan w:val="7"/>
          </w:tcPr>
          <w:p>
            <w:pPr>
              <w:spacing w:after="0" w:line="192" w:lineRule="exact"/>
              <w:rPr>
                <w:sz w:val="20"/>
                <w:szCs w:val="20"/>
                <w:color w:val="auto"/>
              </w:rPr>
            </w:pPr>
            <w:r>
              <w:rPr>
                <w:rFonts w:ascii="Arial" w:cs="Arial" w:eastAsia="Arial" w:hAnsi="Arial"/>
                <w:sz w:val="18"/>
                <w:szCs w:val="18"/>
                <w:color w:val="0000EE"/>
                <w:w w:val="91"/>
              </w:rPr>
              <w:t>Legal opinion</w:t>
            </w:r>
          </w:p>
        </w:tc>
        <w:tc>
          <w:tcPr>
            <w:tcW w:w="1880" w:type="dxa"/>
            <w:vAlign w:val="bottom"/>
            <w:tcBorders>
              <w:top w:val="single" w:sz="8" w:color="0000EE"/>
            </w:tcBorders>
            <w:gridSpan w:val="9"/>
          </w:tcPr>
          <w:p>
            <w:pPr>
              <w:spacing w:after="0"/>
              <w:rPr>
                <w:sz w:val="16"/>
                <w:szCs w:val="16"/>
                <w:color w:val="auto"/>
              </w:rPr>
            </w:pPr>
          </w:p>
        </w:tc>
        <w:tc>
          <w:tcPr>
            <w:tcW w:w="7140" w:type="dxa"/>
            <w:vAlign w:val="bottom"/>
            <w:gridSpan w:val="4"/>
          </w:tcPr>
          <w:p>
            <w:pPr>
              <w:spacing w:after="0"/>
              <w:rPr>
                <w:sz w:val="16"/>
                <w:szCs w:val="16"/>
                <w:color w:val="auto"/>
              </w:rPr>
            </w:pP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20" w:type="dxa"/>
            <w:vAlign w:val="bottom"/>
            <w:gridSpan w:val="20"/>
          </w:tcPr>
          <w:p>
            <w:pPr>
              <w:spacing w:after="0" w:line="192" w:lineRule="exact"/>
              <w:rPr>
                <w:sz w:val="20"/>
                <w:szCs w:val="20"/>
                <w:color w:val="auto"/>
              </w:rPr>
            </w:pPr>
            <w:r>
              <w:rPr>
                <w:rFonts w:ascii="Arial" w:cs="Arial" w:eastAsia="Arial" w:hAnsi="Arial"/>
                <w:sz w:val="18"/>
                <w:szCs w:val="18"/>
                <w:color w:val="0000EE"/>
              </w:rPr>
              <w:t>Experts</w:t>
            </w:r>
          </w:p>
        </w:tc>
        <w:tc>
          <w:tcPr>
            <w:tcW w:w="136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26"/>
        </w:trPr>
        <w:tc>
          <w:tcPr>
            <w:tcW w:w="40" w:type="dxa"/>
            <w:vAlign w:val="bottom"/>
            <w:tcBorders>
              <w:bottom w:val="single" w:sz="8" w:color="auto"/>
            </w:tcBorders>
          </w:tcPr>
          <w:p>
            <w:pPr>
              <w:spacing w:after="0"/>
              <w:rPr>
                <w:sz w:val="10"/>
                <w:szCs w:val="10"/>
                <w:color w:val="auto"/>
              </w:rPr>
            </w:pPr>
          </w:p>
        </w:tc>
        <w:tc>
          <w:tcPr>
            <w:tcW w:w="540" w:type="dxa"/>
            <w:vAlign w:val="bottom"/>
            <w:tcBorders>
              <w:top w:val="single" w:sz="8" w:color="0000EE"/>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requires otherwise, the words “StemCells,” “we,” “company,” “us” and “our” refer to StemCells, Inc. and our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0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4154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15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28"/>
          <w:szCs w:val="28"/>
          <w:color w:val="auto"/>
        </w:rPr>
        <w:t>Prospectus supplement summary</w:t>
      </w:r>
    </w:p>
    <w:p>
      <w:pPr>
        <w:spacing w:after="0" w:line="126" w:lineRule="exact"/>
        <w:rPr>
          <w:sz w:val="20"/>
          <w:szCs w:val="20"/>
          <w:color w:val="auto"/>
        </w:rPr>
      </w:pPr>
    </w:p>
    <w:p>
      <w:pPr>
        <w:ind w:left="180"/>
        <w:spacing w:after="0" w:line="271" w:lineRule="auto"/>
        <w:rPr>
          <w:sz w:val="20"/>
          <w:szCs w:val="20"/>
          <w:color w:val="auto"/>
        </w:rPr>
      </w:pPr>
      <w:r>
        <w:rPr>
          <w:rFonts w:ascii="Arial" w:cs="Arial" w:eastAsia="Arial" w:hAnsi="Arial"/>
          <w:sz w:val="17"/>
          <w:szCs w:val="17"/>
          <w:i w:val="1"/>
          <w:iCs w:val="1"/>
          <w:color w:val="auto"/>
        </w:rPr>
        <w:t>This summary highlights selected information appearing elsewhere or incorporated by reference in this prospectus supplement and accompanying prospectus and may not contain all of the information that is important to you. This prospectus supplement and the accompanying prospectus include or incorporate by reference information about the shares we are offering as well as information regarding our business and detailed financial data. You should read this prospectu supplement and the accompanying prospectus in their entirety, including the information incorporated by reference.</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left="180"/>
        <w:spacing w:after="0" w:line="306" w:lineRule="auto"/>
        <w:rPr>
          <w:sz w:val="20"/>
          <w:szCs w:val="20"/>
          <w:color w:val="auto"/>
        </w:rPr>
      </w:pPr>
      <w:r>
        <w:rPr>
          <w:rFonts w:ascii="Arial" w:cs="Arial" w:eastAsia="Arial" w:hAnsi="Arial"/>
          <w:sz w:val="15"/>
          <w:szCs w:val="15"/>
          <w:color w:val="auto"/>
        </w:rPr>
        <w:t>We are focused on the discovery and development of stem cell therapeutics to treat damage to or degeneration of major organ systems such as the central nervou system, liver and pancreas. Our aim is to return patients to productive lives and significantly reduce the substantial health care costs often associated with these diseases and disorders. We seek to identify and purify rare stem cells, develop methods and processes to expand and bank them as transplantable cells, and then demonstrate their safety and efficacy as therapeutic agents. In October 2005, we received clearance from the US Food and Drug Administration (FDA) to initiate a Phase I clinical trial to evaluate the safety and preliminary efficacy of our human neural stem cells (HuCNS-SC</w:t>
      </w:r>
      <w:r>
        <w:rPr>
          <w:rFonts w:ascii="Arial" w:cs="Arial" w:eastAsia="Arial" w:hAnsi="Arial"/>
          <w:sz w:val="9"/>
          <w:szCs w:val="9"/>
          <w:color w:val="auto"/>
        </w:rPr>
        <w:t>TM</w:t>
      </w:r>
      <w:r>
        <w:rPr>
          <w:rFonts w:ascii="Arial" w:cs="Arial" w:eastAsia="Arial" w:hAnsi="Arial"/>
          <w:sz w:val="15"/>
          <w:szCs w:val="15"/>
          <w:color w:val="auto"/>
        </w:rPr>
        <w:t>) as a treatment for infantile and late infantile neuronal ceroid lipofuscinosis (NCL), two forms of a group of disorders often referred to as Batten disease. In March 2006, we received approval from the Institutional Review Board of the Oregon Health &amp; Science University to begin our Phase I clinical trial at OHSU Doernbecher Children’s Hospital in Portland.</w:t>
      </w:r>
    </w:p>
    <w:p>
      <w:pPr>
        <w:spacing w:after="0" w:line="48" w:lineRule="exact"/>
        <w:rPr>
          <w:sz w:val="20"/>
          <w:szCs w:val="20"/>
          <w:color w:val="auto"/>
        </w:rPr>
      </w:pPr>
    </w:p>
    <w:p>
      <w:pPr>
        <w:ind w:left="180"/>
        <w:spacing w:after="0" w:line="250" w:lineRule="auto"/>
        <w:rPr>
          <w:sz w:val="20"/>
          <w:szCs w:val="20"/>
          <w:color w:val="auto"/>
        </w:rPr>
      </w:pPr>
      <w:r>
        <w:rPr>
          <w:rFonts w:ascii="Arial" w:cs="Arial" w:eastAsia="Arial" w:hAnsi="Arial"/>
          <w:sz w:val="18"/>
          <w:szCs w:val="18"/>
          <w:color w:val="auto"/>
        </w:rPr>
        <w:t>Stem cells are cells that can produce all the functional mature cell types found in normal organs of healthy individuals. Progenitor cells are cells that have alread developed from the stem cells, but can still produce one or more types of mature cells within an organ. We use cells derived from donated fetal or adult tissue sources, which are supplied to us in compliance with all applicable state and federal regulations. We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86" w:lineRule="exact"/>
        <w:rPr>
          <w:sz w:val="20"/>
          <w:szCs w:val="20"/>
          <w:color w:val="auto"/>
        </w:rPr>
      </w:pPr>
    </w:p>
    <w:p>
      <w:pPr>
        <w:ind w:left="180" w:right="80"/>
        <w:spacing w:after="0" w:line="251" w:lineRule="auto"/>
        <w:rPr>
          <w:sz w:val="20"/>
          <w:szCs w:val="20"/>
          <w:color w:val="auto"/>
        </w:rPr>
      </w:pPr>
      <w:r>
        <w:rPr>
          <w:rFonts w:ascii="Arial" w:cs="Arial" w:eastAsia="Arial" w:hAnsi="Arial"/>
          <w:sz w:val="18"/>
          <w:szCs w:val="18"/>
          <w:color w:val="auto"/>
        </w:rPr>
        <w:t>We have successfully identified, purified and characterized the human neural stem cell. Our neural stem cell product, HuCNS-SC, is about to begin clinical development for its first indication. We have also identified candidate stem or progenitor cells of the liver and the pancreas. Our candidate liver stem cell, when transplanted into a mouse model of liver degeneration, shows long-term engraftment evidenced by secretion of human hepatic proteins. Based on this data, we plan to develop this cell for potential therapeutic applications to liver diseases.</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245745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believe that, if successfully developed, our stem cell technologies will create the basis for therapies that would address a number of conditions with significant unmet medical needs. Many diseases, such as Alzheimer’s, Parkinson’s, lysosomal storage diseases and other degenerative diseases of the brain or central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55 million people in the United States and account for more than $325 billion annually in health care costs.</w:t>
      </w:r>
      <w:r>
        <w:rPr>
          <w:rFonts w:ascii="Arial" w:cs="Arial" w:eastAsia="Arial" w:hAnsi="Arial"/>
          <w:sz w:val="12"/>
          <w:szCs w:val="12"/>
          <w:color w:val="auto"/>
        </w:rPr>
        <w:t>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We were incorporated in Delaware. Our principal executive offices are located at 3155 Porter Drive, Palo Alto, California 94304, and our telephone number is</w:t>
      </w:r>
    </w:p>
    <w:p>
      <w:pPr>
        <w:spacing w:after="0" w:line="51" w:lineRule="exact"/>
        <w:rPr>
          <w:sz w:val="20"/>
          <w:szCs w:val="20"/>
          <w:color w:val="auto"/>
        </w:rPr>
      </w:pPr>
    </w:p>
    <w:p>
      <w:pPr>
        <w:ind w:right="560" w:firstLine="6"/>
        <w:spacing w:after="0" w:line="248" w:lineRule="auto"/>
        <w:tabs>
          <w:tab w:leader="none" w:pos="42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475-3100. We maintain an Internet website at www.stemcellsinc.com. We have not incorporated by reference into this prospectus supplement or the accompanying prospectus the information in, or that can be accessed through, our website, and you should not consider it to be a part of this prospectus </w:t>
      </w:r>
      <w:r>
        <w:rPr>
          <w:rFonts w:ascii="Arial" w:cs="Arial" w:eastAsia="Arial" w:hAnsi="Arial"/>
          <w:sz w:val="18"/>
          <w:szCs w:val="18"/>
          <w:u w:val="single" w:color="auto"/>
          <w:color w:val="auto"/>
        </w:rPr>
        <w:t>supplement or the accompan</w:t>
      </w:r>
      <w:r>
        <w:rPr>
          <w:rFonts w:ascii="Arial" w:cs="Arial" w:eastAsia="Arial" w:hAnsi="Arial"/>
          <w:sz w:val="18"/>
          <w:szCs w:val="18"/>
          <w:color w:val="auto"/>
        </w:rPr>
        <w:t>ying prospectus.</w:t>
      </w:r>
    </w:p>
    <w:p>
      <w:pPr>
        <w:spacing w:after="0" w:line="22" w:lineRule="exact"/>
        <w:rPr>
          <w:sz w:val="20"/>
          <w:szCs w:val="20"/>
          <w:color w:val="auto"/>
        </w:rPr>
      </w:pPr>
    </w:p>
    <w:p>
      <w:pPr>
        <w:ind w:right="180" w:firstLine="6"/>
        <w:spacing w:after="0" w:line="250" w:lineRule="auto"/>
        <w:tabs>
          <w:tab w:leader="none" w:pos="116" w:val="left"/>
        </w:tabs>
        <w:numPr>
          <w:ilvl w:val="0"/>
          <w:numId w:val="2"/>
        </w:numPr>
        <w:rPr>
          <w:rFonts w:ascii="Arial" w:cs="Arial" w:eastAsia="Arial" w:hAnsi="Arial"/>
          <w:sz w:val="15"/>
          <w:szCs w:val="15"/>
          <w:color w:val="auto"/>
        </w:rPr>
      </w:pPr>
      <w:r>
        <w:rPr>
          <w:rFonts w:ascii="Arial" w:cs="Arial" w:eastAsia="Arial" w:hAnsi="Arial"/>
          <w:sz w:val="18"/>
          <w:szCs w:val="18"/>
          <w:color w:val="auto"/>
        </w:rPr>
        <w:t>This estimate is based on information from the Alzheimer’s Association, the Alzheimer’s Disease Education &amp; Referral Center (National Institute on Aging), the National Institutes of Health’s National Institute on Neurological Disorders and Stroke, the Foundation for Spinal Cord Injury Prevention, Care &amp; Cure, the Centers for Disease Control and Prevention, the Spinal Cord Injury Information Network, the American Association of Diabetes Educators, the Wisconsin Chapter of the Huntington’s Disease Society of America, the Cincinnati Children’s Hospital Medical Center, JAIDs, the American Liver Foundation, the Northwest Parkinson’s Foundation and the Parkinson’s Action Network.</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26"/>
          <w:szCs w:val="26"/>
          <w:color w:val="auto"/>
        </w:rPr>
        <w:t>The offering</w:t>
      </w:r>
    </w:p>
    <w:p>
      <w:pPr>
        <w:sectPr>
          <w:pgSz w:w="11900" w:h="16838" w:orient="portrait"/>
          <w:cols w:equalWidth="0" w:num="1">
            <w:col w:w="11420"/>
          </w:cols>
          <w:pgMar w:left="240" w:top="413" w:right="2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11,750,820 shares</w:t>
      </w:r>
    </w:p>
    <w:p>
      <w:pPr>
        <w:spacing w:after="0" w:line="158" w:lineRule="exact"/>
        <w:rPr>
          <w:sz w:val="20"/>
          <w:szCs w:val="20"/>
          <w:color w:val="auto"/>
        </w:rPr>
      </w:pPr>
    </w:p>
    <w:p>
      <w:pPr>
        <w:sectPr>
          <w:pgSz w:w="11900" w:h="16838" w:orient="portrait"/>
          <w:cols w:equalWidth="0" w:num="2">
            <w:col w:w="2600" w:space="720"/>
            <w:col w:w="8100"/>
          </w:cols>
          <w:pgMar w:left="240" w:top="413" w:right="23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77,146,842 shares</w:t>
      </w:r>
    </w:p>
    <w:p>
      <w:pPr>
        <w:spacing w:after="0" w:line="369" w:lineRule="exact"/>
        <w:rPr>
          <w:sz w:val="20"/>
          <w:szCs w:val="20"/>
          <w:color w:val="auto"/>
        </w:rPr>
      </w:pPr>
    </w:p>
    <w:p>
      <w:pPr>
        <w:sectPr>
          <w:pgSz w:w="11900" w:h="16838" w:orient="portrait"/>
          <w:cols w:equalWidth="0" w:num="2">
            <w:col w:w="3000" w:space="320"/>
            <w:col w:w="8100"/>
          </w:cols>
          <w:pgMar w:left="240" w:top="413"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40"/>
        <w:spacing w:after="0" w:line="254"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product development and capital expenditures, as well as acquisitions and other strategic purposes. See “Use of proceeds.”</w:t>
      </w:r>
    </w:p>
    <w:p>
      <w:pPr>
        <w:spacing w:after="0" w:line="97" w:lineRule="exact"/>
        <w:rPr>
          <w:sz w:val="20"/>
          <w:szCs w:val="20"/>
          <w:color w:val="auto"/>
        </w:rPr>
      </w:pPr>
    </w:p>
    <w:p>
      <w:pPr>
        <w:sectPr>
          <w:pgSz w:w="11900" w:h="16838" w:orient="portrait"/>
          <w:cols w:equalWidth="0" w:num="2">
            <w:col w:w="2600" w:space="720"/>
            <w:col w:w="8100"/>
          </w:cols>
          <w:pgMar w:left="240" w:top="413" w:right="239" w:bottom="1440" w:gutter="0" w:footer="0" w:header="0"/>
          <w:type w:val="continuous"/>
        </w:sectPr>
      </w:pPr>
    </w:p>
    <w:p>
      <w:pPr>
        <w:spacing w:after="0"/>
        <w:rPr>
          <w:sz w:val="20"/>
          <w:szCs w:val="20"/>
          <w:color w:val="auto"/>
        </w:rPr>
      </w:pPr>
      <w:r>
        <w:rPr>
          <w:rFonts w:ascii="Arial" w:cs="Arial" w:eastAsia="Arial" w:hAnsi="Arial"/>
          <w:sz w:val="15"/>
          <w:szCs w:val="15"/>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STEM</w:t>
      </w:r>
    </w:p>
    <w:p>
      <w:pPr>
        <w:spacing w:after="0" w:line="122" w:lineRule="exact"/>
        <w:rPr>
          <w:sz w:val="20"/>
          <w:szCs w:val="20"/>
          <w:color w:val="auto"/>
        </w:rPr>
      </w:pPr>
    </w:p>
    <w:p>
      <w:pPr>
        <w:sectPr>
          <w:pgSz w:w="11900" w:h="16838" w:orient="portrait"/>
          <w:cols w:equalWidth="0" w:num="2">
            <w:col w:w="2600" w:space="720"/>
            <w:col w:w="8100"/>
          </w:cols>
          <w:pgMar w:left="240" w:top="413" w:right="239" w:bottom="1440" w:gutter="0" w:footer="0" w:header="0"/>
          <w:type w:val="continuous"/>
        </w:sectPr>
      </w:pPr>
    </w:p>
    <w:p>
      <w:pPr>
        <w:ind w:right="20"/>
        <w:spacing w:after="0" w:line="264"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65,396,022 shares outstanding as of December 31, 2005 and excludes:</w:t>
      </w:r>
    </w:p>
    <w:p>
      <w:pPr>
        <w:spacing w:after="0" w:line="74" w:lineRule="exact"/>
        <w:rPr>
          <w:sz w:val="20"/>
          <w:szCs w:val="20"/>
          <w:color w:val="auto"/>
        </w:rPr>
      </w:pPr>
    </w:p>
    <w:p>
      <w:pPr>
        <w:ind w:left="180" w:hanging="174"/>
        <w:spacing w:after="0"/>
        <w:tabs>
          <w:tab w:leader="none" w:pos="180" w:val="left"/>
        </w:tabs>
        <w:numPr>
          <w:ilvl w:val="0"/>
          <w:numId w:val="3"/>
        </w:numPr>
        <w:rPr>
          <w:rFonts w:ascii="Arial" w:cs="Arial" w:eastAsia="Arial" w:hAnsi="Arial"/>
          <w:sz w:val="15"/>
          <w:szCs w:val="15"/>
          <w:color w:val="auto"/>
        </w:rPr>
      </w:pPr>
      <w:r>
        <w:rPr>
          <w:rFonts w:ascii="Arial" w:cs="Arial" w:eastAsia="Arial" w:hAnsi="Arial"/>
          <w:sz w:val="15"/>
          <w:szCs w:val="15"/>
          <w:color w:val="auto"/>
        </w:rPr>
        <w:t>6,608,109 shares of our common stock subject to options outstanding as of December 31, 2005 having a weighted average exercise price of $3.02 per share;</w:t>
      </w:r>
    </w:p>
    <w:p>
      <w:pPr>
        <w:spacing w:after="0" w:line="158" w:lineRule="exact"/>
        <w:rPr>
          <w:rFonts w:ascii="Arial" w:cs="Arial" w:eastAsia="Arial" w:hAnsi="Arial"/>
          <w:sz w:val="15"/>
          <w:szCs w:val="15"/>
          <w:color w:val="auto"/>
        </w:rPr>
      </w:pPr>
    </w:p>
    <w:p>
      <w:pPr>
        <w:ind w:left="180" w:right="140" w:hanging="174"/>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1,583,543 shares of our common stock that have been reserved for issuance in connection with future grants under our stock option plans as of December 31, 2005; and</w:t>
      </w:r>
    </w:p>
    <w:p>
      <w:pPr>
        <w:spacing w:after="0" w:line="87" w:lineRule="exact"/>
        <w:rPr>
          <w:rFonts w:ascii="Arial" w:cs="Arial" w:eastAsia="Arial" w:hAnsi="Arial"/>
          <w:sz w:val="18"/>
          <w:szCs w:val="18"/>
          <w:color w:val="auto"/>
        </w:rPr>
      </w:pPr>
    </w:p>
    <w:p>
      <w:pPr>
        <w:ind w:left="180" w:right="40" w:hanging="174"/>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2,521,400 shares of our common stock that have been reserved for issuance upon exercise of outstanding warrants as of December 31, 2005 having a weighted average exercise price of $1.92 per share.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Risk factors</w:t>
      </w:r>
    </w:p>
    <w:p>
      <w:pPr>
        <w:spacing w:after="0" w:line="126" w:lineRule="exact"/>
        <w:rPr>
          <w:sz w:val="20"/>
          <w:szCs w:val="20"/>
          <w:color w:val="auto"/>
        </w:rPr>
      </w:pPr>
    </w:p>
    <w:p>
      <w:pPr>
        <w:jc w:val="both"/>
        <w:ind w:right="220"/>
        <w:spacing w:after="0" w:line="317" w:lineRule="auto"/>
        <w:rPr>
          <w:sz w:val="20"/>
          <w:szCs w:val="20"/>
          <w:color w:val="auto"/>
        </w:rPr>
      </w:pPr>
      <w:r>
        <w:rPr>
          <w:rFonts w:ascii="Arial" w:cs="Arial" w:eastAsia="Arial" w:hAnsi="Arial"/>
          <w:sz w:val="15"/>
          <w:szCs w:val="15"/>
          <w:i w:val="1"/>
          <w:iCs w:val="1"/>
          <w:color w:val="auto"/>
        </w:rPr>
        <w:t>Investing in our common stock involves a high degree of risk. In addition to the risks related to our business set forth in the accompanying prospectus and the other information included and incorporated by reference in this prospectus supplement and accompanying prospectus, you should carefully consider the risks described below before purchasing our common stock. If any of the following risks actually occurs, our business, results of operations and financial condition will likely suffer. As a result, the trading price of our common stock may decline, and you might lose part or all of your investment.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5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Any adverse development in the initial clinical trial for our stem cell technology could substantially depress our stock price and prevent us from raising the capital we will need to further develop our stem cell technology.</w:t>
      </w:r>
    </w:p>
    <w:p>
      <w:pPr>
        <w:spacing w:after="0" w:line="6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To an unusual extent, our ability to progress as a company is significantly dependent on a single early stage clinical trial. Any clinical, regulatory or other development that prevents or delays us from conducting our initial clinical trial for Batten disease, or any safety issue or adverse side effect to any patient that occurs during the trial, or the failure of this initial trial to enroll patients and proceed to completion as anticipated or to show the results expected by investors, would likely significantly depress our stock price and could prevent us from raising the substantial additional capital we will require to further develop our stem cell technologies.</w:t>
      </w:r>
    </w:p>
    <w:p>
      <w:pPr>
        <w:spacing w:after="0" w:line="18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Our financial situation is precarious and, based on currently estimated operating expenses, our existing capital resources may not be sufficient to fund our operations beyond the next eighteen months.</w:t>
      </w:r>
    </w:p>
    <w:p>
      <w:pPr>
        <w:spacing w:after="0" w:line="6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and increasing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maintaining and enforcing our intellectual property portfolio,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the next eighteen months. We intend to pursue opportunities to obtain additional financing in the future through equity and debt financings, corporate alliances,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development programs are based on novel technologies and are inherently risky.</w:t>
      </w:r>
    </w:p>
    <w:p>
      <w:pPr>
        <w:spacing w:after="0" w:line="11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are subject to the risks of failure inherent in the development of products based on new technologies. The novel nature of the therapies creates significant challenges in regards to product development and optimization, manufacturing, government regulation, third party reimbursement and market acceptance. For example, the FDA has relatively little experience with stem cell-based therapeutics, and the pathway to regulatory approval for our product candidates may accordingly be more complex and lengthy than the pathway for new conventional drugs. These challenges may prevent us from developing and commercializing products on a timely or profitable basis or at all.</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technology is at an early stage of discovery and development, and we may fail to develop any commercially acceptable or profitable products.</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yet to develop any products. Before we may market any product, we must obtain regulatory approval from the FDA and equivalent foreign agencies after conducting extensive preclinical studies and clinical trials that demonstrate that our product candidates are safe and effective for each disease for which we seek approval. We have no experience in conducting clinical trials. We expect that none of our cellular therapy product candidates will be commercially available for several years, if at all.</w:t>
      </w:r>
    </w:p>
    <w:p>
      <w:pPr>
        <w:spacing w:after="0" w:line="8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programs are still at the preclinical phase for our candidate human liver stem cell, and at the discovery phase for our candidate human pancreas stem cell. While the US Food and Drug Administration (FDA) has permitted us to go forward with our proposed Phase I clinical trial of our proprietary neural stem cell therapy product— HuCNS SC— in Batten disease, and the Institutional Review Board of the Oregon Health &amp; Science University has approved the protocol, that trial has not yet enrolled or treated any patients and there can be no assurance that the clinical investigators will be able to identify suitable candidates for the trial or of a successful outcome of the trial if candidates are enrolled. We may fail to discover the stem cells we are seeking, to develop any products, to obtain regulatory approvals, to enter clinical trials, or to commercialize any products. We may elect to delay or discontinue preclinical studies or clinical trials based on unfavorable results. Any product using stem cell technology may fail to:</w:t>
      </w:r>
    </w:p>
    <w:p>
      <w:pPr>
        <w:spacing w:after="0" w:line="77" w:lineRule="exact"/>
        <w:rPr>
          <w:sz w:val="20"/>
          <w:szCs w:val="20"/>
          <w:color w:val="auto"/>
        </w:rPr>
      </w:pPr>
    </w:p>
    <w:p>
      <w:pPr>
        <w:ind w:left="180" w:hanging="17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1"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In addition, our products may cause undesirable side effects. Results of preclinical research may not be indicative of the results that will be obtained in later stages of preclinical or clinical research. If regulatory authorities do not approve our products or if we fail to maintain regulatory compliance, we would be unable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8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infection, cancer, cardiovascular disease, renal dysfunction and other side effects depending upon which immunosuppressive regimen is employed.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Immunosuppression has not been tested with our therapies since we have not yet conducted any clinical trials.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success will depend in large part on our ability to develop and commercialize products that treat diseases other than Batten disease.</w:t>
      </w:r>
    </w:p>
    <w:p>
      <w:pPr>
        <w:spacing w:after="0" w:line="12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Although we have initially focused on evaluating our neural cell therapy product for the treatment of infantile and late infantile forms of NCL (Batten disease), this disease is rare, and the market for treating this disease is small. Accordingly, even if we obtain marketing approval for HuCNS-SC for Batten disease, in order to achieve profitability, if at all, we will need to obtain approval for HuCNS-SC and other potential products to treat additional diseases that present more significant market opportunities.</w:t>
      </w:r>
    </w:p>
    <w:p>
      <w:pPr>
        <w:spacing w:after="0" w:line="18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We have payment obligations resulting from real property owned or leased by us in Rhode Island, which diverts funding from our stem cell research and development.</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Prior to our reorganization in 1999 and the consolidation of our business in California, we carried out our former encapsulated cell therapy programs in Lincoln,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Rhode Island, where we also had our administrative offices. Although we have vacated the Rhode Island facilities, we remain obligated to make lease payments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payments for operating costs for our former science and administrative facility, which we have leased through June 30, 2013. These costs, before sub-tenant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rental income, amounted to approximately $1,450,000 in 2005; our rent payments will increase over the term of the lease, and our operating costs may increase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 well. In addition to these costs of our former science and administrative facility, we are obligated to make debt service payments and payments for operating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costs of approximately $450,000 per year for our former encapsulated cell therapy pilot manufacturing facility, which we own. We have currently subleased 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portion of the science and administrative facility, and are seeking to sublease the remaining portion, but we cannot be sure that we will be able to keep any part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facility subleased for the duration of our obligation. We have currently subleased the entire pilot manufacturing facility to a privately-held biotechnology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company, but may not be able to sublease or sell the facility in the future once the current sublease agreements expire. These continuing costs significantly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reduce our cash resources and adversely affect our ability to fund further development of our stem cell technology. In addition, changes in real estate market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conditions and assumptions regarding the length of time it may take us to either fully sublease, assign or sell our remaining interest in the our former research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facility in Rhode Island may have a significant impact on and cause large variations in our quarter to quarter results of operations. In 1999, in connection with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exiting our former research facility in Rhode Island, we created a reserve for the estimated lease payments and operating expenses related to it. The reserve is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periodically re-evaluated and adjusted based on assumptions relevant to real estate market conditions and the estimated time until we can either fully sublease,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assign or sell our remaining interests in the property. At December 31, 2005, the reserve was $7,306,000. In 2005 and 2004, we incurred $1,079,000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$1,152,000 in operating expenses net of sub-tenant income for this facility. Expenses for this facility will fluctuate based on changes in tenant occupancy rates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other operating expenses related to the lease. Even though it is our intent to sublease, assign, sell or otherwise divest ourselves of our interests in the facility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at the earliest possible time, we cannot determine with certainty a fixed date by which such events will occur. In light of this uncertainty, based on estimates, we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will periodically re-evaluate and adjust the reserve, as necessary, and we may make significant adverse adjustments to the reserve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but fail to obtain partners to support our stem cell development efforts and to commercialize our technology.</w:t>
      </w:r>
    </w:p>
    <w:p>
      <w:pPr>
        <w:spacing w:after="0" w:line="117"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5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Because the patient population for NCL, or Batten disease, is very small, we may encounter difficulties in enrolling subjects in our first planned clinical trial.</w:t>
      </w:r>
    </w:p>
    <w:p>
      <w:pPr>
        <w:spacing w:after="0" w:line="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first clinical application we are pursuing— NCL (also known as Batten disease)— has a very small patient population. From this small population, we must locate and enroll patients that satisfy the specific enrollment criteria for our planned clinical trial for this indication. This clinical trial may be delayed significantly or terminated if we are unable to enroll a sufficient number of qualified patients.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may fail to obtain revenues or become profitable.</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our patents and proprietary rights, our business, financial condition and results of operations will be harmed.</w:t>
      </w:r>
    </w:p>
    <w:p>
      <w:pPr>
        <w:spacing w:after="0" w:line="128"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or reduce their scope. In the event that a third party has also filed a patent application relating to inventions claimed in our patent applications, we may have to participate in proceedings to determine priority of invention. Even if a patent issues, a court could decide that the patent was issued invalidly. Because patents issue for a limited term, our patents may expire before we utilize them profitably. Our most important patents begin to expire in 2015.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One party has opposed two of our granted European patents. Both oppositions were heard in 2005, and the patents were maintained in somewhat altered form. The time for appeal has not yet run and there can be no assurance that the opposing party will not appeal. While we are confident that, should the decision be appealed by the opposing party, it will be upheld, there can be no guarantee of this. If we are ultimately unsuccessful in our defense of the opposed patents, all claimed rights in the opposed patents will be lost in Europe. US counterparts to these patents are part of our issued patent portfolio; they are not subject to opposition, since that procedure does not exist under US patent law, but other types of proceedings may be available to third parties to contest our US patents. See “Item 1. Business— Patents, Proprietary Rights and Licences” and “Item 3. Legal proceedings” in our Annual Report on Form 10-K for our fiscal year ending December 31, 2005.</w:t>
      </w:r>
    </w:p>
    <w:p>
      <w:pPr>
        <w:spacing w:after="0" w:line="272" w:lineRule="exact"/>
        <w:rPr>
          <w:sz w:val="20"/>
          <w:szCs w:val="20"/>
          <w:color w:val="auto"/>
        </w:rPr>
      </w:pPr>
    </w:p>
    <w:p>
      <w:pPr>
        <w:ind w:right="260"/>
        <w:spacing w:after="0" w:line="364" w:lineRule="auto"/>
        <w:rPr>
          <w:sz w:val="20"/>
          <w:szCs w:val="20"/>
          <w:color w:val="auto"/>
        </w:rPr>
      </w:pPr>
      <w:r>
        <w:rPr>
          <w:rFonts w:ascii="Arial" w:cs="Arial" w:eastAsia="Arial" w:hAnsi="Arial"/>
          <w:sz w:val="15"/>
          <w:szCs w:val="15"/>
          <w:color w:val="auto"/>
        </w:rPr>
        <w:t>If we learn of third parties who infringe our patent rights, we may need to initiate legal proceedings to enforce our patent rights. These proceedings may entail significant costs, and these third parties may have significantly greater financial resources than us. We may not prevail in these proceedings.</w:t>
      </w:r>
    </w:p>
    <w:p>
      <w:pPr>
        <w:spacing w:after="0" w:line="6"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others are first to discover and patent the stem cells we are seeking to discover, we could be blocked from further work on those stem cells.</w:t>
      </w:r>
    </w:p>
    <w:p>
      <w:pPr>
        <w:spacing w:after="0" w:line="15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obtain necessary licenses to third-party patents and other rights, we may not be able to commercially develop our expected products.</w:t>
      </w:r>
    </w:p>
    <w:p>
      <w:pPr>
        <w:spacing w:after="0" w:line="15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 number of pharmaceutical, biotechnology and other companies, universities and research institutions have filed patent applications or have received patents relating to cell therapy, stem cells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technologies potentially relevant to or necessary for our expected products. We cannot predict which, if any, of the applications will issue as patents, and there may be existing patents of which we are currently unaware which the commercialization of our product candidates would infringe. If third party patents or patent applications contain valid claims that our technology infringes upon their technology, we may be prevented from commercializing that technology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w:t>
      </w:r>
    </w:p>
    <w:p>
      <w:pPr>
        <w:spacing w:after="0" w:line="77"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We are aware of intellectual property rights held by third parties that relate to products or technologies we are developing. For example, some aspects of our stem cell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 Also, if we use alternative non-infringing technology, we may need to demonstrate comparability in subsequent clinical trials.</w:t>
      </w:r>
    </w:p>
    <w:p>
      <w:pPr>
        <w:spacing w:after="0" w:line="5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compete with companies that have significant advantages over us.</w:t>
      </w:r>
    </w:p>
    <w:p>
      <w:pPr>
        <w:spacing w:after="0" w:line="117"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 Schering AG. Finally, we also expect to compete with smaller biotechnology companies, such as NeuralStem, Geron, NeuroNova, ReNeuron, and ES Cell International, some of which are privately owned.</w:t>
      </w:r>
    </w:p>
    <w:p>
      <w:pPr>
        <w:spacing w:after="0" w:line="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believe that our human neural stem cells may have application to many or most of the Lysosomal Storage Diseases (“LSDs”) with CNS involvement. We have received FDA approval for our first IND to treat the infantile and late infantile forms of NCL (also known as Batten disease), which are among the LSDs that affect the CNS, and our Phase I clinical trial is expected to begin at Doernbecher Children’s Hospital at Oregon Health &amp; Safety University. There can be no assurance that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demonstrate either safety or efficacy of our HuCNS-SC. There are, so far as we know, no approved therapies for Batten disease or any of the other CNS-specific LSDs, but other companies, including Genzyme, BioMarin, and Shire, have products approved to treat peripheral aspects of some of the other LSDs, and other products are in clinical trials.</w:t>
      </w:r>
    </w:p>
    <w:p>
      <w:pPr>
        <w:spacing w:after="0" w:line="84" w:lineRule="exact"/>
        <w:rPr>
          <w:sz w:val="20"/>
          <w:szCs w:val="20"/>
          <w:color w:val="auto"/>
        </w:rPr>
      </w:pPr>
    </w:p>
    <w:p>
      <w:pPr>
        <w:ind w:right="100"/>
        <w:spacing w:after="0" w:line="329" w:lineRule="auto"/>
        <w:rPr>
          <w:sz w:val="20"/>
          <w:szCs w:val="20"/>
          <w:color w:val="auto"/>
        </w:rPr>
      </w:pPr>
      <w:r>
        <w:rPr>
          <w:rFonts w:ascii="Arial" w:cs="Arial" w:eastAsia="Arial" w:hAnsi="Arial"/>
          <w:sz w:val="15"/>
          <w:szCs w:val="15"/>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In addition, new therapies may become available before we successfully develop a cell-based therapy for liver disease.</w:t>
      </w:r>
    </w:p>
    <w:p>
      <w:pPr>
        <w:spacing w:after="0" w:line="31" w:lineRule="exact"/>
        <w:rPr>
          <w:sz w:val="20"/>
          <w:szCs w:val="20"/>
          <w:color w:val="auto"/>
        </w:rPr>
      </w:pPr>
    </w:p>
    <w:p>
      <w:pPr>
        <w:ind w:right="520"/>
        <w:spacing w:after="0" w:line="329" w:lineRule="auto"/>
        <w:rPr>
          <w:sz w:val="20"/>
          <w:szCs w:val="20"/>
          <w:color w:val="auto"/>
        </w:rPr>
      </w:pPr>
      <w:r>
        <w:rPr>
          <w:rFonts w:ascii="Arial" w:cs="Arial" w:eastAsia="Arial" w:hAnsi="Arial"/>
          <w:sz w:val="15"/>
          <w:szCs w:val="15"/>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our technology is subject to and restricted by extensive government regulation, which could impede our business.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6"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We base our research and development on the use of human stem and progenitor cells obtained from fetal tissue. The federal and state governments and other jurisdictions impose restrictions on the use of fetal tissue, including those incorporated in the recent federal current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that is, sources that follow all state and federal guidelines for cell procurement. Certain components used to manufacture our stem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4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concerns regarding research using embryonic stem cells will negatively impact our stock price and our ability to attract collaborators and investors.</w:t>
      </w:r>
    </w:p>
    <w:p>
      <w:pPr>
        <w:spacing w:after="0" w:line="12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obtain orphan drug status with respect to a potential product.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services of key personnel.</w:t>
      </w:r>
    </w:p>
    <w:p>
      <w:pPr>
        <w:spacing w:after="0" w:line="117"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 of our liver stem cell program.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activities involve hazardous materials and experimental animal testing; improper handling of these animals and materials by our employees or agents could expose us to significant legal and financial penalties.</w:t>
      </w:r>
    </w:p>
    <w:p>
      <w:pPr>
        <w:spacing w:after="0" w:line="7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research and development activities involve the controlled use of hazardous chemicals and potentially hazardous biological materials such as human tissue and animals. Their use subjects us to environmental and safety laws and regulations such as those governing laboratory procedures, exposure to blood-borne pathogens, use of animals and the handling of biohazardous materials. Compliance with current or future laws and regulations may be expensive and the cost of compliance could adversely affect us.</w:t>
      </w:r>
    </w:p>
    <w:p>
      <w:pPr>
        <w:spacing w:after="0" w:line="8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7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The manufacture, development and commercialization of stem cell products expose us to product liability claims, which could lead to substantial liability.</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entail substantial litigation costs and damage awards against us. We are in the process of obtaining liability insurance that covers our clinical trials, and we will need to increase our insurance coverage if and when we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commercializing products. We may not be able to obtain insurance on acceptable terms, if at all, and the policy limits on our insurance policies may be insufficient to cover our liability.</w:t>
      </w:r>
    </w:p>
    <w:p>
      <w:pPr>
        <w:spacing w:after="0" w:line="17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Since health care insurers and other organizations may not pay for our products or may impose limits on reimbursements, our ability to become profitable could be reduced.</w:t>
      </w:r>
    </w:p>
    <w:p>
      <w:pPr>
        <w:spacing w:after="0" w:line="6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366"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color w:val="auto"/>
        </w:rPr>
        <w:t>We have limited liquidity and capital resources and may not obtain the significant capital resources we will need to sustain our research and development efforts.</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maintaining and enforcing our intellectually property portfolio,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Ethical and other concerns surrounding the use of stem cell therapy may negatively affect regulatory approval or public perception of our product candidates, which could reduce demand for our products.</w:t>
      </w:r>
    </w:p>
    <w:p>
      <w:pPr>
        <w:spacing w:after="0" w:line="6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commercializing products. Government regulation and threatened regulation of embryonic tissue could also harm our ability to attract and retain qualified scientific personnel by causing top researchers to leave the country or the field of stem cell research altogether; and by encouraging the best graduate students to choose other fields that are less vulnerable to changes in regulatory oversight.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Our corporate documents and Delaware law contain provisions that may make it difficult for us to be acquired in a transaction that would be beneficial to our shareholders.</w:t>
      </w:r>
    </w:p>
    <w:p>
      <w:pPr>
        <w:spacing w:after="0" w:line="6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Our board of directors has the authority to issue shares of preferred stock and to fix the rights, preferences, privileges and restrictions of these shares without shareholder approval. In addition, we have adopted a rights plan that generally permits our existing shareholders to acquire additional shares at a substantial discount to the market price in the event of certain attempts by third parties to acquire us. These rights, along with certain provisions in our corporate documents and Delaware law, may make it more difficult for a third party to acquire us or discourage a third party from attempting to acquire us, even if the acquisition might be beneficial to our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5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Our stock price has been, and will likely continue to be, highly volatile, which may negatively affect our ability to obtain additional financing in the future.</w:t>
      </w:r>
    </w:p>
    <w:p>
      <w:pPr>
        <w:spacing w:after="0" w:line="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74" w:lineRule="exact"/>
        <w:rPr>
          <w:sz w:val="20"/>
          <w:szCs w:val="20"/>
          <w:color w:val="auto"/>
        </w:rPr>
      </w:pPr>
    </w:p>
    <w:p>
      <w:pPr>
        <w:ind w:left="180" w:hanging="17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test our technology;</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patent or obtain licenses to necessary technology;</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comments by securities analysts, or our failure to meet market expectations.</w:t>
      </w:r>
    </w:p>
    <w:p>
      <w:pPr>
        <w:spacing w:after="0" w:line="1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September 2005 the Nasdaq Stock Market approved our application to move the listing of our common stock from the Nasdaq Capital Market (previously known as the Nasdaq SmallCap Market) to the Nasdaq National Market. The stock began trading on the Nasdaq National Market on September 30, 2005 under the same symbol, STEM. Over the two-year period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9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spacing w:after="0" w:line="364" w:lineRule="auto"/>
        <w:rPr>
          <w:sz w:val="20"/>
          <w:szCs w:val="20"/>
          <w:color w:val="auto"/>
        </w:rPr>
      </w:pPr>
      <w:r>
        <w:rPr>
          <w:rFonts w:ascii="Arial" w:cs="Arial" w:eastAsia="Arial" w:hAnsi="Arial"/>
          <w:sz w:val="15"/>
          <w:szCs w:val="15"/>
          <w:color w:val="auto"/>
        </w:rPr>
        <w:t>2005, the closing price of our common stock as reported on the Nasdaq Markets ranged from a high of $6.77 to a low of $1.24. As a result of this volatility, your investment in our stock is subject to substantial risk. Furthermore, the volatility of our stock price could negatively impact our ability to raise capital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contractually obligated to issue shares in the future, diluting the interest of current shareholders.</w:t>
      </w:r>
    </w:p>
    <w:p>
      <w:pPr>
        <w:spacing w:after="0" w:line="11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As of December 31, 2005, there were outstanding warrants to purchase 2,521,400 shares of our common stock, at a weighted average exercise price of $1.92 per share. As of December 31, 2005, there were also outstanding options to purchase 6,608,109 shares of our common stock, at a weighted average exercise price of $3.02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Note regarding forward-looking statements</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This prospectus supplement, the accompanying prospectus, any free writing prospectus used in connection with this offering and the documents incorporated by reference herein and therein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Use of proceeds</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estimate that the net proceeds from the sale of the 11,750,820 shares of common stock we are offering will be approximately $33.2 million, assuming that we sell the maximum number of shares we are offering pursuant to this prospectus supplement. Because there is no minimum offering amount required as a condition to the closing of this offering, the actual number of shares sold, placement agent fees and proceeds to us are not presently determinable and may be substantially less than the maximum amount set forth above.</w:t>
      </w:r>
    </w:p>
    <w:p>
      <w:pPr>
        <w:spacing w:after="0" w:line="87" w:lineRule="exact"/>
        <w:rPr>
          <w:sz w:val="20"/>
          <w:szCs w:val="20"/>
          <w:color w:val="auto"/>
        </w:rPr>
      </w:pPr>
    </w:p>
    <w:p>
      <w:pPr>
        <w:jc w:val="both"/>
        <w:ind w:right="160"/>
        <w:spacing w:after="0" w:line="329" w:lineRule="auto"/>
        <w:rPr>
          <w:sz w:val="20"/>
          <w:szCs w:val="20"/>
          <w:color w:val="auto"/>
        </w:rPr>
      </w:pPr>
      <w:r>
        <w:rPr>
          <w:rFonts w:ascii="Arial" w:cs="Arial" w:eastAsia="Arial" w:hAnsi="Arial"/>
          <w:sz w:val="15"/>
          <w:szCs w:val="15"/>
          <w:color w:val="auto"/>
        </w:rPr>
        <w:t>We intend to use the net proceeds of our sales of common stock in this offering for general corporate purposes, including working capital, product development and capital expenditures. A portion of the net proceeds may also be used for the acquisition of businesses, products and technologies that are complementary to ours, or for other strategic purposes. There are currently no commitments or agreements with respect to any such material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249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8"/>
          <w:szCs w:val="28"/>
          <w:color w:val="auto"/>
        </w:rPr>
        <w:t>Price range of common stock</w:t>
      </w:r>
    </w:p>
    <w:p>
      <w:pPr>
        <w:spacing w:after="0" w:line="12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Our common stock trades on The Nasdaq National Market under the symbol “STEM.” From the time that public trading of our common stock commenced on April 1, 1992 until December 22, 2002 and since September 30, 2005, our common stock has traded on The Nasdaq National Market. Our common stock was traded on The Nasdaq Capital Market (previously known as The Nasdaq SmallCap Market) between December 23, 2002 and September 29, 2005. The following table sets forth, for the periods indicated, the high and low intraday sales prices per share of our common stock as reported by The Nasdaq National Market and The Nasdaq Capital Market, as applicable. These prices do not include retail markups, markdowns or commissions.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Low</w:t>
            </w:r>
          </w:p>
        </w:tc>
      </w:tr>
      <w:tr>
        <w:trPr>
          <w:trHeight w:val="212"/>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year ended December 31, 2004</w:t>
            </w:r>
          </w:p>
        </w:tc>
        <w:tc>
          <w:tcPr>
            <w:tcW w:w="36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First quarter</w:t>
            </w:r>
          </w:p>
        </w:tc>
        <w:tc>
          <w:tcPr>
            <w:tcW w:w="3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2.69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Second quarter</w:t>
            </w:r>
          </w:p>
        </w:tc>
        <w:tc>
          <w:tcPr>
            <w:tcW w:w="36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2"/>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Third quarter</w:t>
            </w:r>
          </w:p>
        </w:tc>
        <w:tc>
          <w:tcPr>
            <w:tcW w:w="368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Fourth quarter</w:t>
            </w:r>
          </w:p>
        </w:tc>
        <w:tc>
          <w:tcPr>
            <w:tcW w:w="36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Fiscal year ended December 31, 2005</w:t>
            </w:r>
          </w:p>
        </w:tc>
        <w:tc>
          <w:tcPr>
            <w:tcW w:w="3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First quarter</w:t>
            </w:r>
          </w:p>
        </w:tc>
        <w:tc>
          <w:tcPr>
            <w:tcW w:w="3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2"/>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Second quarter</w:t>
            </w:r>
          </w:p>
        </w:tc>
        <w:tc>
          <w:tcPr>
            <w:tcW w:w="368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 quarter</w:t>
            </w:r>
          </w:p>
        </w:tc>
        <w:tc>
          <w:tcPr>
            <w:tcW w:w="36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6.58</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12"/>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Fourth quarter</w:t>
            </w:r>
          </w:p>
        </w:tc>
        <w:tc>
          <w:tcPr>
            <w:tcW w:w="3680" w:type="dxa"/>
            <w:vAlign w:val="bottom"/>
          </w:tcPr>
          <w:p>
            <w:pPr>
              <w:spacing w:after="0"/>
              <w:rPr>
                <w:sz w:val="18"/>
                <w:szCs w:val="18"/>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5.54</w:t>
            </w:r>
          </w:p>
        </w:tc>
        <w:tc>
          <w:tcPr>
            <w:tcW w:w="4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2006</w:t>
            </w:r>
          </w:p>
        </w:tc>
        <w:tc>
          <w:tcPr>
            <w:tcW w:w="3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First quarter</w:t>
            </w:r>
          </w:p>
        </w:tc>
        <w:tc>
          <w:tcPr>
            <w:tcW w:w="3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4.07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bl>
    <w:p>
      <w:pPr>
        <w:spacing w:after="0" w:line="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last reported sales price of our common stock on The Nasdaq National Market on March 31, 2006 was $3.58 per share. As of December 31, 2005, there were outstanding 65,396,022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Dividend policy</w:t>
      </w:r>
    </w:p>
    <w:p>
      <w:pPr>
        <w:spacing w:after="0" w:line="126" w:lineRule="exact"/>
        <w:rPr>
          <w:sz w:val="20"/>
          <w:szCs w:val="20"/>
          <w:color w:val="auto"/>
        </w:rPr>
      </w:pPr>
    </w:p>
    <w:p>
      <w:pPr>
        <w:ind w:right="600"/>
        <w:spacing w:after="0" w:line="277" w:lineRule="auto"/>
        <w:rPr>
          <w:sz w:val="20"/>
          <w:szCs w:val="20"/>
          <w:color w:val="auto"/>
        </w:rPr>
      </w:pPr>
      <w:r>
        <w:rPr>
          <w:rFonts w:ascii="Arial" w:cs="Arial" w:eastAsia="Arial" w:hAnsi="Arial"/>
          <w:sz w:val="17"/>
          <w:szCs w:val="17"/>
          <w:color w:val="auto"/>
        </w:rPr>
        <w:t>We have never declared or paid any cash dividends on our common stock. We anticipate that we will continue to retain our earnings, if any, for use in the operation of our business. Accordingly, we do not expect to pay any cash dividends on our common stock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Capitalization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2005:</w:t>
      </w:r>
    </w:p>
    <w:p>
      <w:pPr>
        <w:spacing w:after="0" w:line="111" w:lineRule="exact"/>
        <w:rPr>
          <w:sz w:val="20"/>
          <w:szCs w:val="20"/>
          <w:color w:val="auto"/>
        </w:rPr>
      </w:pPr>
    </w:p>
    <w:p>
      <w:pPr>
        <w:ind w:left="180" w:hanging="174"/>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23" w:lineRule="exact"/>
        <w:rPr>
          <w:rFonts w:ascii="Arial" w:cs="Arial" w:eastAsia="Arial" w:hAnsi="Arial"/>
          <w:sz w:val="18"/>
          <w:szCs w:val="18"/>
          <w:color w:val="auto"/>
        </w:rPr>
      </w:pPr>
    </w:p>
    <w:p>
      <w:pPr>
        <w:ind w:left="180" w:right="480" w:hanging="174"/>
        <w:spacing w:after="0" w:line="364" w:lineRule="auto"/>
        <w:tabs>
          <w:tab w:leader="none" w:pos="1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an adjusted basis to give effect to the sale of 11,750,820 shares of our common stock, the maximum number of shares we are offering pursuant to this prospectus supplement, at an offering price of $3.05 per share, after deducting placement agent fees and estimated offering expenses payable by us.</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72"/>
              <w:spacing w:after="0" w:line="155" w:lineRule="exact"/>
              <w:rPr>
                <w:sz w:val="20"/>
                <w:szCs w:val="20"/>
                <w:color w:val="auto"/>
              </w:rPr>
            </w:pPr>
            <w:r>
              <w:rPr>
                <w:rFonts w:ascii="Arial" w:cs="Arial" w:eastAsia="Arial" w:hAnsi="Arial"/>
                <w:sz w:val="14"/>
                <w:szCs w:val="14"/>
                <w:b w:val="1"/>
                <w:bCs w:val="1"/>
                <w:color w:val="auto"/>
                <w:w w:val="97"/>
              </w:rPr>
              <w:t>As of</w:t>
            </w: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7"/>
          </w:tcPr>
          <w:p>
            <w:pPr>
              <w:jc w:val="right"/>
              <w:ind w:right="112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right"/>
              <w:ind w:right="120"/>
              <w:spacing w:after="0" w:line="15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As adjusted</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96"/>
              </w:rPr>
              <w:t>(in thousands, except share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and per share data)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gridSpan w:val="2"/>
            <w:vMerge w:val="continue"/>
          </w:tcPr>
          <w:p>
            <w:pPr>
              <w:spacing w:after="0"/>
              <w:rPr>
                <w:sz w:val="19"/>
                <w:szCs w:val="19"/>
                <w:color w:val="auto"/>
              </w:rPr>
            </w:pPr>
          </w:p>
        </w:tc>
        <w:tc>
          <w:tcPr>
            <w:tcW w:w="6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8,915</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tcPr>
          <w:p>
            <w:pPr>
              <w:ind w:left="320"/>
              <w:spacing w:after="0" w:line="200" w:lineRule="exact"/>
              <w:rPr>
                <w:sz w:val="20"/>
                <w:szCs w:val="20"/>
                <w:color w:val="auto"/>
              </w:rPr>
            </w:pPr>
            <w:r>
              <w:rPr>
                <w:rFonts w:ascii="Arial" w:cs="Arial" w:eastAsia="Arial" w:hAnsi="Arial"/>
                <w:sz w:val="18"/>
                <w:szCs w:val="18"/>
                <w:color w:val="auto"/>
                <w:w w:val="89"/>
              </w:rPr>
              <w:t>Common stock, $0.01 par value per share; 125,000,000 shares authorized; 65,396,022 shares issued and</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tcPr>
          <w:p>
            <w:pPr>
              <w:ind w:left="460"/>
              <w:spacing w:after="0"/>
              <w:rPr>
                <w:sz w:val="20"/>
                <w:szCs w:val="20"/>
                <w:color w:val="auto"/>
              </w:rPr>
            </w:pPr>
            <w:r>
              <w:rPr>
                <w:rFonts w:ascii="Arial" w:cs="Arial" w:eastAsia="Arial" w:hAnsi="Arial"/>
                <w:sz w:val="18"/>
                <w:szCs w:val="18"/>
                <w:color w:val="auto"/>
              </w:rPr>
              <w:t>outstanding, actual; 77,146,842 shares issued and outstanding, as adjusted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217,919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(185,944)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(185,944)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8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65,565</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41,290</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color w:val="auto"/>
        </w:rPr>
        <w:t>Because there is no minimum offering amount required as a condition to the closing of this offering, the actual number of shares sold, the proceeds to us and our capitalization after this offering are not presently determinable and may be substantially different from the amounts set forth above.</w:t>
      </w:r>
    </w:p>
    <w:p>
      <w:pPr>
        <w:spacing w:after="0" w:line="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65,396,022 shares outstanding as of December 31, 2005 and excludes:</w:t>
      </w:r>
    </w:p>
    <w:p>
      <w:pPr>
        <w:spacing w:after="0" w:line="74" w:lineRule="exact"/>
        <w:rPr>
          <w:sz w:val="20"/>
          <w:szCs w:val="20"/>
          <w:color w:val="auto"/>
        </w:rPr>
      </w:pPr>
    </w:p>
    <w:p>
      <w:pPr>
        <w:ind w:left="180" w:hanging="174"/>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6,608,109 shares of our common stock subject to options outstanding as of December 31, 2005 having a weighted average exercise price of $3.02 per share;</w:t>
      </w:r>
    </w:p>
    <w:p>
      <w:pPr>
        <w:spacing w:after="0" w:line="158" w:lineRule="exact"/>
        <w:rPr>
          <w:rFonts w:ascii="Arial" w:cs="Arial" w:eastAsia="Arial" w:hAnsi="Arial"/>
          <w:sz w:val="15"/>
          <w:szCs w:val="15"/>
          <w:color w:val="auto"/>
        </w:rPr>
      </w:pPr>
    </w:p>
    <w:p>
      <w:pPr>
        <w:ind w:left="180" w:right="140" w:hanging="174"/>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1,583,543 shares of our common stock that have been reserved for issuance in connection with future grants under our stock option plans as of December 31, 2005; and</w:t>
      </w:r>
    </w:p>
    <w:p>
      <w:pPr>
        <w:spacing w:after="0" w:line="87" w:lineRule="exact"/>
        <w:rPr>
          <w:rFonts w:ascii="Arial" w:cs="Arial" w:eastAsia="Arial" w:hAnsi="Arial"/>
          <w:sz w:val="18"/>
          <w:szCs w:val="18"/>
          <w:color w:val="auto"/>
        </w:rPr>
      </w:pPr>
    </w:p>
    <w:p>
      <w:pPr>
        <w:ind w:left="180" w:right="40" w:hanging="174"/>
        <w:spacing w:after="0" w:line="262"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2,521,400 shares of our common stock that have been reserved for issuance upon exercise of outstanding warrants as of December 31, 2005 having a weighted average exercise price of $1.92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Dilution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If you invest in our common stock, you will experience dilution to the extent of the difference between the price per share you pay in this offering and the net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tangible book value per share of our common stock immediately after this offering. Our net tangible book value as of December 31, 2005 was approximately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$31.4 million, or $0.48 per share of common stock. Net tangible book value per share is equal to our total tangible assets minus total liabilities, all divided by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of common stock outstanding as of December 31, 2005. Assuming we sell 11,750,820 shares of common stock, the maximum number of shares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we are offering pursuant to this prospectus supplement, at an offering price of $3.05 per share, and after deducting placement agency fees and our estimated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offering expenses, our as adjusted net tangible book value would have been approximately $64.6 million, or approximately $0.84 per share of common stock,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December 31, 2005. This represents an immediate increase in net tangible book value of approximately $0.36 per share to existing stockholders and 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immediate dilution of approximately $2.21 per share to new investors. The following table illustrates this calculation on a per share basis: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r>
      <w:tr>
        <w:trPr>
          <w:trHeight w:val="212"/>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Net tangible book value per share as of December 31, 2005</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per share attributable to the offering</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70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364" w:lineRule="auto"/>
        <w:rPr>
          <w:sz w:val="20"/>
          <w:szCs w:val="20"/>
          <w:color w:val="auto"/>
        </w:rPr>
      </w:pPr>
      <w:r>
        <w:rPr>
          <w:rFonts w:ascii="Arial" w:cs="Arial" w:eastAsia="Arial" w:hAnsi="Arial"/>
          <w:sz w:val="15"/>
          <w:szCs w:val="15"/>
          <w:color w:val="auto"/>
        </w:rPr>
        <w:t>Because there is no minimum offering amount required as a condition to the closing of this offering, the dilution per share to new investors may be more than that indicated above in the event that the actual number of shares sold, if any, is less than the maximum number of shares we are offering.</w:t>
      </w:r>
    </w:p>
    <w:p>
      <w:pPr>
        <w:spacing w:after="0" w:line="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number of shares of common stock outstanding used for existing stockholders in the table and calculations above is based on 65,396,022 shares outstanding as of December 31, 2005 and excludes:</w:t>
      </w:r>
    </w:p>
    <w:p>
      <w:pPr>
        <w:spacing w:after="0" w:line="74" w:lineRule="exact"/>
        <w:rPr>
          <w:sz w:val="20"/>
          <w:szCs w:val="20"/>
          <w:color w:val="auto"/>
        </w:rPr>
      </w:pPr>
    </w:p>
    <w:p>
      <w:pPr>
        <w:ind w:left="180" w:hanging="174"/>
        <w:spacing w:after="0"/>
        <w:tabs>
          <w:tab w:leader="none" w:pos="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6,608,109 shares of our common stock subject to options outstanding as of December 31, 2005 having a weighted average exercise price of $3.02 per share;</w:t>
      </w:r>
    </w:p>
    <w:p>
      <w:pPr>
        <w:spacing w:after="0" w:line="158" w:lineRule="exact"/>
        <w:rPr>
          <w:rFonts w:ascii="Arial" w:cs="Arial" w:eastAsia="Arial" w:hAnsi="Arial"/>
          <w:sz w:val="15"/>
          <w:szCs w:val="15"/>
          <w:color w:val="auto"/>
        </w:rPr>
      </w:pPr>
    </w:p>
    <w:p>
      <w:pPr>
        <w:ind w:left="180" w:right="140" w:hanging="174"/>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1,583,543 shares of our common stock that have been reserved for issuance in connection with future grants under our stock option plans as of December 31, 2005; and</w:t>
      </w:r>
    </w:p>
    <w:p>
      <w:pPr>
        <w:spacing w:after="0" w:line="87" w:lineRule="exact"/>
        <w:rPr>
          <w:rFonts w:ascii="Arial" w:cs="Arial" w:eastAsia="Arial" w:hAnsi="Arial"/>
          <w:sz w:val="18"/>
          <w:szCs w:val="18"/>
          <w:color w:val="auto"/>
        </w:rPr>
      </w:pPr>
    </w:p>
    <w:p>
      <w:pPr>
        <w:ind w:left="180" w:right="40" w:hanging="174"/>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2,521,400 shares of our common stock that have been reserved for issuance upon exercise of outstanding warrants as of December 31, 2005 having a weighted average exercise price of $1.92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outstanding options and warrants having an exercise price less than the offering price will increase dilution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Plan of distribution</w:t>
      </w:r>
    </w:p>
    <w:p>
      <w:pPr>
        <w:spacing w:after="0" w:line="12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Pursuant to a placement agency agreement between us and UBS Securities LLC, we have engaged UBS Securities LLC as our exclusive placement agent to solicit offers to purchase our common stock in this offering. The placement agent is not purchasing or selling any of the shares we are offering, and it is not required to arrange the purchase or sale of any specific number or dollar amount of common stock, but it has agreed to use reasonable efforts to arrange for the sale of the shares.</w:t>
      </w:r>
    </w:p>
    <w:p>
      <w:pPr>
        <w:spacing w:after="0" w:line="8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placement agent proposes to arrange for the sale of the shares of common stock we are offering pursuant to this prospectus supplement to one or more investors through purchase agreements directly between the purchasers and us. All of the shares will be sold at the same price and, we expect, at a single closing. We established the price following negotiations with prospective investors and with reference to the prevailing market price of our common stock, recent trends in such price and other factors. It is possible that not all of the shares we are offering pursuant to this prospectus supplement will be sold at the closing, in which case our net proceeds would be reduced. We expect that the sale of the shares will be completed on the date indicated on the cover page of this prospectus supplement.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the placement agent may distribute this prospectus supplement and the accompanying prospectus electronically.</w:t>
      </w:r>
    </w:p>
    <w:p>
      <w:pPr>
        <w:spacing w:after="0" w:line="122" w:lineRule="exact"/>
        <w:rPr>
          <w:sz w:val="20"/>
          <w:szCs w:val="20"/>
          <w:color w:val="auto"/>
        </w:rPr>
      </w:pPr>
    </w:p>
    <w:p>
      <w:pPr>
        <w:jc w:val="both"/>
        <w:ind w:right="260"/>
        <w:spacing w:after="0" w:line="364" w:lineRule="auto"/>
        <w:rPr>
          <w:sz w:val="20"/>
          <w:szCs w:val="20"/>
          <w:color w:val="auto"/>
        </w:rPr>
      </w:pPr>
      <w:r>
        <w:rPr>
          <w:rFonts w:ascii="Arial" w:cs="Arial" w:eastAsia="Arial" w:hAnsi="Arial"/>
          <w:sz w:val="15"/>
          <w:szCs w:val="15"/>
          <w:color w:val="auto"/>
        </w:rPr>
        <w:t>We will pay the placement agent a placement agent fee equal to 6.0% of the gross proceeds of this offering. The following table shows the per share and total placement agent fees we will pay to the placement agent in connection with the sale of the shares, assuming the purchase of all of the shares we are offering.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20"/>
                <w:szCs w:val="20"/>
                <w:color w:val="auto"/>
              </w:rPr>
            </w:pPr>
            <w:r>
              <w:rPr>
                <w:rFonts w:ascii="Arial" w:cs="Arial" w:eastAsia="Arial" w:hAnsi="Arial"/>
                <w:sz w:val="18"/>
                <w:szCs w:val="18"/>
                <w:color w:val="auto"/>
              </w:rPr>
              <w:t>Per share</w:t>
            </w:r>
          </w:p>
        </w:tc>
        <w:tc>
          <w:tcPr>
            <w:tcW w:w="4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0.183</w:t>
            </w:r>
          </w:p>
        </w:tc>
      </w:tr>
      <w:tr>
        <w:trPr>
          <w:trHeight w:val="223"/>
        </w:trPr>
        <w:tc>
          <w:tcPr>
            <w:tcW w:w="5340" w:type="dxa"/>
            <w:vAlign w:val="bottom"/>
          </w:tcPr>
          <w:p>
            <w:pPr>
              <w:ind w:left="340"/>
              <w:spacing w:after="0"/>
              <w:rPr>
                <w:sz w:val="20"/>
                <w:szCs w:val="20"/>
                <w:color w:val="auto"/>
              </w:rPr>
            </w:pPr>
            <w:r>
              <w:rPr>
                <w:rFonts w:ascii="Arial" w:cs="Arial" w:eastAsia="Arial" w:hAnsi="Arial"/>
                <w:sz w:val="18"/>
                <w:szCs w:val="18"/>
                <w:color w:val="auto"/>
              </w:rPr>
              <w:t>Total</w:t>
            </w:r>
          </w:p>
        </w:tc>
        <w:tc>
          <w:tcPr>
            <w:tcW w:w="4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2,150,400</w:t>
            </w:r>
          </w:p>
        </w:tc>
      </w:tr>
    </w:tbl>
    <w:p>
      <w:pPr>
        <w:spacing w:after="0" w:line="94"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Because there is no minimum offering amount required as a condition to the closing of this offering, the actual total placement agent fees are not presently determinable and may be substantially less than the maximum amount set forth above, but we have agreed to pay a minimum total placement agent fee of $1.0 million. In addition, we have granted the placement agent a right of first refusal until September 2006 to act as sole book-running lead manager for any public offering of our equity, equity-linked or debt securities.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estimate the total expenses of this offering which will be payable by us, excluding the placement agent fees, will be approximately $500,000.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Investors in this offering will pay the purchase price of the shares directly to 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 in its capacity as placement agent, may be deemed to be an underwriter for purposes of the Securities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and our executive officers and directors have entered into lock-up agreements with the placement agent. Under these agreements, we and each of these persons may not, without the prior written approval of the placement agent, subject to exceptions, offer, sell, contract to sell or otherwise dispose of or hedge our common stock or securities convertible into or exercisable or exchangeable for our common stock. These restrictions will be in effect for a period of 90 days after the date of this prospectus supplement. However, these restrictions do not prohibit us from issuing securities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49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connection with a partnership, research, licensing, collaboration, joint venture or similar arrangement, or an acquisition of another business or entity or its stock, assets or technology, so long as the recipients agree to be locked up for the remainder of the lock-up period. In addition, the maximum number of shares of common stock we may issue during the lock-up period pursuant to these transactions is limited to 20% of the number of shares of common stock outstanding immediately before the first of such transactions. At any time and without public notice, the placement agent may in its sole discretion release all or some of the securities from these lock-up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117"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We have agreed to indemnify the placement agent and its controlling persons against certain liabilities, including liabilities under the Securities Act. If we are unable to provide this indemnification, we will contribute to payments the placement agent and its controlling persons may be required to make in respect of those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NATIONAL MARKET QUOTATION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National Market under the symbol “STEM.”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this offering, the placement agent may engage in activities that stabilize, maintain or otherwise affect the price of our common stock. These activities may maintain the market price of our common stock at a level above that which might otherwise prevail in the open market. The placement agent is not required to engage in these activities and, if commenced, may end any of these activities at any time. The placement agent may carry out these transactions on The Nasdaq National Market, in the over-the-counter market or otherwise.</w:t>
      </w:r>
    </w:p>
    <w:p>
      <w:pPr>
        <w:spacing w:after="0" w:line="8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In addition, in connection with this offering, the placement agent may engage in passive market making transactions in our common stock on The Nasdaq National Market prior to the pricing and completion of this offering. Passive market making consists of displaying bids on The Nasdaq National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1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placement agent and its affiliates have provided and may provide certain commercial banking, financial advisory and investment banking services for us for which they receive fees. The placement agent and its affiliates may from time to time in the future engage in transactions with us and perform services for us in the ordinary course of their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9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Where you can find more information</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49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8"/>
          <w:szCs w:val="28"/>
          <w:color w:val="auto"/>
        </w:rPr>
        <w:t>Incorporation of certain documents by reference</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SEC allows us to “incorporate by reference” into this prospectus supplement the information we have filed with the SEC. The information we incorporate by reference into this prospectus supplement is an important part of this prospectus supplement. Any statement in a document we incorporate by reference into this prospectus supplement or the accompanying prospectus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or accompanying prospectus, as applicable, except as modified or superseded.</w:t>
      </w:r>
    </w:p>
    <w:p>
      <w:pPr>
        <w:spacing w:after="0" w:line="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incorporate by reference into this prospectus supplement the information contained in the documents listed below, which is considered to be a part of this prospectus supplement:</w:t>
      </w:r>
    </w:p>
    <w:p>
      <w:pPr>
        <w:spacing w:after="0" w:line="74" w:lineRule="exact"/>
        <w:rPr>
          <w:sz w:val="20"/>
          <w:szCs w:val="20"/>
          <w:color w:val="auto"/>
        </w:rPr>
      </w:pPr>
    </w:p>
    <w:p>
      <w:pPr>
        <w:ind w:left="180" w:hanging="174"/>
        <w:spacing w:after="0"/>
        <w:tabs>
          <w:tab w:leader="none" w:pos="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Annual Report on Form 10-K for the year ended December 31, 2005, including any amendment filed for the purpose of updating such Annual Report; and</w:t>
      </w:r>
    </w:p>
    <w:p>
      <w:pPr>
        <w:spacing w:after="0" w:line="158" w:lineRule="exact"/>
        <w:rPr>
          <w:rFonts w:ascii="Arial" w:cs="Arial" w:eastAsia="Arial" w:hAnsi="Arial"/>
          <w:sz w:val="15"/>
          <w:szCs w:val="15"/>
          <w:color w:val="auto"/>
        </w:rPr>
      </w:pPr>
    </w:p>
    <w:p>
      <w:pPr>
        <w:ind w:left="180" w:right="300" w:hanging="174"/>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and related rights contained in our registration statements on Form 8-A (file no. 000-19871) filed under the Exchange Act, including any amendment or report filed for the purpose of updating such description.</w:t>
      </w:r>
    </w:p>
    <w:p>
      <w:pPr>
        <w:spacing w:after="0" w:line="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incorporate by reference all documents filed pursuant to Sections 13(a), 13(c), 14 or 15(d) of the Exchange Act after the date of this prospectus supplement and prior to the termination of this offering; provided, however, that we are not incorporating any information furnished under Item 2.02, Item 7.01 or Item 9.01 of any current report on Form 8-K we may subsequently file.</w:t>
      </w:r>
    </w:p>
    <w:p>
      <w:pPr>
        <w:spacing w:after="0" w:line="8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Statements made in this prospectus supplement or the accompanying prospectus or in any document incorporated by reference in this prospectus supplement or the accompanying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StemCells,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irpr@stemcellsinc.com</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Copies of these filings are also available, without charge, on our Internet website at </w:t>
      </w:r>
      <w:r>
        <w:rPr>
          <w:rFonts w:ascii="Arial" w:cs="Arial" w:eastAsia="Arial" w:hAnsi="Arial"/>
          <w:sz w:val="15"/>
          <w:szCs w:val="15"/>
          <w:i w:val="1"/>
          <w:iCs w:val="1"/>
          <w:color w:val="auto"/>
        </w:rPr>
        <w:t>www.stemcellsinc.com</w:t>
      </w:r>
      <w:r>
        <w:rPr>
          <w:rFonts w:ascii="Arial" w:cs="Arial" w:eastAsia="Arial" w:hAnsi="Arial"/>
          <w:sz w:val="15"/>
          <w:szCs w:val="15"/>
          <w:color w:val="auto"/>
        </w:rPr>
        <w:t xml:space="preserve"> after they are filed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49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Legal matters</w:t>
      </w:r>
    </w:p>
    <w:p>
      <w:pPr>
        <w:spacing w:after="0" w:line="12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Various legal matters with respect to the validity of the shares of common stock offered by this prospectus supplement will be passed upon for us by Ropes &amp; Gray LLP. Dewey Ballantine LLP is counsel for the placement agent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9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8"/>
          <w:szCs w:val="28"/>
          <w:color w:val="auto"/>
        </w:rPr>
        <w:t>Experts</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audited by Grant Thornton LLP, independent registered public accountants, as indicated in their reports with respect thereto, and are included herein in reliance upon the authority of said firm as experts in giving said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249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$100,000,00</w:t>
      </w:r>
    </w:p>
    <w:p>
      <w:pPr>
        <w:spacing w:after="0" w:line="47" w:lineRule="exact"/>
        <w:rPr>
          <w:sz w:val="20"/>
          <w:szCs w:val="20"/>
          <w:color w:val="auto"/>
        </w:rPr>
      </w:pPr>
    </w:p>
    <w:p>
      <w:pPr>
        <w:spacing w:after="0"/>
        <w:rPr>
          <w:sz w:val="20"/>
          <w:szCs w:val="20"/>
          <w:color w:val="auto"/>
        </w:rPr>
      </w:pPr>
      <w:r>
        <w:rPr>
          <w:rFonts w:ascii="Arial" w:cs="Arial" w:eastAsia="Arial" w:hAnsi="Arial"/>
          <w:sz w:val="49"/>
          <w:szCs w:val="49"/>
          <w:b w:val="1"/>
          <w:bCs w:val="1"/>
          <w:color w:val="auto"/>
        </w:rPr>
        <w:t>StemCells, Inc.</w:t>
      </w:r>
    </w:p>
    <w:p>
      <w:pPr>
        <w:spacing w:after="0" w:line="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7249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1"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color w:val="auto"/>
        </w:rPr>
        <w:t>We may sell from time to time up to $100,000,000 of our common stock in one or more transactions. We will provide specific terms of these securities and offerings in supplements to this prospectus. You should read this prospectus and any supplement carefully before you invest.</w:t>
      </w:r>
    </w:p>
    <w:p>
      <w:pPr>
        <w:spacing w:after="0" w:line="4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securities offered in this prospectus involve a high degree of risk. You should carefully consider the “Risk Factors” set forth herein beginning on page 2 and in our future filings made with the Securities and Exchange Commission, which are incorporated by reference in this prospectus, in determining whether to purchase our securities.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common stock is currently listed on the Nasdaq National Market with the ticker symbol: “STEM.” On October 31, 2005, the closing price of one share of our common stock on the Nasdaq National Market was $4.57.</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date of this Prospectus is November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413"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This prospectus may only be used where it is legal to sell these securities.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 w:type="dxa"/>
            <w:vAlign w:val="bottom"/>
          </w:tcPr>
          <w:p>
            <w:pPr>
              <w:spacing w:after="0"/>
              <w:rPr>
                <w:sz w:val="14"/>
                <w:szCs w:val="14"/>
                <w:color w:val="auto"/>
              </w:rPr>
            </w:pPr>
          </w:p>
        </w:tc>
        <w:tc>
          <w:tcPr>
            <w:tcW w:w="700" w:type="dxa"/>
            <w:vAlign w:val="bottom"/>
            <w:gridSpan w:val="2"/>
            <w:vMerge w:val="restart"/>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Summary</w:t>
              </w:r>
            </w:hyperlink>
          </w:p>
        </w:tc>
        <w:tc>
          <w:tcPr>
            <w:tcW w:w="9880" w:type="dxa"/>
            <w:vAlign w:val="bottom"/>
            <w:gridSpan w:val="8"/>
            <w:vMerge w:val="restart"/>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0" w:type="dxa"/>
            <w:vAlign w:val="bottom"/>
            <w:tcBorders>
              <w:bottom w:val="single" w:sz="8" w:color="0000EE"/>
            </w:tcBorders>
            <w:gridSpan w:val="2"/>
            <w:vMerge w:val="continue"/>
          </w:tcPr>
          <w:p>
            <w:pPr>
              <w:spacing w:after="0"/>
              <w:rPr>
                <w:sz w:val="15"/>
                <w:szCs w:val="15"/>
                <w:color w:val="auto"/>
              </w:rPr>
            </w:pPr>
          </w:p>
        </w:tc>
        <w:tc>
          <w:tcPr>
            <w:tcW w:w="9880" w:type="dxa"/>
            <w:vAlign w:val="bottom"/>
            <w:gridSpan w:val="8"/>
            <w:vMerge w:val="continue"/>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00" w:type="dxa"/>
            <w:vAlign w:val="bottom"/>
            <w:tcBorders>
              <w:bottom w:val="single" w:sz="8" w:color="0000EE"/>
            </w:tcBorders>
            <w:gridSpan w:val="3"/>
          </w:tcPr>
          <w:p>
            <w:pPr>
              <w:spacing w:after="0" w:line="192"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9680" w:type="dxa"/>
            <w:vAlign w:val="bottom"/>
            <w:gridSpan w:val="7"/>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580" w:type="dxa"/>
            <w:vAlign w:val="bottom"/>
            <w:gridSpan w:val="10"/>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Note Regarding Forward-Looking Statements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Use Of Proceeds</w:t>
              </w:r>
            </w:hyperlink>
          </w:p>
        </w:tc>
        <w:tc>
          <w:tcPr>
            <w:tcW w:w="2040" w:type="dxa"/>
            <w:vAlign w:val="bottom"/>
            <w:tcBorders>
              <w:top w:val="single" w:sz="8" w:color="0000EE"/>
            </w:tcBorders>
            <w:gridSpan w:val="3"/>
          </w:tcPr>
          <w:p>
            <w:pPr>
              <w:spacing w:after="0"/>
              <w:rPr>
                <w:sz w:val="16"/>
                <w:szCs w:val="16"/>
                <w:color w:val="auto"/>
              </w:rPr>
            </w:pPr>
          </w:p>
        </w:tc>
        <w:tc>
          <w:tcPr>
            <w:tcW w:w="7340" w:type="dxa"/>
            <w:vAlign w:val="bottom"/>
            <w:gridSpan w:val="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580" w:type="dxa"/>
            <w:vAlign w:val="bottom"/>
            <w:gridSpan w:val="10"/>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2820" w:type="dxa"/>
            <w:vAlign w:val="bottom"/>
            <w:tcBorders>
              <w:bottom w:val="single" w:sz="8" w:color="0000EE"/>
            </w:tcBorders>
            <w:gridSpan w:val="7"/>
          </w:tcPr>
          <w:p>
            <w:pPr>
              <w:spacing w:after="0" w:line="19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Where You Can Find More Information</w:t>
              </w:r>
            </w:hyperlink>
          </w:p>
        </w:tc>
        <w:tc>
          <w:tcPr>
            <w:tcW w:w="7760" w:type="dxa"/>
            <w:vAlign w:val="bottom"/>
            <w:gridSpan w:val="3"/>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20" w:type="dxa"/>
            <w:vAlign w:val="bottom"/>
            <w:tcBorders>
              <w:bottom w:val="single" w:sz="8" w:color="0000EE"/>
            </w:tcBorders>
            <w:gridSpan w:val="9"/>
          </w:tcPr>
          <w:p>
            <w:pPr>
              <w:spacing w:after="0" w:line="19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Incorporation Of Certain Documents By Reference</w:t>
              </w:r>
            </w:hyperlink>
          </w:p>
        </w:tc>
        <w:tc>
          <w:tcPr>
            <w:tcW w:w="6960" w:type="dxa"/>
            <w:vAlign w:val="bottom"/>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Borders>
              <w:bottom w:val="single" w:sz="8" w:color="0000EE"/>
            </w:tcBorders>
            <w:gridSpan w:val="4"/>
          </w:tcPr>
          <w:p>
            <w:pPr>
              <w:spacing w:after="0" w:line="19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Legal Opinion</w:t>
              </w:r>
            </w:hyperlink>
          </w:p>
        </w:tc>
        <w:tc>
          <w:tcPr>
            <w:tcW w:w="9540" w:type="dxa"/>
            <w:vAlign w:val="bottom"/>
            <w:gridSpan w:val="6"/>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580" w:type="dxa"/>
            <w:vAlign w:val="bottom"/>
            <w:gridSpan w:val="10"/>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right"/>
        <w:spacing w:after="0"/>
        <w:rPr>
          <w:sz w:val="20"/>
          <w:szCs w:val="20"/>
          <w:color w:val="auto"/>
        </w:rPr>
      </w:pP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497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3930" cy="549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28"/>
          <w:szCs w:val="28"/>
          <w:color w:val="auto"/>
        </w:rPr>
        <w:t>Summary</w:t>
      </w:r>
    </w:p>
    <w:p>
      <w:pPr>
        <w:spacing w:after="0" w:line="126" w:lineRule="exact"/>
        <w:rPr>
          <w:sz w:val="20"/>
          <w:szCs w:val="20"/>
          <w:color w:val="auto"/>
        </w:rPr>
      </w:pPr>
    </w:p>
    <w:p>
      <w:pPr>
        <w:ind w:left="180"/>
        <w:spacing w:after="0" w:line="254"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financial statements appearing elsewhere or incorporated by reference in this prospectus. Without limiting the generality of the foregoing, prospective investors should carefully consider factors set forth under the caption “Risk Factors” below.</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COMPANY</w:t>
      </w:r>
    </w:p>
    <w:p>
      <w:pPr>
        <w:spacing w:after="0" w:line="117" w:lineRule="exact"/>
        <w:rPr>
          <w:sz w:val="20"/>
          <w:szCs w:val="20"/>
          <w:color w:val="auto"/>
        </w:rPr>
      </w:pPr>
    </w:p>
    <w:p>
      <w:pPr>
        <w:ind w:left="180" w:right="20"/>
        <w:spacing w:after="0" w:line="264"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neurodegenerative diseases (for instance, Batten, Parkinson’s, and Alzheimer’s diseases, and other metabolic genetic disorders), demyelinating disorders (for instance, Multiple Sclerosis), spinal cord injuries, stroke, hepatitis, chronic liver failure, and diabetes. We believe that our stem cell technologies, i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76" w:lineRule="exact"/>
        <w:rPr>
          <w:sz w:val="20"/>
          <w:szCs w:val="20"/>
          <w:color w:val="auto"/>
        </w:rPr>
      </w:pPr>
    </w:p>
    <w:p>
      <w:pPr>
        <w:ind w:left="180" w:right="60"/>
        <w:spacing w:after="0" w:line="271" w:lineRule="auto"/>
        <w:rPr>
          <w:sz w:val="20"/>
          <w:szCs w:val="20"/>
          <w:color w:val="auto"/>
        </w:rPr>
      </w:pPr>
      <w:r>
        <w:rPr>
          <w:rFonts w:ascii="Arial" w:cs="Arial" w:eastAsia="Arial" w:hAnsi="Arial"/>
          <w:sz w:val="17"/>
          <w:szCs w:val="17"/>
          <w:color w:val="auto"/>
        </w:rPr>
        <w:t>Many diseases, such as Alzheimer’s, Parkinson’s, lysosomal storage diseases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50 million people in the United States and account for more than $300 billion annually in health care costs.</w:t>
      </w:r>
    </w:p>
    <w:p>
      <w:pPr>
        <w:spacing w:after="0" w:line="70" w:lineRule="exact"/>
        <w:rPr>
          <w:sz w:val="20"/>
          <w:szCs w:val="20"/>
          <w:color w:val="auto"/>
        </w:rPr>
      </w:pPr>
    </w:p>
    <w:p>
      <w:pPr>
        <w:ind w:left="180"/>
        <w:spacing w:after="0" w:line="264" w:lineRule="auto"/>
        <w:rPr>
          <w:sz w:val="20"/>
          <w:szCs w:val="20"/>
          <w:color w:val="auto"/>
        </w:rPr>
      </w:pPr>
      <w:r>
        <w:rPr>
          <w:rFonts w:ascii="Arial" w:cs="Arial" w:eastAsia="Arial" w:hAnsi="Arial"/>
          <w:sz w:val="17"/>
          <w:szCs w:val="17"/>
          <w:color w:val="auto"/>
        </w:rPr>
        <w:t>Our stem cell discovery engine relies upon our state-of-the-art cell sorting capabilities and our library of known and proprietary monoclonal antibodies to human proteins. Using this library of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 have established an intellectual property position in all three areas of our stem cell research— the nervous system, the liver and the pancreas—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efforts on the preclinical and clinical development of our neural stem cell program and research endeavors in characterizing the candidate stem/progenitor cells for the liver and pancreas programs.</w:t>
      </w:r>
    </w:p>
    <w:p>
      <w:pPr>
        <w:spacing w:after="0" w:line="79" w:lineRule="exact"/>
        <w:rPr>
          <w:sz w:val="20"/>
          <w:szCs w:val="20"/>
          <w:color w:val="auto"/>
        </w:rPr>
      </w:pPr>
    </w:p>
    <w:p>
      <w:pPr>
        <w:ind w:left="180"/>
        <w:spacing w:after="0" w:line="251" w:lineRule="auto"/>
        <w:rPr>
          <w:sz w:val="20"/>
          <w:szCs w:val="20"/>
          <w:color w:val="auto"/>
        </w:rPr>
      </w:pPr>
      <w:r>
        <w:rPr>
          <w:rFonts w:ascii="Arial" w:cs="Arial" w:eastAsia="Arial" w:hAnsi="Arial"/>
          <w:sz w:val="18"/>
          <w:szCs w:val="18"/>
          <w:color w:val="auto"/>
        </w:rPr>
        <w:t>In late December 2004, we submitted our first Investigational New Drug application (IND) to the U.S. Food and Drug Administration (FDA) for a clinical trial using our proprietary human neural stem cells to treat Batten disease. On October 19, 2005, the Company received clearance from the FDA to begin a Phase I safety and preliminary efficacy trial. The Company plans to seek Institutional Review Board (IRB) approval from a number of leading medical institutions. Such approval is needed before the clinical trial may begin.</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553720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color w:val="auto"/>
        </w:rPr>
        <w:t>Risk factors</w:t>
      </w:r>
    </w:p>
    <w:p>
      <w:pPr>
        <w:spacing w:after="0" w:line="12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color w:val="auto"/>
        </w:rPr>
        <w:t>Investing in our common stock is risky. In addition to the other information in this prospectus, the following risk factors should be considered carefully in evaluating us and our business. If any of the following risks were to occur, our business, financial condition or results of operations would likely suffer. In that event, the trading price of our common stock could decline, and you could lose all or a part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5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Our financial situation is precarious and, based on currently estimated operating expenses, our existing capital resources may not be sufficient to fund our operations beyond 2006.</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may not be sufficient to fund our operations beyond 2006.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17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Institutional Review Boards (IRBs) at the clinical sites to which we apply may fail to approve the clinical protocol for our Phase I clinical trial of our proprietary neural cell therapy product in Batten disease.</w:t>
      </w:r>
    </w:p>
    <w:p>
      <w:pPr>
        <w:spacing w:after="0" w:line="6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filed our first Investigational New Drug application, or IND, with the U.S. Food and Drug Administration (FDA) in late December 2004 for our proposed Phase I clinical trial of our proprietary neural cell therapy product— HuCNS SC— to treat Batten disease. The FDA recently informed us that it has approved our IND. We plan to seek Institutional Review Board (IRB) approval from a number of leading medical institutions. Such approval is needed before the clinical trial may begin. There can be no guarantee that we will obtain IRB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is at an early stage of discovery and development, and we may fail to develop any commercially acceptable products.</w:t>
      </w:r>
    </w:p>
    <w:p>
      <w:pPr>
        <w:spacing w:after="0" w:line="128" w:lineRule="exact"/>
        <w:rPr>
          <w:sz w:val="20"/>
          <w:szCs w:val="20"/>
          <w:color w:val="auto"/>
        </w:rPr>
      </w:pPr>
    </w:p>
    <w:p>
      <w:pPr>
        <w:jc w:val="both"/>
        <w:ind w:right="500"/>
        <w:spacing w:after="0" w:line="254" w:lineRule="auto"/>
        <w:rPr>
          <w:sz w:val="20"/>
          <w:szCs w:val="20"/>
          <w:color w:val="auto"/>
        </w:rPr>
      </w:pPr>
      <w:r>
        <w:rPr>
          <w:rFonts w:ascii="Arial" w:cs="Arial" w:eastAsia="Arial" w:hAnsi="Arial"/>
          <w:sz w:val="18"/>
          <w:szCs w:val="18"/>
          <w:color w:val="auto"/>
        </w:rPr>
        <w:t>We have yet to develop any products. Our stem cell technology is still at the discovery phase for the liver and pancreas stem cells and, while the FDA has approved our IND with respect to our human neural (brain) stem cells, as described above we need to obtain IRB approval before we can proceed with our clinical trial.</w:t>
      </w:r>
    </w:p>
    <w:p>
      <w:pPr>
        <w:spacing w:after="0" w:line="8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may fail to discover the stem cells we are seeking, to develop any products, to obtain regulatory approvals, to enter clinical trials, or to commercialize any products. Any product using stem cell technology may fail to:</w:t>
      </w:r>
    </w:p>
    <w:p>
      <w:pPr>
        <w:spacing w:after="0" w:line="74"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8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14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We have payment obligations resulting from real property owned or leased by us in Rhode Island, which diverts funding from our stem cell research and development.</w:t>
      </w:r>
    </w:p>
    <w:p>
      <w:pPr>
        <w:spacing w:after="0" w:line="68"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of approximately $1,450,000 per year before sub-tenant rent income for our former science and administrative facility, which we have leased through June 30, 2013, and 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49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September 30, 2005, the reserve was $5,520,000. The Company incurred $845,000 in operating expenses for the nine month period ending September 30, 2005, which was recorded against the reserve.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but fail to obtain partners to support our stem cell development efforts and to commercialize our technology.</w:t>
      </w:r>
    </w:p>
    <w:p>
      <w:pPr>
        <w:spacing w:after="0" w:line="117"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may fail to obtain revenues or become profitable.</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our patents and proprietary rights, our business, financial condition and results of operations will be harmed.</w:t>
      </w:r>
    </w:p>
    <w:p>
      <w:pPr>
        <w:spacing w:after="0" w:line="128"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If we are unsuccessful in our defense of the opposed patents, all claimed rights in the opposed patents will be lost in Europe.</w:t>
      </w:r>
    </w:p>
    <w:p>
      <w:pPr>
        <w:spacing w:after="0" w:line="26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others are first to discover and patent the stem cells we are seeking to discover, we could be blocked from further work on those stem cells.</w:t>
      </w:r>
    </w:p>
    <w:p>
      <w:pPr>
        <w:spacing w:after="0" w:line="15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9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obtain necessary licenses to third-party patents and other rights, we may not be able to commercially develop our expected products.</w:t>
      </w:r>
    </w:p>
    <w:p>
      <w:pPr>
        <w:spacing w:after="0" w:line="151"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compete with companies that have significant advantages over us.</w:t>
      </w:r>
    </w:p>
    <w:p>
      <w:pPr>
        <w:spacing w:after="0" w:line="117"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large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Shire Pharmaceuticals, BioMarin, Celgene, Biogen Idec, and Titan Pharmaceuticals/ Schering AG. Finally, we also expect to compete with smaller biotechnology companies, such as NeuralStem, Geron, NeuroNova, ReNeuron, and ES Cell International, some of which are privately owned.</w:t>
      </w:r>
    </w:p>
    <w:p>
      <w:pPr>
        <w:spacing w:after="0" w:line="4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believe that our human neural stem cells may have application to many or most of the Lysosomal Storage Diseases (“LSDs”) with CNS involvement. We have received approval for our first IND to treat the Infantile and Late Infantile forms of Batten disease, which are among the LSDs that affect the CNS. However, we will need to obtain IRB approval prior to initiating our clinical trial, and we have no assurance as to when IRB approval will be obtained. There are, so far as we know, no approved therapies for Batten Disease or any of the other CNS-specific LSDs, but other companies, including Genzyme, BioMarin, and Shire, have products approved to treat peripheral aspects of some of the other LSDs, and other products are in clinical trials.</w:t>
      </w:r>
    </w:p>
    <w:p>
      <w:pPr>
        <w:spacing w:after="0" w:line="43" w:lineRule="exact"/>
        <w:rPr>
          <w:sz w:val="20"/>
          <w:szCs w:val="20"/>
          <w:color w:val="auto"/>
        </w:rPr>
      </w:pPr>
    </w:p>
    <w:p>
      <w:pPr>
        <w:ind w:right="520"/>
        <w:spacing w:after="0" w:line="329" w:lineRule="auto"/>
        <w:rPr>
          <w:sz w:val="20"/>
          <w:szCs w:val="20"/>
          <w:color w:val="auto"/>
        </w:rPr>
      </w:pPr>
      <w:r>
        <w:rPr>
          <w:rFonts w:ascii="Arial" w:cs="Arial" w:eastAsia="Arial" w:hAnsi="Arial"/>
          <w:sz w:val="15"/>
          <w:szCs w:val="15"/>
          <w:color w:val="auto"/>
        </w:rPr>
        <w:t>In the field of diabetes, a number of major companies currently market products for the treatment of diabetes and are also engaged in the research and development of new therapies. Such companies include Eli Lilly, Novo Nordisk, J&amp;J, Amylin, ViaCell, and Serono. Consequently, should we successfully develop a cell-based therapy for diabetes, we would expect to face severe competition from these and similar companies.</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49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our technology is subject to and restricted by extensive government regulation, which could impede our business.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7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services of key personnel.</w:t>
      </w:r>
    </w:p>
    <w:p>
      <w:pPr>
        <w:spacing w:after="0" w:line="11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249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left="11360"/>
        <w:spacing w:after="0"/>
        <w:rPr>
          <w:sz w:val="20"/>
          <w:szCs w:val="20"/>
          <w:color w:val="auto"/>
        </w:rPr>
      </w:pP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to improve our financial control procedures.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Management’s Annual Report on Internal Controls Over Financial Reporting found deficiencies in the operating effectiveness of our internal controls over financial reporting. Such deficiencies collectively constituted significant deficiencies and a material weakness under standards established by the American Institute of Certified Public Accountants, resulting in more than a remote likelihood that a material misstatement of the annual or interim financial statements of the Company would not be prevented or detected. In the opinion of Grant Thornton LLP, our independent auditors, management’s assessment that we did not maintain effective internal control over financial reporting as of December 31, 2004, is fairly stated, in all material respects. It is also the opinion of Grant Thornton that because of the effect of the material weakness identified by management (i.e., instances where both the preparation and review of general journal entries were performed by the same individual) on the achievement of the objectives of the control criteria, we have not maintained effective internal control over financial reporting as of December 31, 2004, based on criteria established in Internal Control— Integrated Framework issued by the Committee of Sponsoring Organizations of the Treadway Commission. We have already taken remedial steps, and will continue our on-going evaluation of internal controls and attempts to improve our internal controls over financial reporting as necessary to assure their effectiveness, but there can be no assurance that we will succeed or that other deficiencies will not be identified.</w:t>
      </w:r>
    </w:p>
    <w:p>
      <w:pPr>
        <w:spacing w:after="0" w:line="17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Since health care insurers and other organizations may not pay for our products or may impose limits on reimbursements, our ability to become profitable could be reduced.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has not granted marketing approval. Significant uncertainty exists as to the reimbursement status of newly approved health care products or novel therapies such as ours.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81"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color w:val="auto"/>
        </w:rPr>
        <w:t>We have limited liquidity and capital resources and may not obtain the significant capital resources we will need to sustain our research and development efforts.</w:t>
      </w:r>
    </w:p>
    <w:p>
      <w:pPr>
        <w:spacing w:after="0" w:line="68"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5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Our stock price has been, and will likely continue to be, highly volatile, which may negatively affect our ability to obtain additional financing in the future.</w:t>
      </w:r>
    </w:p>
    <w:p>
      <w:pPr>
        <w:spacing w:after="0" w:line="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74" w:lineRule="exact"/>
        <w:rPr>
          <w:sz w:val="20"/>
          <w:szCs w:val="20"/>
          <w:color w:val="auto"/>
        </w:rPr>
      </w:pPr>
    </w:p>
    <w:p>
      <w:pPr>
        <w:ind w:left="180" w:hanging="174"/>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comments by securities analysts, or our failure to meet market expectations.</w:t>
      </w:r>
    </w:p>
    <w:p>
      <w:pPr>
        <w:spacing w:after="0" w:line="111"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Over the two-year period ended October 31, 2005, our common stock was listed on the Nasdaq Capital Market (previously known as the Nasdaq SmallCap Market) until September 30, 2005, when it began listing on the Nasdaq National Market. During such two-year period, the closing price of our common stock as reported on the Nasdaq Capital Market and the Nasdaq National Market ranged from a high of $6.26 to a low of $1.24. As a result of this volatility, your investment in our stock is subject to substantial risk. Furthermore, the volatility of our stock price could negatively impact our ability to raise capital in the future.</w:t>
      </w:r>
    </w:p>
    <w:p>
      <w:pPr>
        <w:spacing w:after="0" w:line="41"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As of October 31, 2005, our common stock is listed on the Nasdaq National Market. To keep our listing on this market, we must meet Nasdaq’s listing maintenance standards. If we are unable to continue to meet Nasdaq’s listing maintenance standards, our common stock could be delisted from the Nasdaq National Market. If our common stock were delisted, we likely would seek to list the common stock on the Nasdaq Capital Market, the American Stock Exchange or a regional stock exchange. Listing on such other market or exchange could reduce the liquidity for our common stock. If were we unable to list our common stock on such other market or exchange, trading of our common stock likely would be conducted in the over-the-counter market on an electronic bulletin board established for unlisted securities or directly through market makers in our common stock. If our common stock were to trade in the over-the-counter market, an investor would find it more difficult to dispose of, or to obtain accurate quotations for the price of, the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contractually obligated to issue shares in the future, diluting your interest in us.</w:t>
      </w:r>
    </w:p>
    <w:p>
      <w:pPr>
        <w:spacing w:after="0" w:line="11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As of September 30, 2005, there were outstanding and exercisable warrants to purchase 3,341,212 shares of our common stock, at a weighted average exercise price of $2.10 per share. As of September 30, 2005, there were also outstanding options to purchase 6,641,401 shares of our common stock, at a weighted average exercise price of $3.00 per share. Moreover, we expect to issue additional options to purchase shares of our common stock to compensate employees, consultants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413" w:right="8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Note regarding forward-looking statements</w:t>
      </w:r>
    </w:p>
    <w:p>
      <w:pPr>
        <w:spacing w:after="0" w:line="12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the risks to which we are subject, including those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249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Use of proceeds</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Unless otherwise indicated in the applicable prospectus supplement, we anticipate that the net proceeds from the sale of the securities offered under this prospectus will be used for working capital and general corporate purposes, as well as in connection with selected acquisitions that may be considered in the future or for other strategic purposes. Pending the application of the net proceeds, we expect to invest the proceeds in investment-grade, interest-bearing instruments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240" w:top="413" w:right="6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Plan of distribution</w:t>
      </w:r>
    </w:p>
    <w:p>
      <w:pPr>
        <w:spacing w:after="0" w:line="126" w:lineRule="exact"/>
        <w:rPr>
          <w:sz w:val="20"/>
          <w:szCs w:val="20"/>
          <w:color w:val="auto"/>
        </w:rPr>
      </w:pPr>
    </w:p>
    <w:p>
      <w:pPr>
        <w:ind w:right="620"/>
        <w:spacing w:after="0" w:line="364"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We may sell the securities offered hereby to or through underwriters, through agents or dealers, directly to one or more purchasers, or through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combination of such methods. A prospectus supplement or supplements will describe the terms of the offering of these securities, including:</w:t>
      </w:r>
    </w:p>
    <w:p>
      <w:pPr>
        <w:spacing w:after="0" w:line="6" w:lineRule="exact"/>
        <w:rPr>
          <w:sz w:val="20"/>
          <w:szCs w:val="20"/>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or names of any underwriters, agents or dealers, if any;</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securities involved;</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underwriters’, agents’ or dealers’ compensation;</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23" w:lineRule="exact"/>
        <w:rPr>
          <w:rFonts w:ascii="Arial" w:cs="Arial" w:eastAsia="Arial" w:hAnsi="Arial"/>
          <w:sz w:val="18"/>
          <w:szCs w:val="18"/>
          <w:color w:val="auto"/>
        </w:rPr>
      </w:pPr>
    </w:p>
    <w:p>
      <w:pPr>
        <w:ind w:left="180" w:hanging="174"/>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information material to the transaction.</w:t>
      </w:r>
    </w:p>
    <w:p>
      <w:pPr>
        <w:spacing w:after="0" w:line="111"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b w:val="1"/>
          <w:bCs w:val="1"/>
          <w:i w:val="1"/>
          <w:iCs w:val="1"/>
          <w:color w:val="auto"/>
        </w:rPr>
        <w:t xml:space="preserve">Underwriters. </w:t>
      </w:r>
      <w:r>
        <w:rPr>
          <w:rFonts w:ascii="Arial" w:cs="Arial" w:eastAsia="Arial" w:hAnsi="Arial"/>
          <w:sz w:val="15"/>
          <w:szCs w:val="15"/>
          <w:color w:val="auto"/>
        </w:rPr>
        <w:t>If underwriters are used in the sale of the securities, we will execute an underwriting agreement relating to the securities that we will offer.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obligations of the underwriters to purchase the securities will be subject to the conditions set forth in the applicable underwriting agreement. Unless otherwise set forth in the applicable prospectus supplement, the underwriting agreement will provide that the obligations of the underwriters will be subject to certain conditions precedent and that the underwriters with respect to a sale of the securities will be obligated to purchase all the securities if any are purchased.</w:t>
      </w:r>
    </w:p>
    <w:p>
      <w:pPr>
        <w:spacing w:after="0" w:line="41"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The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securities for whom they may act as agent. Underwriters may sell these securities to or through dealers. These dealers may receive compensation in the form of discounts, concessions or commissions from the underwriters or commissions from the purchasers for whom they may act as agent. Any initial public offering price and any discounts or concessions allowed or reallowed or paid to dealers may be changed from time to time.</w:t>
      </w:r>
    </w:p>
    <w:p>
      <w:pPr>
        <w:spacing w:after="0" w:line="48" w:lineRule="exact"/>
        <w:rPr>
          <w:sz w:val="20"/>
          <w:szCs w:val="20"/>
          <w:color w:val="auto"/>
        </w:rPr>
      </w:pPr>
    </w:p>
    <w:p>
      <w:pPr>
        <w:ind w:right="40"/>
        <w:spacing w:after="0" w:line="364" w:lineRule="auto"/>
        <w:rPr>
          <w:sz w:val="20"/>
          <w:szCs w:val="20"/>
          <w:color w:val="auto"/>
        </w:rPr>
      </w:pPr>
      <w:r>
        <w:rPr>
          <w:rFonts w:ascii="Arial" w:cs="Arial" w:eastAsia="Arial" w:hAnsi="Arial"/>
          <w:sz w:val="15"/>
          <w:szCs w:val="15"/>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in connection with the securities that they remarket.</w:t>
      </w:r>
    </w:p>
    <w:p>
      <w:pPr>
        <w:spacing w:after="0" w:line="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convey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49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49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7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Agents. </w:t>
      </w:r>
      <w:r>
        <w:rPr>
          <w:rFonts w:ascii="Arial" w:cs="Arial" w:eastAsia="Arial" w:hAnsi="Arial"/>
          <w:sz w:val="17"/>
          <w:szCs w:val="17"/>
          <w:color w:val="auto"/>
        </w:rPr>
        <w:t>We may also sell any of the securities through agents designated by us from time to time. We will name any agent involved in the offer or sale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and will list commissions payable by us to these agents in the prospectus supplement. These agents will be acting on a best efforts basis to solicit purchases for the period of their appointment, unless we state otherwise in the applicable prospectus supplement.</w:t>
      </w:r>
    </w:p>
    <w:p>
      <w:pPr>
        <w:spacing w:after="0" w:line="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 xml:space="preserve">Direct Sales. </w:t>
      </w:r>
      <w:r>
        <w:rPr>
          <w:rFonts w:ascii="Arial" w:cs="Arial" w:eastAsia="Arial" w:hAnsi="Arial"/>
          <w:sz w:val="18"/>
          <w:szCs w:val="18"/>
          <w:color w:val="auto"/>
        </w:rPr>
        <w:t>We may sell any of the securities directly to purchasers. In this case, we will not engage underwriters or agents in the offer and sale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w:t>
      </w:r>
    </w:p>
    <w:p>
      <w:pPr>
        <w:spacing w:after="0" w:line="74"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b w:val="1"/>
          <w:bCs w:val="1"/>
          <w:i w:val="1"/>
          <w:iCs w:val="1"/>
          <w:color w:val="auto"/>
        </w:rPr>
        <w:t xml:space="preserve">Indemnification. </w:t>
      </w:r>
      <w:r>
        <w:rPr>
          <w:rFonts w:ascii="Arial" w:cs="Arial" w:eastAsia="Arial" w:hAnsi="Arial"/>
          <w:sz w:val="18"/>
          <w:szCs w:val="18"/>
          <w:color w:val="auto"/>
        </w:rPr>
        <w:t>We may indemnify underwriters, dealers or agents who participate in the distribution of the securities against certain liabilities,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under the Securities Act of 1933, as amended, and agree to contribute to payments which these underwriters, dealers or agents may be required to make.</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Listing. </w:t>
      </w:r>
      <w:r>
        <w:rPr>
          <w:rFonts w:ascii="Arial" w:cs="Arial" w:eastAsia="Arial" w:hAnsi="Arial"/>
          <w:sz w:val="18"/>
          <w:szCs w:val="18"/>
          <w:color w:val="auto"/>
        </w:rPr>
        <w:t>Our common stock is currently listed on the Nasdaq National Market under the symbol “STEM”. No underwriters will be obligated to make a market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securities. We cannot predict the activity or liquidity of any trading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Where you can find more information</w:t>
      </w:r>
    </w:p>
    <w:p>
      <w:pPr>
        <w:spacing w:after="0" w:line="126"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color w:val="auto"/>
        </w:rPr>
        <w:t xml:space="preserve">We file annual, quarterly and special reports, proxy statements and other information with the SEC. Our SEC filings are available over the Internet at the SEC’s web 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You may also read and copy any document we file with the SEC at its public reference facility: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Public Reference Room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9"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You may also obtain copies of the documents at prescribed rates by writing to the Public Reference Section of the SEC, 100 F Street, N.E., Washington, DC 20549. Please call 1-800-SEC-0330 for further information on the operations of the public reference facility and copying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Incorporation of certain documents by reference</w:t>
      </w:r>
    </w:p>
    <w:p>
      <w:pPr>
        <w:spacing w:after="0" w:line="126"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the information that we file later with the SEC will automatically update and supersede this information. We incorporate by reference in this prospectus the following documents filed by us with the SEC:</w:t>
      </w:r>
    </w:p>
    <w:p>
      <w:pPr>
        <w:spacing w:after="0" w:line="31" w:lineRule="exact"/>
        <w:rPr>
          <w:sz w:val="20"/>
          <w:szCs w:val="20"/>
          <w:color w:val="auto"/>
        </w:rPr>
      </w:pPr>
    </w:p>
    <w:p>
      <w:pPr>
        <w:ind w:left="180" w:hanging="174"/>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Annual Report on Form 10-K for the year ended December 31, 2004, including any amendment filed for the purpose of updating such Annual Report;</w:t>
      </w:r>
    </w:p>
    <w:p>
      <w:pPr>
        <w:spacing w:after="0" w:line="158" w:lineRule="exact"/>
        <w:rPr>
          <w:rFonts w:ascii="Arial" w:cs="Arial" w:eastAsia="Arial" w:hAnsi="Arial"/>
          <w:sz w:val="15"/>
          <w:szCs w:val="15"/>
          <w:color w:val="auto"/>
        </w:rPr>
      </w:pPr>
    </w:p>
    <w:p>
      <w:pPr>
        <w:ind w:left="180" w:right="240" w:hanging="174"/>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2005, June 30, 2005 and September 30, 2005 including any amendment filed for the purpose of updating such Quarterly Reports;</w:t>
      </w:r>
    </w:p>
    <w:p>
      <w:pPr>
        <w:spacing w:after="0" w:line="87" w:lineRule="exact"/>
        <w:rPr>
          <w:rFonts w:ascii="Arial" w:cs="Arial" w:eastAsia="Arial" w:hAnsi="Arial"/>
          <w:sz w:val="18"/>
          <w:szCs w:val="18"/>
          <w:color w:val="auto"/>
        </w:rPr>
      </w:pPr>
    </w:p>
    <w:p>
      <w:pPr>
        <w:ind w:left="180" w:hanging="174"/>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Proxy Statement for Annual Meeting of Stockholders on Schedule 14A filed with the SEC on March 23, 2005;</w:t>
      </w:r>
    </w:p>
    <w:p>
      <w:pPr>
        <w:spacing w:after="0" w:line="123" w:lineRule="exact"/>
        <w:rPr>
          <w:rFonts w:ascii="Arial" w:cs="Arial" w:eastAsia="Arial" w:hAnsi="Arial"/>
          <w:sz w:val="18"/>
          <w:szCs w:val="18"/>
          <w:color w:val="auto"/>
        </w:rPr>
      </w:pPr>
    </w:p>
    <w:p>
      <w:pPr>
        <w:ind w:left="180" w:right="200" w:hanging="174"/>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statements on Form 8-A (File No. 1- 19871) filed under the Exchange Act, including any amendment or report filed for the purpose of updating such description; and</w:t>
      </w:r>
    </w:p>
    <w:p>
      <w:pPr>
        <w:spacing w:after="0" w:line="87" w:lineRule="exact"/>
        <w:rPr>
          <w:rFonts w:ascii="Arial" w:cs="Arial" w:eastAsia="Arial" w:hAnsi="Arial"/>
          <w:sz w:val="18"/>
          <w:szCs w:val="18"/>
          <w:color w:val="auto"/>
        </w:rPr>
      </w:pPr>
    </w:p>
    <w:p>
      <w:pPr>
        <w:ind w:left="180" w:right="180" w:hanging="174"/>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November 1, 2005, October 20, 2005, September 27, 2005, September 8, 2005, September 1, 2005, August 3, 2005, July 6, 2005, April 27, 2005, March 15, 2005, March 4, 2005, February 1, 2005 and January 11, 2005.</w:t>
      </w:r>
    </w:p>
    <w:p>
      <w:pPr>
        <w:spacing w:after="0" w:line="7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Any statement made in a document incorporated by reference or deemed incorporated herein by reference is deemed to be modified or superseded for purposes of this prospectus if a statement contained in this prospectus or in any other subsequently filed document which is also incorporated or deemed incorporated by reference herein modifies or supersedes that statement. Any such statement so modified or superseded shall not be deemed, except as so modified or superseded, to constitute a part of this prospectus. We also incorporate by reference all documents filed pursuant to Sections 13(a), 13(c), 14 or 15(d) of the Exchange Act after the date of this prospectus and prior to the termination of this offering; provided, however, that we are not incorporating any information furnished under any of Item 2.02 or Item 7.01 of any current report on Form 8-K.</w:t>
      </w:r>
    </w:p>
    <w:p>
      <w:pPr>
        <w:spacing w:after="0" w:line="76" w:lineRule="exact"/>
        <w:rPr>
          <w:sz w:val="20"/>
          <w:szCs w:val="20"/>
          <w:color w:val="auto"/>
        </w:rPr>
      </w:pPr>
    </w:p>
    <w:p>
      <w:pPr>
        <w:jc w:val="both"/>
        <w:ind w:right="60"/>
        <w:spacing w:after="0" w:line="329" w:lineRule="auto"/>
        <w:rPr>
          <w:sz w:val="20"/>
          <w:szCs w:val="20"/>
          <w:color w:val="auto"/>
        </w:rPr>
      </w:pPr>
      <w:r>
        <w:rPr>
          <w:rFonts w:ascii="Arial" w:cs="Arial" w:eastAsia="Arial" w:hAnsi="Arial"/>
          <w:sz w:val="15"/>
          <w:szCs w:val="15"/>
          <w:color w:val="auto"/>
        </w:rPr>
        <w:t>Statements made in this prospectus or in any document incorporated by reference in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StemCells,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irpr@stemcellsinc.com</w:t>
      </w:r>
    </w:p>
    <w:p>
      <w:pPr>
        <w:spacing w:after="0" w:line="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249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color w:val="auto"/>
        </w:rPr>
        <w:t>Legal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offering, Ropes &amp; Gray LLP, Boston, Massachusetts, is giving its opinion on the validity of the securities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color w:val="auto"/>
        </w:rPr>
        <w:t>Experts</w:t>
      </w:r>
    </w:p>
    <w:p>
      <w:pPr>
        <w:spacing w:after="0" w:line="126"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auto"/>
        </w:rPr>
        <w:t>The financial statements incorporated in this prospectus by reference from the Company’s Annual Report on Form 10-K for each of the two years ended December 31, 2003 and 2004 have been audited by Grant Thornton LLP, independent registered public accounting firm, as stated in their reports, each of which is incorporated herein by reference and has been so incorporated in reliance upon such reports given upon their authority as experts in accounting and auditing.</w:t>
      </w:r>
    </w:p>
    <w:p>
      <w:pPr>
        <w:spacing w:after="0" w:line="3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financial statements of StemCells, Inc. for the year ended December 31, 2002 appearing in the Company’s Annual Report on Form 10-K for the year ended December 31, 2004, have been audited by Ernst &amp; Young LLP, independent registered public accounting firm,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775335</wp:posOffset>
            </wp:positionV>
            <wp:extent cx="7249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220980</wp:posOffset>
            </wp:positionV>
            <wp:extent cx="2377440" cy="4533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77440"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sectPr>
      <w:pgSz w:w="11900" w:h="16838" w:orient="portrait"/>
      <w:cols w:equalWidth="0" w:num="1">
        <w:col w:w="10219"/>
      </w:cols>
      <w:pgMar w:left="2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650"/>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Ø"/>
      <w:numFmt w:val="bullet"/>
      <w:start w:val="1"/>
    </w:lvl>
  </w:abstractNum>
  <w:abstractNum w:abstractNumId="3">
    <w:nsid w:val="515F007C"/>
    <w:multiLevelType w:val="hybridMultilevel"/>
    <w:lvl w:ilvl="0">
      <w:lvlJc w:val="left"/>
      <w:lvlText w:val="Ø"/>
      <w:numFmt w:val="bullet"/>
      <w:start w:val="1"/>
    </w:lvl>
  </w:abstractNum>
  <w:abstractNum w:abstractNumId="4">
    <w:nsid w:val="5BD062C2"/>
    <w:multiLevelType w:val="hybridMultilevel"/>
    <w:lvl w:ilvl="0">
      <w:lvlJc w:val="left"/>
      <w:lvlText w:val="Ø"/>
      <w:numFmt w:val="bullet"/>
      <w:start w:val="1"/>
    </w:lvl>
  </w:abstractNum>
  <w:abstractNum w:abstractNumId="5">
    <w:nsid w:val="12200854"/>
    <w:multiLevelType w:val="hybridMultilevel"/>
    <w:lvl w:ilvl="0">
      <w:lvlJc w:val="left"/>
      <w:lvlText w:val="Ø"/>
      <w:numFmt w:val="bullet"/>
      <w:start w:val="1"/>
    </w:lvl>
  </w:abstractNum>
  <w:abstractNum w:abstractNumId="6">
    <w:nsid w:val="4DB127F8"/>
    <w:multiLevelType w:val="hybridMultilevel"/>
    <w:lvl w:ilvl="0">
      <w:lvlJc w:val="left"/>
      <w:lvlText w:val="Ø"/>
      <w:numFmt w:val="bullet"/>
      <w:start w:val="1"/>
    </w:lvl>
  </w:abstractNum>
  <w:abstractNum w:abstractNumId="7">
    <w:nsid w:val="216231B"/>
    <w:multiLevelType w:val="hybridMultilevel"/>
    <w:lvl w:ilvl="0">
      <w:lvlJc w:val="left"/>
      <w:lvlText w:val="Ø"/>
      <w:numFmt w:val="bullet"/>
      <w:start w:val="1"/>
    </w:lvl>
  </w:abstractNum>
  <w:abstractNum w:abstractNumId="8">
    <w:nsid w:val="1F16E9E8"/>
    <w:multiLevelType w:val="hybridMultilevel"/>
    <w:lvl w:ilvl="0">
      <w:lvlJc w:val="left"/>
      <w:lvlText w:val="Ø"/>
      <w:numFmt w:val="bullet"/>
      <w:start w:val="1"/>
    </w:lvl>
  </w:abstractNum>
  <w:abstractNum w:abstractNumId="9">
    <w:nsid w:val="1190CDE7"/>
    <w:multiLevelType w:val="hybridMultilevel"/>
    <w:lvl w:ilvl="0">
      <w:lvlJc w:val="left"/>
      <w:lvlText w:val="Ø"/>
      <w:numFmt w:val="bullet"/>
      <w:start w:val="1"/>
    </w:lvl>
  </w:abstractNum>
  <w:abstractNum w:abstractNumId="10">
    <w:nsid w:val="66EF438D"/>
    <w:multiLevelType w:val="hybridMultilevel"/>
    <w:lvl w:ilvl="0">
      <w:lvlJc w:val="left"/>
      <w:lvlText w:val="Ø"/>
      <w:numFmt w:val="bullet"/>
      <w:start w:val="1"/>
    </w:lvl>
  </w:abstractNum>
  <w:abstractNum w:abstractNumId="11">
    <w:nsid w:val="140E0F76"/>
    <w:multiLevelType w:val="hybridMultilevel"/>
    <w:lvl w:ilvl="0">
      <w:lvlJc w:val="left"/>
      <w:lvlText w:val="Ø"/>
      <w:numFmt w:val="bullet"/>
      <w:start w:val="1"/>
    </w:lvl>
  </w:abstractNum>
  <w:abstractNum w:abstractNumId="12">
    <w:nsid w:val="3352255A"/>
    <w:multiLevelType w:val="hybridMultilevel"/>
    <w:lvl w:ilvl="0">
      <w:lvlJc w:val="left"/>
      <w:lvlText w:val="Ø"/>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2019-12-13T21:00:16Z</dcterms:created>
  <dcterms:modified xsi:type="dcterms:W3CDTF">2019-12-13T21:00:16Z</dcterms:modified>
</cp:coreProperties>
</file>