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142875</wp:posOffset>
            </wp:positionV>
            <wp:extent cx="3000375" cy="1097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0375" cy="10972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520"/>
        <w:spacing w:after="0"/>
        <w:rPr>
          <w:sz w:val="20"/>
          <w:szCs w:val="20"/>
          <w:color w:val="auto"/>
        </w:rPr>
      </w:pPr>
      <w:r>
        <w:rPr>
          <w:rFonts w:ascii="Times New Roman" w:cs="Times New Roman" w:eastAsia="Times New Roman" w:hAnsi="Times New Roman"/>
          <w:sz w:val="17"/>
          <w:szCs w:val="17"/>
          <w:b w:val="1"/>
          <w:bCs w:val="1"/>
          <w:color w:val="auto"/>
        </w:rPr>
        <w:t>Filed Pursuant to Rule 424(b)(5)</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No. 333-275634</w:t>
      </w:r>
    </w:p>
    <w:p>
      <w:pPr>
        <w:spacing w:after="0" w:line="211" w:lineRule="exact"/>
        <w:rPr>
          <w:sz w:val="24"/>
          <w:szCs w:val="24"/>
          <w:color w:val="auto"/>
        </w:rPr>
      </w:pPr>
    </w:p>
    <w:p>
      <w:pPr>
        <w:sectPr>
          <w:pgSz w:w="11900" w:h="16838" w:orient="portrait"/>
          <w:cols w:equalWidth="0" w:num="2">
            <w:col w:w="7520" w:space="720"/>
            <w:col w:w="3000"/>
          </w:cols>
          <w:pgMar w:left="320" w:top="44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$4,819,905 of Common Stock</w:t>
      </w:r>
    </w:p>
    <w:p>
      <w:pPr>
        <w:spacing w:after="0" w:line="229"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an At The Market Offering Agreement, or sales agreement, with H.C. Wainwright &amp; Co., LLC, or Wainwright, dated June 10, 2021, as amended on July 1, 2024, relating to the sale of shares of our common stock offered by this prospectus supplement and the accompanying prospectus. In accordance with the terms of the sales agreement, we may offer and sell shares of our common stock having an aggregate offering price of up to $4,819,905 from time to time through Wainwright, acting as sales agent, under this prospectus supplement and the accompanying prospectus.</w:t>
      </w:r>
    </w:p>
    <w:p>
      <w:pPr>
        <w:spacing w:after="0" w:line="180"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June 28, 2024, the last reported sale price of our common stock on The Nasdaq Capital Market was $1.02 per share.</w:t>
      </w:r>
    </w:p>
    <w:p>
      <w:pPr>
        <w:spacing w:after="0" w:line="162"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Upon our delivery of a placement notice and subject to the terms and conditions of the sales agreement, Wainwright may sell shares of our common stock under this prospectus supplement by any method permitted that is deemed an “at the market offering” as defined in Rule 415 under the Securities Act of 1933, as amended, or the Securities Act, including sales made directly on or through the Nasdaq Capital Market, the existing trading market for our common stock, sales made to or through a market maker other than on an exchange or otherwise, directly to Wainwright as principal, in negotiated transactions at market prices prevailing at the time of sale or at prices related to such prevailing market prices, and/or in any other method permitted by law. If we sell shares of common stock to Wainwright, as principal, we will enter into a separate terms agreement with Wainwright, and we will describe the agreement in a separate prospectus supplement or pricing supplement. Wainwright is not required to sell any specific amount, but will act as our sales agent using commercially reasonable efforts consistent with its normal trading and sales practices. There is no arrangement for funds to be received in any escrow, trust or similar arrangement.</w:t>
      </w:r>
    </w:p>
    <w:p>
      <w:pPr>
        <w:spacing w:after="0" w:line="188"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pay Wainwright a commission of 3.0% of the gross proceeds of the sales price per share. In connection with the sale of common stock on our behalf pursuant to this prospectus supplement and the accompanying prospectus, Wainwright will be deemed to be an “underwriter” within the meaning of the Securities Act and the compensation of Wainwright will be deemed to be underwriting commissions or discounts. We have agreed to provide indemnification and contribution to Wainwright against certain civil liabilities, including liabilities under the Securities Act.</w:t>
      </w:r>
    </w:p>
    <w:p>
      <w:pPr>
        <w:spacing w:after="0" w:line="180"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July 1, 2024, the aggregate market value of our outstanding common stock held by non-affiliates, computed by reference to the price at which our common stock was last sold on The Nasdaq Capital Market on June 3, 2024, which was $1.38 per share, was approximately $21.5 million, based on 15,965,633 shares of our outstanding common stock as of the date of this prospectus supplement, of which 15,586,758 shares were held by non-affiliates. Pursuant to General Instruction I.B.6 of Form S-3, in no event will we sell securities in a public primary offering with a value exceeding one-third of our public float in any 12-month period so long as our public float remains below $75.0 million. During the 12 calendar months prior to and including the date of this prospectus supplement (excluding this offering), we have we have sold approximately $ 2.35 million in securities pursuant to General Instruction I.B.6 of Form S-3.</w:t>
      </w:r>
    </w:p>
    <w:p>
      <w:pPr>
        <w:spacing w:after="0" w:line="185" w:lineRule="exact"/>
        <w:rPr>
          <w:sz w:val="24"/>
          <w:szCs w:val="24"/>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involves certain risks. See “Risk Factors” beginning on page S-9 of this prospectus supplement and page 4 of the accompanying base prospectus and the risks and uncertainties described in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documents we file with the Securities and Exchange</w:t>
      </w:r>
    </w:p>
    <w:p>
      <w:pPr>
        <w:spacing w:after="0" w:line="1"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Commission that are incorporated by reference in this prospectus supplement for certain risks and uncertainties relating to an investment in our common stock.</w:t>
      </w:r>
    </w:p>
    <w:p>
      <w:pPr>
        <w:spacing w:after="0" w:line="177"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Neither the Securities and Exchange Commission nor any state securities commission has approved or disapproved of </w:t>
      </w:r>
      <w:r>
        <w:rPr>
          <w:rFonts w:ascii="Times New Roman" w:cs="Times New Roman" w:eastAsia="Times New Roman" w:hAnsi="Times New Roman"/>
          <w:sz w:val="18"/>
          <w:szCs w:val="18"/>
          <w:color w:val="auto"/>
        </w:rPr>
        <w:t>these</w:t>
      </w:r>
      <w:r>
        <w:rPr>
          <w:rFonts w:ascii="Times New Roman" w:cs="Times New Roman" w:eastAsia="Times New Roman" w:hAnsi="Times New Roman"/>
          <w:sz w:val="18"/>
          <w:szCs w:val="18"/>
          <w:b w:val="1"/>
          <w:bCs w:val="1"/>
          <w:color w:val="auto"/>
        </w:rPr>
        <w:t xml:space="preserve"> securities or passed upon the adequacy or accuracy of this prospectus supplement or the accompanying base prospectus.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H.C. Wainwright &amp; Co.</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July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180" w:type="dxa"/>
            <w:vAlign w:val="bottom"/>
            <w:gridSpan w:val="5"/>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60" w:type="dxa"/>
            <w:vAlign w:val="bottom"/>
            <w:gridSpan w:val="6"/>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6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30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21"/>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gridSpan w:val="5"/>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Pages</w:t>
            </w: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bottom w:val="single" w:sz="8" w:color="0000EE"/>
            </w:tcBorders>
            <w:gridSpan w:val="14"/>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000EE"/>
              </w:rPr>
              <w:t>PROSPECTUS SUMMARY</w:t>
            </w:r>
          </w:p>
        </w:tc>
        <w:tc>
          <w:tcPr>
            <w:tcW w:w="8400" w:type="dxa"/>
            <w:vAlign w:val="bottom"/>
            <w:tcBorders>
              <w:top w:val="single" w:sz="8" w:color="CCEEFF"/>
              <w:bottom w:val="single" w:sz="8" w:color="CCEEFF"/>
            </w:tcBorders>
            <w:gridSpan w:val="14"/>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CAUTIONARY NOTE REGARDING FORWARD-LOOKING STATEMENTS</w:t>
            </w:r>
          </w:p>
        </w:tc>
        <w:tc>
          <w:tcPr>
            <w:tcW w:w="44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PREFERRED STOCK</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724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2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RIGHTS</w:t>
            </w:r>
          </w:p>
        </w:tc>
        <w:tc>
          <w:tcPr>
            <w:tcW w:w="738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8460" w:type="dxa"/>
            <w:vAlign w:val="bottom"/>
            <w:tcBorders>
              <w:top w:val="single" w:sz="8" w:color="CCEEFF"/>
            </w:tcBorders>
            <w:gridSpan w:val="16"/>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9760" w:type="dxa"/>
            <w:vAlign w:val="bottom"/>
            <w:tcBorders>
              <w:bottom w:val="single" w:sz="8" w:color="CCEEFF"/>
            </w:tcBorders>
            <w:gridSpan w:val="2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7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44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relates to the offering of our common stock. Before buying any of the common stock that we are offering, you should carefully read the accompanying base prospectus, this prospectus supplement, any supplement to this prospectus supplement, the information and documents incorporated herein by reference and the additional information under the heading “Where You Can Find Additional Information” and “Incorporation of Certain Information by Reference.” These documents contain important information that you should consider when making your investment decision.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provide information to you about this offering of our common stock in two separate documents that are bound together: (i) this prospectus supplement, which describes the specific details regarding this offering; and (ii)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should rely only on this prospectus supplement and the information incorporated or deemed to be incorporated by reference in this prospectus supplement or in any free writing prospectuses we provide you. We have not, and Wainwright has not, authorized anyone to provide you with information that is in addition to, or different from, that contained or incorporated by reference in this prospectus supplement. If anyone provides you with different or inconsistent information, you should not rely on it. We are not, and Wainwright is not, offering to sell securities in any jurisdiction where the offer or sale is not permitted. You should not assume that the information contained or incorporated by reference in this prospectus supplement is accurate as of any date other than as of the date of this prospectus supplement or in the case of the documents incorporated by reference, the date of such documents regardless of the time of delivery of this prospectus supplement or any sale of our common stock. Our business, financial condition, liquidity, results of operations, and prospects may have changed since those dates.</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When used in this prospectus supplement, the terms “Microbot,” “we,” “our” and “us” refer to Microbot Medical Inc. and its consolidated subsidiaries, unless otherwise specified.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in this prospectus supplement include forward-looking statements within the meaning of Section 27A of the Securities Act of 1933, as amended, or the Securities Act, and Section 21E of the Securities Exchange Act of 1934, as amended, or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our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082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7875" cy="6082030"/>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base prospectus, including the documents incorporated by reference, which are described under “Where You Can Find Additional Information” and “Incorporation of Certain Information by Reference” in this prospectus supplement. You should also carefully consider the matters discussed in the section in this prospectus supplement entitled “Risk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MIS involves three major categories of devices: surgical, monitoring and visualization, and endoscopy. The global MIS surgery market is expected to reach $49.9 billion by 2029, growing at a CAGR of 9.5%, according to a 2024 MarketsandMarkets report. We believe that the market for surgical devices, including ablation, electrosurgery and medical robotic systems, accounts for the largest share of revenue and is also expected to show a high rate of growth, and that the market in surgical robots is projected to grow by approximately 17% CAGR from 2021 to 2030 according to a 2023 Strategic Market Research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LIBERTY</w:t>
      </w:r>
      <w:r>
        <w:rPr>
          <w:rFonts w:ascii="Times New Roman" w:cs="Times New Roman" w:eastAsia="Times New Roman" w:hAnsi="Times New Roman"/>
          <w:sz w:val="29"/>
          <w:szCs w:val="29"/>
          <w:b w:val="1"/>
          <w:bCs w:val="1"/>
          <w:i w:val="1"/>
          <w:iCs w:val="1"/>
          <w:color w:val="auto"/>
          <w:highlight w:val="white"/>
          <w:vertAlign w:val="superscript"/>
        </w:rPr>
        <w:t>®</w:t>
      </w:r>
      <w:r>
        <w:rPr>
          <w:rFonts w:ascii="Times New Roman" w:cs="Times New Roman" w:eastAsia="Times New Roman" w:hAnsi="Times New Roman"/>
          <w:sz w:val="18"/>
          <w:szCs w:val="18"/>
          <w:b w:val="1"/>
          <w:bCs w:val="1"/>
          <w:i w:val="1"/>
          <w:iCs w:val="1"/>
          <w:color w:val="auto"/>
          <w:highlight w:val="white"/>
        </w:rPr>
        <w:t xml:space="preserve"> Endovascular Robotic Surgical System</w:t>
      </w:r>
    </w:p>
    <w:p>
      <w:pPr>
        <w:spacing w:after="0" w:line="13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features a unique compact design with the capability to be operated remotely, reduce radiation exposure and physical strain to the physician, reduce the risk of</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cross contamination, as 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20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4"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highlight w:val="white"/>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844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6844665"/>
                    </a:xfrm>
                    <a:prstGeom prst="rect">
                      <a:avLst/>
                    </a:prstGeom>
                    <a:noFill/>
                  </pic:spPr>
                </pic:pic>
              </a:graphicData>
            </a:graphic>
          </wp:anchor>
        </w:drawing>
        <w:t>The LIBERTY</w:t>
      </w:r>
      <w:r>
        <w:rPr>
          <w:rFonts w:ascii="Times New Roman" w:cs="Times New Roman" w:eastAsia="Times New Roman" w:hAnsi="Times New Roman"/>
          <w:sz w:val="29"/>
          <w:szCs w:val="29"/>
          <w:color w:val="auto"/>
          <w:highlight w:val="white"/>
          <w:vertAlign w:val="superscript"/>
        </w:rPr>
        <w:t>®</w:t>
      </w:r>
      <w:r>
        <w:rPr>
          <w:rFonts w:ascii="Times New Roman" w:cs="Times New Roman" w:eastAsia="Times New Roman" w:hAnsi="Times New Roman"/>
          <w:sz w:val="18"/>
          <w:szCs w:val="18"/>
          <w:color w:val="auto"/>
          <w:highlight w:val="white"/>
        </w:rPr>
        <w:t xml:space="preserve"> Endovascular Robotic Surgical System is being designed to have the following attributes:</w:t>
      </w:r>
    </w:p>
    <w:p>
      <w:pPr>
        <w:spacing w:after="0" w:line="135" w:lineRule="exact"/>
        <w:rPr>
          <w:sz w:val="20"/>
          <w:szCs w:val="20"/>
          <w:color w:val="auto"/>
        </w:rPr>
      </w:pPr>
    </w:p>
    <w:p>
      <w:pPr>
        <w:ind w:left="980" w:hanging="327"/>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white"/>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white"/>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980" w:right="20" w:hanging="327"/>
        <w:spacing w:after="0" w:line="188" w:lineRule="auto"/>
        <w:tabs>
          <w:tab w:leader="none" w:pos="98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highlight w:val="white"/>
        </w:rPr>
        <w:t>One &amp; Done® - Can be made compatible with Microbot’s NitiLoop’s NovaCross</w:t>
      </w:r>
      <w:r>
        <w:rPr>
          <w:rFonts w:ascii="Times New Roman" w:cs="Times New Roman" w:eastAsia="Times New Roman" w:hAnsi="Times New Roman"/>
          <w:sz w:val="29"/>
          <w:szCs w:val="29"/>
          <w:color w:val="auto"/>
          <w:highlight w:val="white"/>
          <w:vertAlign w:val="superscript"/>
        </w:rPr>
        <w:t>®</w:t>
      </w:r>
      <w:r>
        <w:rPr>
          <w:rFonts w:ascii="Times New Roman" w:cs="Times New Roman" w:eastAsia="Times New Roman" w:hAnsi="Times New Roman"/>
          <w:sz w:val="18"/>
          <w:szCs w:val="18"/>
          <w:color w:val="auto"/>
          <w:highlight w:val="white"/>
        </w:rPr>
        <w:t xml:space="preserve"> products or possibly other guidewire/microcatheter technologies, that combines guidewire and microcatheter into a single device.</w:t>
      </w:r>
    </w:p>
    <w:p>
      <w:pPr>
        <w:spacing w:after="0" w:line="198" w:lineRule="exact"/>
        <w:rPr>
          <w:rFonts w:ascii="Times New Roman" w:cs="Times New Roman" w:eastAsia="Times New Roman" w:hAnsi="Times New Roman"/>
          <w:sz w:val="36"/>
          <w:szCs w:val="36"/>
          <w:color w:val="auto"/>
          <w:vertAlign w:val="superscript"/>
        </w:rPr>
      </w:pPr>
    </w:p>
    <w:p>
      <w:pPr>
        <w:ind w:left="980" w:right="20" w:hanging="327"/>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white"/>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white"/>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white"/>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white"/>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highlight w:val="white"/>
        </w:rPr>
        <w:t>Telemedicine compatible - Capable of supporting tele-catheterization, carried out remotely by highly trained specialists.</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highlight w:val="white"/>
        </w:rPr>
        <w:t>On August 17, 2020, Microbot announced the successful conclusion of its feasibility animal study using the LIBERTY</w:t>
      </w:r>
      <w:r>
        <w:rPr>
          <w:rFonts w:ascii="Times New Roman" w:cs="Times New Roman" w:eastAsia="Times New Roman" w:hAnsi="Times New Roman"/>
          <w:sz w:val="29"/>
          <w:szCs w:val="29"/>
          <w:color w:val="auto"/>
          <w:highlight w:val="white"/>
          <w:vertAlign w:val="superscript"/>
        </w:rPr>
        <w:t>®</w:t>
      </w:r>
      <w:r>
        <w:rPr>
          <w:rFonts w:ascii="Times New Roman" w:cs="Times New Roman" w:eastAsia="Times New Roman" w:hAnsi="Times New Roman"/>
          <w:sz w:val="18"/>
          <w:szCs w:val="18"/>
          <w:color w:val="auto"/>
          <w:highlight w:val="white"/>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ind w:firstLine="648"/>
        <w:spacing w:after="0" w:line="188"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6" w:name="page7"/>
    <w:bookmarkEnd w:id="6"/>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8610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8610600"/>
                    </a:xfrm>
                    <a:prstGeom prst="rect">
                      <a:avLst/>
                    </a:prstGeom>
                    <a:noFill/>
                  </pic:spPr>
                </pic:pic>
              </a:graphicData>
            </a:graphic>
          </wp:anchor>
        </w:drawing>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had previously taken the first step to advance our European program by engaging with a leading Notified Body. As a result, we recently completed our on-site audits for ISO 13485 certification to ensure compliance of the Quality Management System (QMS) requirements, and the results are being reviewed by the Notified Body.</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US Food &amp; Drug Administration in the first half of 2025, and CE Mark approval in the second half of 2025. However, we can give no assurance that we will meet either or both of these projected milestones, if ever.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NovaCross</w:t>
      </w:r>
      <w:r>
        <w:rPr>
          <w:rFonts w:ascii="Times New Roman" w:cs="Times New Roman" w:eastAsia="Times New Roman" w:hAnsi="Times New Roman"/>
          <w:sz w:val="29"/>
          <w:szCs w:val="29"/>
          <w:b w:val="1"/>
          <w:bCs w:val="1"/>
          <w:color w:val="auto"/>
          <w:vertAlign w:val="superscript"/>
        </w:rPr>
        <w:t>TM</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Microbot currently holds an intellectual property portfolio of 13 patents issued/allowed and 60 patent applications pending worldwide. </w:t>
      </w:r>
      <w:r>
        <w:rPr>
          <w:rFonts w:ascii="Times New Roman" w:cs="Times New Roman" w:eastAsia="Times New Roman" w:hAnsi="Times New Roman"/>
          <w:sz w:val="18"/>
          <w:szCs w:val="18"/>
          <w:color w:val="auto"/>
          <w:highlight w:val="white"/>
        </w:rPr>
        <w:t>Microbot also holds 10 design patents issued/allowed and 5 design patents pending worldwide. It also has registered trademarks in Israel, Europe, UK</w:t>
      </w:r>
    </w:p>
    <w:p>
      <w:pPr>
        <w:jc w:val="both"/>
        <w:spacing w:after="0" w:line="221" w:lineRule="auto"/>
        <w:rPr>
          <w:sz w:val="20"/>
          <w:szCs w:val="20"/>
          <w:color w:val="auto"/>
        </w:rPr>
      </w:pPr>
      <w:r>
        <w:rPr>
          <w:rFonts w:ascii="Times New Roman" w:cs="Times New Roman" w:eastAsia="Times New Roman" w:hAnsi="Times New Roman"/>
          <w:sz w:val="18"/>
          <w:szCs w:val="18"/>
          <w:color w:val="auto"/>
          <w:highlight w:val="white"/>
        </w:rPr>
        <w:t>and the U.S. relating to the LIBERTY</w:t>
      </w:r>
      <w:r>
        <w:rPr>
          <w:rFonts w:ascii="Times New Roman" w:cs="Times New Roman" w:eastAsia="Times New Roman" w:hAnsi="Times New Roman"/>
          <w:sz w:val="29"/>
          <w:szCs w:val="29"/>
          <w:color w:val="auto"/>
          <w:highlight w:val="white"/>
          <w:vertAlign w:val="superscript"/>
        </w:rPr>
        <w:t>®</w:t>
      </w:r>
      <w:r>
        <w:rPr>
          <w:rFonts w:ascii="Times New Roman" w:cs="Times New Roman" w:eastAsia="Times New Roman" w:hAnsi="Times New Roman"/>
          <w:sz w:val="18"/>
          <w:szCs w:val="18"/>
          <w:color w:val="auto"/>
          <w:highlight w:val="white"/>
        </w:rPr>
        <w:t xml:space="preserve"> Endovascular Robotic Surgical System, and also has trademarks relating to its proprietary Microbot Medical wordmark and logo registered in Israel, Europe, and UK, and pending in the U.S., in addition to having registered trademarks for the “One &amp; Done” wordmark in Israel, Europe, the U.S., UK, and Japan. Microbot also has a registered trademark in the U.S. for the NovaCross trademark.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June 3, 2024, we announced that we have received the U.S. Food and Drug Administration’s approval to proceed with our pivotal human clinical trial as part of our Investigational Device Exemption (“IDE”) application for our LIBERTY® Endovascular Robotic Surgical System. </w:t>
      </w:r>
      <w:r>
        <w:rPr>
          <w:rFonts w:ascii="Times New Roman" w:cs="Times New Roman" w:eastAsia="Times New Roman" w:hAnsi="Times New Roman"/>
          <w:sz w:val="18"/>
          <w:szCs w:val="18"/>
          <w:color w:val="auto"/>
          <w:highlight w:val="white"/>
        </w:rPr>
        <w:t>Brigham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and Women’s Hospital, Boston, Massachusetts, will participate as a clinical trial site for the pivotal human clinical trial. Brigham and Women’s Hospital has completed the Site Initiation Visit, during which its clinical staff was trained on the clinical study protocols. In addition, a shipment of LIBERTY investigational units arrived at Brigham and Women’s Hospital for the clinical trial. </w:t>
      </w:r>
      <w:r>
        <w:rPr>
          <w:rFonts w:ascii="Times New Roman" w:cs="Times New Roman" w:eastAsia="Times New Roman" w:hAnsi="Times New Roman"/>
          <w:sz w:val="18"/>
          <w:szCs w:val="18"/>
          <w:color w:val="auto"/>
        </w:rPr>
        <w:t>We are also in the process of engaging additional</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leading centers to participate in the trial. In parallel to commencing the pivotal human clinical trial, we are completing our biocompatibility tests as required by its IDE application.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 and Concurrent Private Placement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3, 2024, we entered into securities purchase agreements with institutional investors, pursuant to which we agreed to issue and sell, in a registered direct offering priced at-the-market under the rules of The Nasdaq Stock Market, an aggregate of 1,566,669 shares of our common stock at an offering price of $1.50 per share. In a concurrent private placement, we agreed to issue to the investors Series F preferred investment options to purchase up to 3,133,338 shares of our common stock at an exercise price of $1.50 per share. Each Series F preferred investment option is exercisable immediately and will expire two years from the initial exercise date. The offerings closed on June 4, 2024, and we raised approximately $2.35 million in aggregate gross proceeds from such offerings, before deducting placement agent fees and expenses and related offering expenses.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issued at closing to the placement agent or its designees, warrants to purchase 78,333 shares of our common stock, which are exercisable immediately, expire two years from issuance, and have an exercise price of $1.875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7" w:name="page8"/>
    <w:bookmarkEnd w:id="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5379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5379085"/>
                    </a:xfrm>
                    <a:prstGeom prst="rect">
                      <a:avLst/>
                    </a:prstGeom>
                    <a:noFill/>
                  </pic:spPr>
                </pic:pic>
              </a:graphicData>
            </a:graphic>
          </wp:anchor>
        </w:drawing>
        <w:t>Pursuant to the Settlement Agreement, the Company paid Plaintiffs an aggregate of $2,154,000 (the “Total Settlement Amount”), consisting of a cash payment covered by the Company’s insurance carrier of $1,100,000 and 1,005,965 shares of restricted Company common stock (the “Shares”). Additionally, the Plaintiffs and the Company each agreed to fully release the other from all claims arising out of the Financing, the SPA and/or the allegations and claims asserted in the Lawsuit, subject to customary carve-outs.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filed a registration statement on Form S-1 covering the resale of the Shares (the “Resale Registration Statement”) pursuant to a Registration Rights Agreement (the “Registration Rights Agreement”), which was declared effective on April 3, 2024. We shall be required to make cash payments to the Plaintiffs in the event we fail to keep the Resale Registration Statement effective pursuant to the terms of the Registration Rights Agreement, and if we fail to remove the restrictions on the Shares pursuant to the terms of the Settlement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 supplement.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980" w:hanging="327"/>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supplement,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 Annual Report on Form 10-K for the year ended December 31, 2023 and our Quarterly Report on Form 10-Q for the three months ended March 31, 2024, as described under the caption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on page S-15 of this prospectus.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4418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4418965"/>
                    </a:xfrm>
                    <a:prstGeom prst="rect">
                      <a:avLst/>
                    </a:prstGeom>
                    <a:noFill/>
                  </pic:spPr>
                </pic:pic>
              </a:graphicData>
            </a:graphic>
          </wp:anchor>
        </w:drawing>
        <w:t>Corporate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288 Grove Street, Suite 388, Braintree, MA 02184.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are a “smaller reporting company” as defined in the Securities Exchange Act of 1934, as amended, or the Exchange Act, and have elected to take advantage of certain of the scaled disclosures available to smaller reporting companies, including certain of the reduced disclosure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xml:space="preserve"> in the registration statement of which this prospectus supplement is a part.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7599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7599045"/>
                    </a:xfrm>
                    <a:prstGeom prst="rect">
                      <a:avLst/>
                    </a:prstGeom>
                    <a:noFill/>
                  </pic:spPr>
                </pic:pic>
              </a:graphicData>
            </a:graphic>
          </wp:anchor>
        </w:drawing>
        <w:t>THE OFFERING</w:t>
      </w:r>
    </w:p>
    <w:p>
      <w:pPr>
        <w:sectPr>
          <w:pgSz w:w="11900" w:h="16838" w:orient="portrait"/>
          <w:cols w:equalWidth="0" w:num="1">
            <w:col w:w="10920"/>
          </w:cols>
          <w:pgMar w:left="480" w:top="900" w:right="49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having an aggregate offering price of up to $4,819,905.</w:t>
      </w:r>
    </w:p>
    <w:p>
      <w:pPr>
        <w:spacing w:after="0" w:line="200" w:lineRule="exact"/>
        <w:rPr>
          <w:sz w:val="20"/>
          <w:szCs w:val="20"/>
          <w:color w:val="auto"/>
        </w:rPr>
      </w:pPr>
    </w:p>
    <w:p>
      <w:pPr>
        <w:sectPr>
          <w:pgSz w:w="11900" w:h="16838" w:orient="portrait"/>
          <w:cols w:equalWidth="0" w:num="2">
            <w:col w:w="2200" w:space="320"/>
            <w:col w:w="8400"/>
          </w:cols>
          <w:pgMar w:left="480" w:top="900" w:right="499" w:bottom="1440" w:gutter="0" w:footer="0" w:header="0"/>
          <w:type w:val="continuous"/>
        </w:sectPr>
      </w:pPr>
    </w:p>
    <w:p>
      <w:pPr>
        <w:spacing w:after="0" w:line="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 to 20,691,030 shares (as more fully described in the notes following this table), after giving effect to the assumed sale of 4,725,397 shares of our common stock at an assumed price of $1.02 per share, which was the closing price of our common stock on the Nasdaq Capital Market on June 28, 2024. The actual number of shares issued will vary depending on the price at which shares may be sold from time to time during this offering.</w:t>
      </w:r>
    </w:p>
    <w:p>
      <w:pPr>
        <w:spacing w:after="0" w:line="176" w:lineRule="exact"/>
        <w:rPr>
          <w:sz w:val="20"/>
          <w:szCs w:val="20"/>
          <w:color w:val="auto"/>
        </w:rPr>
      </w:pPr>
    </w:p>
    <w:p>
      <w:pPr>
        <w:sectPr>
          <w:pgSz w:w="11900" w:h="16838" w:orient="portrait"/>
          <w:cols w:equalWidth="0" w:num="2">
            <w:col w:w="2320" w:space="200"/>
            <w:col w:w="8400"/>
          </w:cols>
          <w:pgMar w:left="480" w:top="90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Manner of offering</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Wainwright, acting as sales agent. See “Plan of Distribution” on page S-13.</w:t>
      </w:r>
    </w:p>
    <w:p>
      <w:pPr>
        <w:spacing w:after="0" w:line="158" w:lineRule="exact"/>
        <w:rPr>
          <w:sz w:val="20"/>
          <w:szCs w:val="20"/>
          <w:color w:val="auto"/>
        </w:rPr>
      </w:pPr>
    </w:p>
    <w:p>
      <w:pPr>
        <w:sectPr>
          <w:pgSz w:w="11900" w:h="16838" w:orient="portrait"/>
          <w:cols w:equalWidth="0" w:num="2">
            <w:col w:w="1800" w:space="720"/>
            <w:col w:w="8400"/>
          </w:cols>
          <w:pgMar w:left="480" w:top="90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Any net proceeds from the sales of shares pursuant to this offering will be used for the continued development,</w:t>
      </w:r>
    </w:p>
    <w:p>
      <w:pPr>
        <w:spacing w:after="0" w:line="27" w:lineRule="exact"/>
        <w:rPr>
          <w:sz w:val="20"/>
          <w:szCs w:val="20"/>
          <w:color w:val="auto"/>
        </w:rPr>
      </w:pPr>
    </w:p>
    <w:p>
      <w:pPr>
        <w:sectPr>
          <w:pgSz w:w="11900" w:h="16838" w:orient="portrait"/>
          <w:cols w:equalWidth="0" w:num="2">
            <w:col w:w="1800" w:space="720"/>
            <w:col w:w="8400"/>
          </w:cols>
          <w:pgMar w:left="480" w:top="900" w:right="499" w:bottom="1440" w:gutter="0" w:footer="0" w:header="0"/>
          <w:type w:val="continuous"/>
        </w:sectPr>
      </w:pPr>
    </w:p>
    <w:p>
      <w:pPr>
        <w:jc w:val="both"/>
        <w:ind w:left="2520"/>
        <w:spacing w:after="0" w:line="279" w:lineRule="auto"/>
        <w:rPr>
          <w:sz w:val="20"/>
          <w:szCs w:val="20"/>
          <w:color w:val="auto"/>
        </w:rPr>
      </w:pPr>
      <w:r>
        <w:rPr>
          <w:rFonts w:ascii="Times New Roman" w:cs="Times New Roman" w:eastAsia="Times New Roman" w:hAnsi="Times New Roman"/>
          <w:sz w:val="18"/>
          <w:szCs w:val="18"/>
          <w:color w:val="auto"/>
        </w:rPr>
        <w:t>commercialization and regulatory activities for the LIBERTY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Robotic System, expansion and development of additional applications derived from our existing intellectual property portfolio, and for working capital and other general corporate purposes. See “Use of Proceeds.”</w:t>
      </w:r>
    </w:p>
    <w:p>
      <w:pPr>
        <w:sectPr>
          <w:pgSz w:w="11900" w:h="16838" w:orient="portrait"/>
          <w:cols w:equalWidth="0" w:num="1">
            <w:col w:w="10920"/>
          </w:cols>
          <w:pgMar w:left="480" w:top="900" w:right="49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See “Risk Factors” beginning on page S-9 of this prospectus supplement and the other information included in, or incorporated by reference into, this prospectus supplement for a discussion of certain factors you should carefully consider before deciding to invest in shares of our common stock.</w:t>
      </w:r>
    </w:p>
    <w:p>
      <w:pPr>
        <w:spacing w:after="0" w:line="172" w:lineRule="exact"/>
        <w:rPr>
          <w:sz w:val="20"/>
          <w:szCs w:val="20"/>
          <w:color w:val="auto"/>
        </w:rPr>
      </w:pPr>
    </w:p>
    <w:p>
      <w:pPr>
        <w:sectPr>
          <w:pgSz w:w="11900" w:h="16838" w:orient="portrait"/>
          <w:cols w:equalWidth="0" w:num="2">
            <w:col w:w="1800" w:space="720"/>
            <w:col w:w="8400"/>
          </w:cols>
          <w:pgMar w:left="480" w:top="900" w:right="49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MBOT</w:t>
      </w:r>
    </w:p>
    <w:p>
      <w:pPr>
        <w:spacing w:after="0" w:line="452" w:lineRule="exact"/>
        <w:rPr>
          <w:sz w:val="20"/>
          <w:szCs w:val="20"/>
          <w:color w:val="auto"/>
        </w:rPr>
      </w:pPr>
    </w:p>
    <w:p>
      <w:pPr>
        <w:sectPr>
          <w:pgSz w:w="11900" w:h="16838" w:orient="portrait"/>
          <w:cols w:equalWidth="0" w:num="2">
            <w:col w:w="2160" w:space="360"/>
            <w:col w:w="8400"/>
          </w:cols>
          <w:pgMar w:left="480" w:top="900" w:right="499" w:bottom="1440"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immediately after this offering is based on 15,965,633 shares of our common stock outstanding as of June 28, 2024 and excludes the following securities outstanding on June 28, 2024:</w:t>
      </w:r>
    </w:p>
    <w:p>
      <w:pPr>
        <w:spacing w:after="0" w:line="162" w:lineRule="exact"/>
        <w:rPr>
          <w:sz w:val="20"/>
          <w:szCs w:val="20"/>
          <w:color w:val="auto"/>
        </w:rPr>
      </w:pPr>
    </w:p>
    <w:p>
      <w:pPr>
        <w:ind w:left="980" w:right="20" w:hanging="327"/>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ind w:left="980" w:right="20" w:hanging="327"/>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ind w:left="980" w:right="20" w:hanging="327"/>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ind w:left="980" w:right="20" w:hanging="327"/>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ind w:left="980" w:right="20" w:hanging="327"/>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ind w:left="980" w:hanging="327"/>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ind w:left="980" w:right="20" w:hanging="327"/>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ind w:left="980" w:hanging="327"/>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ind w:left="980" w:right="20" w:hanging="327"/>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jc w:val="both"/>
        <w:ind w:left="980" w:hanging="327"/>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2,575,679 shares of our common stock issuable upon the exercise of outstanding stock options granted to employees, directors and consultants, with exercise prices ranging from approximately $0.005 to $15.75 and having a weighted-average exercise price of $4.6 per share;</w:t>
      </w:r>
    </w:p>
    <w:p>
      <w:pPr>
        <w:spacing w:after="0" w:line="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9"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51,529 shares of our common stock reserved for future grant under our 2020 Omnibus Performance Award Plan.</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highlight w:val="white"/>
        </w:rPr>
        <w:t>Unless otherwise stated, information in this prospectus supplement assumes no exercises of outstanding options, warrants or preferred investment options subsequent to March 31,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0" w:right="49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Securities and Exchange Commission, and in other documents incorporated by reference to our filings with the Securities and Exchange Commission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from this offering, you may not agree with how we use the proceeds, and the proceeds may not be invested successfully.</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as to the use of the net proceeds from any offering by us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It is possible that the proceeds will be invested in a way that does not yield a favorable, or any, return for Microbot.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our common stock in the public markets, or the perception that such sales could occur, could depress the market price of our common stock.</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markets could depress the market price of our common stock and impair our ability to raise capital through the sale of additional equity securities. We cannot predict the effect that future sales of our common stock would have on the market price of our common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any cash dividends on our common stock in the foreseeable future and, therefore, any return on your investment in our common stock must come from increases in the fair market value and trading price of our common stock.</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present time, we intend to use available funds to finance our operations. Accordingly, we have no present intention of paying any cash dividends on our common stock in the foreseeable future. Therefore, any return on your investment in our common stock must come from increases in the fair market value and trading price of our common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common stock offered under this prospectus supplement and the accompanying base prospectus may be sold in “at the market” offerings, and investors who buy shares at different times will likely pay different prices.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Investors who purchase shares under this prospectus supplement and the accompanying base prospectus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declines in the value of their shares as a result of share sales made at prices lower than the prices they paid.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at any one time or in total, is uncertain.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sales notice to Wainwright at any time throughout the term of the sales agreement. The number of shares that are sold by Wainwright after we deliver a sales notice will fluctuate based on the market price of the common stock during the sales period and limits we set with Wainwright. Because the price per share of each share sold will fluctuate based on the market price of our common stock during the sales period, it is not possible at this stage to predict the number of shares, if any, that will ultimately be issued.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opinions regarding our common stock, the price of our common stock and trading volume could decline.</w:t>
      </w:r>
    </w:p>
    <w:p>
      <w:pPr>
        <w:spacing w:after="0" w:line="15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the performance of our common stock, or if our operating results fail to meet the expectations of analysts, the price of our common stock would likely decline. If one or more of these analysts cease coverage of us or fail to publish reports on us regularly, we could lose visibility in the financial markets, which in turn could cause the price of our common stock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suffer immediate and substantial dilution in the net tangible book value per share of the common stock that you purchase in this offering.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shares sold in this offering, if any, will be sold from time to time at various prices; however, the assumed public offering price of our common stock is substantially higher than the pro forma as adjusted net tangible book value per share of our common stock after giving effect to this offering and the registered direct offering we consummated in June 2024. Therefore, investors purchasing shares of our common stock in this offering will pay a price per share that substantially exceeds the as adjusted net tangible book value per share after this offering. Assuming that an aggregate of 4,725,397 shares of our common stock are sold at an assumed public offering price of $1.02 per share, the last reported sale price of our common stock on The Nasdaq Capital Market on June 28, 2024 and based on our pro forma as adjusted net tangible book value as of March 31, 2024, for aggregate gross proceeds of approximately $4,819,905, and after deducting commissions and estimated offering expenses payable by us, new investors in this offering will experience immediate dilution of $0.404 per share, representing the difference between the assumed public offering price and our pro forma as adjusted net tangible book value per share after giving effect to this offering. See “Dilution” for a more detailed discussion of the dilution you would incur if you purchase shares of common stock in this offering.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sell shares of our common stock pursuant to the sales agreement with Wainwright, which may result in aggregate gross proceeds of up to $4,819,905, or approximately $4,560,308 in proceeds net of Wainwright’s fee and other offering expenses payable by the Company, assuming the sale of all shares offered hereunder. Because there is no minimum amount of shares of our common stock that must be sold pursuant to our sales agreement with Wainwright, the actual number of shares of our common stock sold and aggregate net proceeds to us are not presently determinable and may be substantially less than the amounts set forth above.</w:t>
      </w:r>
    </w:p>
    <w:p>
      <w:pPr>
        <w:spacing w:after="0" w:line="183"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the continued development, commercialization and regulatory activities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our existing intellectual property portfolio,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 invest in our shares of common stock, your interest in our common stock will be diluted immediately to the extent of the difference between the public offering price and the pro forma as adjusted net tangible book value per share of our common stock after this offering. Net tangible book value on March 31, 2024, was approximately $6.17 million or $0.428 per share. “Net tangible book value” is total assets minus the sum of liabilities and intangible assets. “Net tangible book value per share” is net tangible book value divided by the total number of shares outstanding.</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 forma net tangible book value as of March 31, 2024, was approximately $8,193,053, or approximately $0.513 per share, on a pro forma basis to give effect to the registered direct offering, which closed on June 4, 2024, of 1,566,669 shares of our common stock at the offering price of $1.50 per share and our concurrent private placement, which closed on June 4, 2024, of Series F preferred investment options to purchase up to 3,133,338 shares of our common stock at an exercise price of $1.50 per Series F preferred investment option, and warrants to purchase 78,333 shares of our common stock issued to the placement agent at an exercise price of $1.875 per share.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After giving effect to the sale by us in this offering of 4,725,397 shares of common stock at an assumed public offering price of $1.02 per share (the closing price of our common stock as quoted on The Nasdaq Capital Market on June 28, 2024), and after deducting the estimated commissions and estimated offering expenses that we will pay, our pro forma as adjusted net tangible book value as of March 31, 2024 would have been approximately $12,753,361, or $0.616 per share of common stock. This amount represents an immediate increase in net tangible book value of $0.103 per share to existing stockholders and an immediate dilution of $0.404 per share to purchasers in this offering.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14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Historical Net tangible book value per share as of March 31, 2024</w:t>
            </w:r>
          </w:p>
        </w:tc>
        <w:tc>
          <w:tcPr>
            <w:tcW w:w="14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0.428</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 forma Net tangible book value per share as of March 31, 2024</w:t>
            </w:r>
          </w:p>
        </w:tc>
        <w:tc>
          <w:tcPr>
            <w:tcW w:w="14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0.513</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this offering</w:t>
            </w:r>
          </w:p>
        </w:tc>
        <w:tc>
          <w:tcPr>
            <w:tcW w:w="14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0.103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as of March 31, 2024 after giving effect to the offering</w:t>
            </w:r>
          </w:p>
        </w:tc>
        <w:tc>
          <w:tcPr>
            <w:tcW w:w="14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0.616</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Dilution per share to new investors in offering</w:t>
            </w:r>
          </w:p>
        </w:tc>
        <w:tc>
          <w:tcPr>
            <w:tcW w:w="14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0.404</w:t>
            </w:r>
          </w:p>
        </w:tc>
      </w:tr>
    </w:tbl>
    <w:p>
      <w:pPr>
        <w:spacing w:after="0" w:line="1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above discussion and table are based on 14,398,964, 15,965,633 and 20,691,030 actual, pro forma and pro forma as adjusted shares of our common stock outstanding as of June 28, 2024 and exclude the following as of that date:</w:t>
      </w:r>
    </w:p>
    <w:p>
      <w:pPr>
        <w:spacing w:after="0" w:line="162" w:lineRule="exact"/>
        <w:rPr>
          <w:sz w:val="20"/>
          <w:szCs w:val="20"/>
          <w:color w:val="auto"/>
        </w:rPr>
      </w:pPr>
    </w:p>
    <w:p>
      <w:pPr>
        <w:ind w:left="98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ind w:left="9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ind w:left="9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ind w:left="9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ind w:left="9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ind w:left="9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ind w:left="9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ind w:left="980" w:right="2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ind w:left="980" w:right="2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jc w:val="both"/>
        <w:ind w:left="98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2,575,679 shares of our common stock issuable upon the exercise of outstanding stock options granted to employees, directors and consultants, with exercise prices ranging from approximately $0.005 to $15.75 and having a weighted-average exercise price of $4.6 per share;</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51,529 shares of our common stock reserved for future grant under our 2020 Omnibus Performance Award Plan.</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table does not give effect to the exercise of any of the outstanding options, the exercise of outstanding warrants, the exercise of any preferred investment options, or further issuances under the 2017 Equity Incentive Plan. To the extent that any of the foregoing has occurred, or will or has occur, subsequent to March 31, 2024, there will be further dilution to new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7"/>
          <w:szCs w:val="17"/>
          <w:color w:val="auto"/>
        </w:rPr>
        <w:t>Pursuant to our sales agreement with Wainwright, we may sell an aggregate of up to $4,819,905 of shares of our common stock from time to time through Wainwright as our agent for the offer and sale of the common stock pursuant to this prospectus supplement and the accompanying prospectus. The actual dollar amount and number of shares of common stock we sell pursuant to the sales agreement will be dependent on, among other things, market conditions and our capital requirements. Wainwright may sell the common stock by any method deemed to be an “at the market offering” as defined in Rule 415 of the Securities Act, including sales made directly on or through the Nasdaq Capital Market, the existing trading market for our common stock, sales made to or through a market maker other than on an exchange or otherwise, directly to Wainwright as principal, in negotiated transactions at market prices prevailing at the time of sale or at prices related to such prevailing market prices, and/or in any other method permitted by law. If we sell shares of common stock to Wainwright, as principal, we will enter into a separate terms agreement with Wainwright, and we will describe the agreement in a separate prospectus supplement or pricing supplement. We may instruct Wainwright not to sell our common stock if the sales cannot be effected at or above the price designated by us from time to time. We or Wainwright may suspend the offering of our common stock upon notice and subject to other conditions.</w:t>
      </w:r>
    </w:p>
    <w:p>
      <w:pPr>
        <w:spacing w:after="0" w:line="1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time that we wish to sell common stock under the sales agreement, we will provide Wainwright with a placement notice describing the number of shares to be issued, the time period during which sales are requested to be made, any limitation on the number of shares that may be sold in any one day, any minimum price below which sales may not be made and other sales parameters as we deem appropriate.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receipt of a placement notice from us, and subject to the terms and conditions of the sales agreement, Wainwright has agreed to use its commercially reasonable efforts consistent with its normal trading and sales practices to sell such shares up to the amount specified. The settlement between us and Wainwright of each sale will occur on the first trading day following the date on which the sale was made (or such shorter settlement cycle that is in effect under Exchange Act Rule 15c6-1 from time to time) or on such other date that is agreed upon by us and Wainwright in connection with a particular transaction. The obligation of Wainwright under the sales agreement to sell our common stock pursuant to a placement notice is subject to a number of conditions.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pay Wainwright commissions for its services in acting as agent in the sale of our common stock. Wainwright will be entitled to compensation at a commission rate of 3.0% of the gross proceeds of the sales price per share sold. In addition, we have agreed to reimburse Wainwright for fees and disbursements of its legal counsel in an amount not to exceed $50,000, in addition to up to $2,500 per due diligence update session for Wainwright’s counsel’s fees. We estimate that the total expenses for the offering, excluding compensation and reimbursements payable to Wainwright under the terms of the sales agreement, will be approximately $62,500.</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common stock on our behalf pursuant to this prospectus supplement and the accompanying prospectus, Wainwright will be deemed to be an “underwriter” within the meaning of the Securities Act and the compensation paid to Wainwright will be deemed to be underwriting commissions or discounts. We have agreed to provide indemnification and contribution to Wainwright against certain civil liabilities, including liabilities under the Securities Act.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required by Regulation M, Wainwright will not engage in any market making activities involving our shares of common stock while the offering is ongoing under this prospectus supplement.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Wainwright and its affiliates have provided and may in the future provide various investment banking and other financial services for us and our affiliates, for which services they may in the future receive customary fees. Wainwright acted as our placement agent in connection with the registered direct offering and concurrent private placement in June 2024 and the preferred investment option inducement transaction in December 2023, for which Wainwright received compensation.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our common stock as contemplated in this prospectus supplement and the accompanying prospectus will be settled through the facilities of The Depository Trust Company or by such other means as we and Wainwright may agree upon. There is no arrangement for funds to be received in escrow, trust or similar arrangement.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report at least quarterly the number of shares of our common stock sold through Wainwright, as our agent, in this offering and, to the extent applicable, the number of shares of our common stock issued upon settlement of any placement notice, and the net proceeds to us in connection with such sales of our common stock.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offering of our common stock pursuant to the sales agreement will terminate on the earlier of (i) the sale of all of our common stock pursuant to this prospectus supplement, or (ii) termination of the sales agreement as permitted therein.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copy of the original sales agreement was previously filed with the Securities and Exchange Commission on a Current Report on Form 8-K on June 10, 2021, and we are filing an amendment to the original sales agreement with the Securities and Exchange Commission on a Current Report on Form 8-K concurrently with the filing of this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legal matters with respect to the validity of the shares of common stock offered by this prospectus supplement have been passed upon for us by Mintz, Levin, Cohn, Ferris, Glovsky and Popeo, P.C., Boston, Massachusetts. Wainwright is being represented in connection with this offering by Ellenoff Grossman &amp; Schole LLP,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2023 and 2022, and for each of the two years in the period ended December 31, 2023, incorporated by reference in this prospectus supplement, have been audited by Brightman Almagor Zohar &amp; Co., a Firm in the Deloitte Global Network, an independent registered public accounting firm, as stated in their report incorporated by reference herein.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filed with the Securities and Exchange Commission a registration statement on Form S-3 under the Securities Act, and the rules and regulations promulgated under the Securities Act, with respect to the securities offered under this prospectus supplement. This prospectus supplement, which constitutes a part of the registration statement, does not contain all of the information contained in the registration statement and the exhibits and schedules to the registration statement. Many of the contracts and documents described in this prospectus supplement are filed as exhibits to the registration statements and you may review the full text of these contracts and documents by referring to these exhibits.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further information with respect to us and the securities offered under this prospectus supplement, reference is made to the registration statement and its exhibits and schedules. We file reports, including annual reports on Form 10-K, quarterly reports on Form 10-Q and current reports on Form 8-K with the Securities and Exchange Commission.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Securities and Exchange Commission maintains an Internet web site that contains reports, proxy and information statements and other information regarding issuers, including Microbot, that file electronically with the Securities and Exchange Commission. The Securities and Exchange Commission’s Internet website address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maintain a website at www.microbotmedical.com, through which you can access our SEC filings. The information set forth on our website is not part of this prospectus supplement or the accompanying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Securities and Exchange Commission allows us to “incorporate by reference” the information we file with the Securities and Exchange Commission. This means that we can disclose important information to you by referring you to another filed document. Any information referred to in this way is considered part of this prospectus supplement from the date we file that document. Any reports filed by us with the Securities and Exchange Commission after the date of this prospectus supplement and before the date that the offering of the securities by means of this prospectus supplement is terminated will automatically update and, where applicable, supersede any information contained in this prospectus supplement or incorporated by reference in this prospectus supplement. Accordingly, we incorporate by reference the following documents or information filed with the Securities and Exchange Commission:</w:t>
      </w:r>
    </w:p>
    <w:p>
      <w:pPr>
        <w:spacing w:after="0" w:line="18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27,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2023 that we filed with the SEC on May 15, 2023;</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(except for the information furnished under Items 2.02 or 7.01 and the exhibits furnished </w:t>
      </w:r>
      <w:hyperlink r:id="rId32">
        <w:r>
          <w:rPr>
            <w:rFonts w:ascii="Times New Roman" w:cs="Times New Roman" w:eastAsia="Times New Roman" w:hAnsi="Times New Roman"/>
            <w:sz w:val="18"/>
            <w:szCs w:val="18"/>
            <w:color w:val="auto"/>
          </w:rPr>
          <w:t xml:space="preserve">thereto) on </w:t>
        </w:r>
        <w:r>
          <w:rPr>
            <w:rFonts w:ascii="Times New Roman" w:cs="Times New Roman" w:eastAsia="Times New Roman" w:hAnsi="Times New Roman"/>
            <w:sz w:val="18"/>
            <w:szCs w:val="18"/>
            <w:u w:val="single" w:color="auto"/>
            <w:color w:val="0000EE"/>
          </w:rPr>
          <w:t>January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30,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27,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3,</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June 4, 2024</w:t>
        </w:r>
      </w:hyperlink>
      <w:hyperlink r:id="rId32">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June 17, 2024</w:t>
        </w:r>
      </w:hyperlink>
      <w:hyperlink r:id="rId32">
        <w:r>
          <w:rPr>
            <w:rFonts w:ascii="Times New Roman" w:cs="Times New Roman" w:eastAsia="Times New Roman" w:hAnsi="Times New Roman"/>
            <w:sz w:val="18"/>
            <w:szCs w:val="18"/>
            <w:color w:val="000000"/>
          </w:rPr>
          <w:t>; and</w:t>
        </w:r>
      </w:hyperlink>
    </w:p>
    <w:p>
      <w:pPr>
        <w:spacing w:after="0" w:line="175" w:lineRule="exact"/>
        <w:rPr>
          <w:rFonts w:ascii="Times New Roman" w:cs="Times New Roman" w:eastAsia="Times New Roman" w:hAnsi="Times New Roman"/>
          <w:sz w:val="18"/>
          <w:szCs w:val="18"/>
          <w:color w:val="0000EE"/>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3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August 3, 1998, under the Exchange Act,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0" w:lineRule="exact"/>
        <w:rPr>
          <w:rFonts w:ascii="Times New Roman" w:cs="Times New Roman" w:eastAsia="Times New Roman" w:hAnsi="Times New Roman"/>
          <w:sz w:val="18"/>
          <w:szCs w:val="18"/>
          <w:color w:val="0000EE"/>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therein); we will provide this information at no cost to the requester upon written or oral request to: Microbot Medical Inc. Attn: Chief Financial Officer, 288 Grove Street, Suite 388, Braintree, Massachusetts 02184. You may also telephone us at (781) 875-3605.</w:t>
      </w:r>
    </w:p>
    <w:p>
      <w:pPr>
        <w:spacing w:after="0" w:line="183" w:lineRule="exact"/>
        <w:rPr>
          <w:rFonts w:ascii="Times New Roman" w:cs="Times New Roman" w:eastAsia="Times New Roman" w:hAnsi="Times New Roman"/>
          <w:sz w:val="18"/>
          <w:szCs w:val="18"/>
          <w:color w:val="0000EE"/>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156845</wp:posOffset>
            </wp:positionV>
            <wp:extent cx="3000375" cy="1097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300037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 If information in any prospectus supplement is inconsistent with the information in this prospectus, then the information in that prospectus supplement will apply and will supersede the information in this prospectus.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November 29, 2023, the last reported sale price of our common stock on The Nasdaq Capital Market was $1.26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deciding whether to invest in our securities, you should consider carefully the risks that we have described on page 6 of this prospectus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We may include specific risk factors in supplements to this prospectus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This prospectus may not be used to sell our securities unless accompanied by a prospectus supplement.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96"/>
        </w:trPr>
        <w:tc>
          <w:tcPr>
            <w:tcW w:w="2200" w:type="dxa"/>
            <w:vAlign w:val="bottom"/>
            <w:tcBorders>
              <w:bottom w:val="single" w:sz="8" w:color="0000EE"/>
            </w:tcBorders>
            <w:gridSpan w:val="7"/>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000EE"/>
              </w:rPr>
              <w:t>PROSPECTUS SUMMARY</w:t>
            </w:r>
          </w:p>
        </w:tc>
        <w:tc>
          <w:tcPr>
            <w:tcW w:w="840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1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CAUTIONARY NOTE REGARDING FORWARD-LOOKING STATEMENTS</w:t>
            </w:r>
          </w:p>
        </w:tc>
        <w:tc>
          <w:tcPr>
            <w:tcW w:w="44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33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WARRANTS</w:t>
            </w:r>
          </w:p>
        </w:tc>
        <w:tc>
          <w:tcPr>
            <w:tcW w:w="72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32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RIGHTS</w:t>
            </w:r>
          </w:p>
        </w:tc>
        <w:tc>
          <w:tcPr>
            <w:tcW w:w="73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21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846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EXPERTS</w:t>
            </w:r>
          </w:p>
        </w:tc>
        <w:tc>
          <w:tcPr>
            <w:tcW w:w="976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6,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Core-Business Focus Program</w:t>
      </w:r>
    </w:p>
    <w:p>
      <w:pPr>
        <w:spacing w:after="0" w:line="2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This core-business focus program includes the cessation of research and development activities not related to LIBERTY, including terminating the Company’s agreement with CardioSert for that technology, and returning intellectual property relating to the SCS (ViRob) and TipCat to Technion Research and Development Foundation.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Reduction Plan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 robotic system.</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and June 2023, we raised sufficient capital that, together with the ongoing savings from the cost reduction plan, has enabled us to continue our operations through approximately April of 2024, including completion of the V&amp;V study, perform the GLP study and submit the IDE to the US Food &amp; Drug Administration. We also, retroactive to November 1, 2023, recommenced paying Rachel Vaknin, our CFO, and Simon Sharon, our CTO and General Manager, their regular salaries and benefits that were previously reduced as a result of the cost reduction plan. Continuing the continuing commitment of Harel Gadot, our CEO, to the Company to support it financially while it completes its current development and regulatory activities, his compensation will continue to be subject to his 50% reduction as part of the cost reduction plan. We continue to seek new sources of capital to stabilize our finances and provide operating runway subsequent to April of 2024. In the event the Company is not successful in raising additional capital by April of 2024, or if the results of the V&amp;V study and first-in-human trials are not promising, the Company may be forced to take more drastic actions to conserve capital or shut down operations entirely.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First-In-Human Clinical Cases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final report from our recently completed pivotal pre-clinical study using the LIBERTY Robotic Surgical System which is expected before the end of 2023, and the completion of the verification and validation (V&amp;V) process of which certain phases have been completed but others are ongoing and may be subject to delays indirectly caused by the Israel-Hamas war described below, we plan on submitting the Investigational Device Exemption (IDE) application to the U.S. Food and Drug Administration in the first quarter of 2024, in order to commence a pivotal clinical trial in humans. In addition, we are considering secondary options and contingencies in the event the IDE application is delayed.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 strategically important for commercialization of our LIBERTY device, we decided not to pursue First-In-Human trials or cases outside of the United States at this time to avoid conflict with our FDA submission process.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LIBERTY</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LIBERTY’s addressable markets are the Interventional Cardiology, Interventional Radiology and Interventional Neuroradiology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LIBERTY is being designed to have the following attributes:</w:t>
      </w:r>
    </w:p>
    <w:p>
      <w:pPr>
        <w:spacing w:after="0" w:line="225"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and only fully disposable, robotic system for endovascular procedures.</w:t>
      </w:r>
    </w:p>
    <w:p>
      <w:pPr>
        <w:spacing w:after="0" w:line="9" w:lineRule="exact"/>
        <w:rPr>
          <w:rFonts w:ascii="Times New Roman" w:cs="Times New Roman" w:eastAsia="Times New Roman" w:hAnsi="Times New Roman"/>
          <w:sz w:val="18"/>
          <w:szCs w:val="18"/>
          <w:color w:val="auto"/>
        </w:rPr>
      </w:pPr>
    </w:p>
    <w:p>
      <w:pPr>
        <w:ind w:left="1300" w:right="20" w:hanging="644"/>
        <w:spacing w:after="0" w:line="182" w:lineRule="auto"/>
        <w:tabs>
          <w:tab w:leader="none" w:pos="1300" w:val="left"/>
        </w:tabs>
        <w:numPr>
          <w:ilvl w:val="0"/>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Can be made compatible with Microbot’s NitiLoop’s NovaCross products or possibly other guidewire/microcatheter technologies, that combines guidewire and microcatheter into a single device.</w:t>
      </w:r>
    </w:p>
    <w:p>
      <w:pPr>
        <w:spacing w:after="0" w:line="1" w:lineRule="exact"/>
        <w:rPr>
          <w:rFonts w:ascii="Times New Roman" w:cs="Times New Roman" w:eastAsia="Times New Roman" w:hAnsi="Times New Roman"/>
          <w:sz w:val="36"/>
          <w:szCs w:val="36"/>
          <w:color w:val="auto"/>
          <w:vertAlign w:val="superscript"/>
        </w:rPr>
      </w:pPr>
    </w:p>
    <w:p>
      <w:pPr>
        <w:ind w:left="1300" w:hanging="644"/>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rotational and tip control of its guidewire, as well as linear motion for an additional “over the wire” device.</w:t>
      </w: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ind w:left="1300" w:hanging="644"/>
        <w:spacing w:after="0"/>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use - LIBERTY’s intuitive remote controls aims to simplify advanced procedures while shortening the physician’s learning curve.</w:t>
      </w:r>
    </w:p>
    <w:p>
      <w:pPr>
        <w:spacing w:after="0" w:line="20"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2021, we achieved design freeze of the LIBERTY device.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2022, we filed our pre-submission package for the LIBERTY Robotic System with the FDA, addressing the regulatory pathway for the LIBERTY Robotic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Robotic System and performed an equal number of procedures manually. The LIBERTY Robotic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 The Company believes the results of the study allow it to move forward and focus on the next phases to ultimately include a U.S.-based pivotal pre-clinical study. The Company, together with its regulatory experts and consultants, believe a larger sample size and robust data generated by this study will advance the company’s efforts towards the submission of an Investigational Device Exemption (IDE) with the U.S. Food and Drug Administration (FDA).</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 Robotic Surgical System’s remote operation capabilities, to pre-determined vascular targets, with a 100% success rate of reaching the intended target with no observable on-site complications.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Robotic Surgical System. The pivotal study was conducted by three leading interventional radiologists that utilized the LIBERTY Robotic Surgical System to reach a total of 48 animal targets. A total of 6 LIBERTY Systems were used in the study, and each was used to reach a total of 8 targets. All 6 LIBERTY Systems performed flawlessly, with 100% usability and technical success. No acute adverse events or complications were visually observed intra-operative. We expect to receive the comprehensive final report later in the fourth quarter of 2023. Subject to the final report, and the completion of the verification and validation process which is ongoing but subject to delays indirectly caused by the Israel-Hamas war described above, we plan on submitting the Investigational Device Exemption application to the FDA in the first quarter of 2024, in order to commence our pivotal clinical trial in humans.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NovaCross</w:t>
      </w:r>
      <w:r>
        <w:rPr>
          <w:rFonts w:ascii="Times New Roman" w:cs="Times New Roman" w:eastAsia="Times New Roman" w:hAnsi="Times New Roman"/>
          <w:sz w:val="29"/>
          <w:szCs w:val="29"/>
          <w:b w:val="1"/>
          <w:bCs w:val="1"/>
          <w:color w:val="auto"/>
          <w:vertAlign w:val="superscript"/>
        </w:rPr>
        <w:t>TM</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Technologies and Platforms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 Annual Report on Form 10-K for the year ended December 31, 2022 and our Quarterly Report on Form 10-Q for the three months ended March 31, 2024, as described under the caption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288 Grove Street, Suite 388, Braintree, MA 02184.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Offerings Under This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conversion terms,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 from time to time;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 prevailing market prices;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9"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par value $0.01 per share. As of November 29, 2023 we had 11,707,317 shares of common stock issued and outstanding and approximately 100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below for directions on obtaining these documents. The summary below is also qualified by provisions of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for quotation on the Nasdaq Capital Market under the symbol “MBOT.”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authority to issue 1,000,000 shares of preferred stock, par value $0.01 per share. As of the date of this prospectus, no shares of our preferred stock were outstanding or designated.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 below for directions on obtaining these documents. The summary below is also qualified by provisions of applicable law.</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 the liquidation preference per share and 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such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if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liquidation, dissolution or winding up of the affairs of the Company;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preferred stock offered by this prospectus will, when issued, be fully paid and nonassessable and will not have, or be subject to, any preemptive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series or class of preferred stock will be set forth in the applicable prospectus supplement.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price at which we will issue,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purchasable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common stock and the number of shares of common stock to be received upon exercise of the warrants;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shares of our preferred stock, the number of shares of preferred stock to be received upon exercise, and a description of that series of our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exercise price for our debt securities, the amount of debt securities to be received upon exercise, and a description of that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the common stock, preferred stock and/or debt securities will be separately transferable;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29, 2023, we had outstanding: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1,022,495 shares of our common stock issuable upon the exercise of outstanding series A preferred investment options expiring in October 2027, originally at an exercise price per share of $4.64 but amended to a reduced exercise price per share of $2.20 in connection with the offering that was consummated on May 24, 2023;</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June 2028, at an exercise price per share of $2.6719;</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350,878 shares of our common stock issuable upon the exercise of outstanding series C preferred investment options expiring in December 2028, at an exercise price per share of $2.075;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312,309 shares of our common stock issuable upon the exercise of outstanding series D preferred investment options expiring in December 2028, at an exercise price per share of $3.19;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or designation;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the amount that may be issued;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series of debt securities in global form, the terms of any global securities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the date or dates on which principal will be payable;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redemption provisions;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on any material or special U.S. federal income tax considerations applicable to a series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8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only have the right to institute a proceeding under the indentures or to appoint a receiver or trustee, or to seek other remedies if:</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written notice to the debenture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applicable debenture trustee regarding our compliance with specified covenants in the applicable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debenture trustee and we may change the applicable indenture without the consent of any holders with respect to specific matters, including:</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issued pursuant to such indenture.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of discount securities payable upon acceleration of maturity;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principal of or premium or interest on any debt security payable in currency other than that stated in the debt security;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stockholders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preferred stock or other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rights are transferrable and the date, if any, on and after which the rights may be separately transferred;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to exercise the rights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by which holders of rights will be entitled to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offering,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termination and cancellation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any backstop or standby purchaser or purchasers and the terms of their commitment,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stockholders are entitled to oversubscription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considerations;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w:t>
      </w:r>
      <w:r>
        <w:rPr>
          <w:rFonts w:ascii="Times New Roman" w:cs="Times New Roman" w:eastAsia="Times New Roman" w:hAnsi="Times New Roman"/>
          <w:sz w:val="18"/>
          <w:szCs w:val="18"/>
          <w:i w:val="1"/>
          <w:iCs w:val="1"/>
          <w:color w:val="auto"/>
        </w:rPr>
        <w:t>Description of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Preferred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Warrants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Rights</w:t>
      </w:r>
      <w:r>
        <w:rPr>
          <w:rFonts w:ascii="Times New Roman" w:cs="Times New Roman" w:eastAsia="Times New Roman" w:hAnsi="Times New Roman"/>
          <w:sz w:val="18"/>
          <w:szCs w:val="18"/>
          <w:color w:val="auto"/>
        </w:rPr>
        <w:t>” will apply to each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applicable, and to any common stock, preferred stock, debt security, warrant or right included in each unit,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AND BYLAWS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proposals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stockholder vote required for certain 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Eighth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shares being offered under this prospectus by 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2022 and 2021, and for each of the two years in the period ended December 31, 2022,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2022 filed with the SEC on </w:t>
      </w:r>
      <w:hyperlink r:id="rId63">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2023, June 30, 2023 and September 30, 2023 that we filed with the SEC on </w:t>
      </w:r>
      <w:hyperlink r:id="rId31">
        <w:r>
          <w:rPr>
            <w:rFonts w:ascii="Times New Roman" w:cs="Times New Roman" w:eastAsia="Times New Roman" w:hAnsi="Times New Roman"/>
            <w:sz w:val="18"/>
            <w:szCs w:val="18"/>
            <w:u w:val="single" w:color="auto"/>
            <w:color w:val="0000EE"/>
          </w:rPr>
          <w:t>May 17, 2023</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August 14,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5">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9"/>
        </w:numPr>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18,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25, 2023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May 31, 2023</w:t>
        </w:r>
      </w:hyperlink>
      <w:hyperlink r:id="rId6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June 2, 2023</w:t>
        </w:r>
      </w:hyperlink>
      <w:hyperlink r:id="rId6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June 6, 2023</w:t>
        </w:r>
      </w:hyperlink>
      <w:hyperlink r:id="rId6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0">
        <w:r>
          <w:rPr>
            <w:rFonts w:ascii="Times New Roman" w:cs="Times New Roman" w:eastAsia="Times New Roman" w:hAnsi="Times New Roman"/>
            <w:sz w:val="18"/>
            <w:szCs w:val="18"/>
            <w:u w:val="single" w:color="auto"/>
            <w:color w:val="0000EE"/>
          </w:rPr>
          <w:t>June 16, 2023</w:t>
        </w:r>
      </w:hyperlink>
      <w:hyperlink r:id="rId6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1">
        <w:r>
          <w:rPr>
            <w:rFonts w:ascii="Times New Roman" w:cs="Times New Roman" w:eastAsia="Times New Roman" w:hAnsi="Times New Roman"/>
            <w:sz w:val="18"/>
            <w:szCs w:val="18"/>
            <w:u w:val="single" w:color="auto"/>
            <w:color w:val="0000EE"/>
          </w:rPr>
          <w:t>June 22, 2023</w:t>
        </w:r>
      </w:hyperlink>
      <w:hyperlink r:id="rId6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2">
        <w:r>
          <w:rPr>
            <w:rFonts w:ascii="Times New Roman" w:cs="Times New Roman" w:eastAsia="Times New Roman" w:hAnsi="Times New Roman"/>
            <w:sz w:val="18"/>
            <w:szCs w:val="18"/>
            <w:u w:val="single" w:color="auto"/>
            <w:color w:val="0000EE"/>
          </w:rPr>
          <w:t>June 29, 2023</w:t>
        </w:r>
      </w:hyperlink>
      <w:hyperlink r:id="rId6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3">
        <w:r>
          <w:rPr>
            <w:rFonts w:ascii="Times New Roman" w:cs="Times New Roman" w:eastAsia="Times New Roman" w:hAnsi="Times New Roman"/>
            <w:sz w:val="18"/>
            <w:szCs w:val="18"/>
            <w:u w:val="single" w:color="auto"/>
            <w:color w:val="0000EE"/>
          </w:rPr>
          <w:t>September 5, 2023</w:t>
        </w:r>
      </w:hyperlink>
      <w:hyperlink r:id="rId6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4">
        <w:r>
          <w:rPr>
            <w:rFonts w:ascii="Times New Roman" w:cs="Times New Roman" w:eastAsia="Times New Roman" w:hAnsi="Times New Roman"/>
            <w:sz w:val="18"/>
            <w:szCs w:val="18"/>
            <w:u w:val="single" w:color="auto"/>
            <w:color w:val="0000EE"/>
          </w:rPr>
          <w:t>October 17, 2023</w:t>
        </w:r>
      </w:hyperlink>
      <w:hyperlink r:id="rId66">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75">
        <w:r>
          <w:rPr>
            <w:rFonts w:ascii="Times New Roman" w:cs="Times New Roman" w:eastAsia="Times New Roman" w:hAnsi="Times New Roman"/>
            <w:sz w:val="18"/>
            <w:szCs w:val="18"/>
            <w:u w:val="single" w:color="auto"/>
            <w:color w:val="0000EE"/>
          </w:rPr>
          <w:t>October 19,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6">
        <w:r>
          <w:rPr>
            <w:rFonts w:ascii="Times New Roman" w:cs="Times New Roman" w:eastAsia="Times New Roman" w:hAnsi="Times New Roman"/>
            <w:sz w:val="18"/>
            <w:szCs w:val="18"/>
            <w:u w:val="single" w:color="auto"/>
            <w:color w:val="0000EE"/>
          </w:rPr>
          <w:t>October 24,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7">
        <w:r>
          <w:rPr>
            <w:rFonts w:ascii="Times New Roman" w:cs="Times New Roman" w:eastAsia="Times New Roman" w:hAnsi="Times New Roman"/>
            <w:sz w:val="18"/>
            <w:szCs w:val="18"/>
            <w:u w:val="single" w:color="auto"/>
            <w:color w:val="0000EE"/>
          </w:rPr>
          <w:t>October 31,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8">
        <w:r>
          <w:rPr>
            <w:rFonts w:ascii="Times New Roman" w:cs="Times New Roman" w:eastAsia="Times New Roman" w:hAnsi="Times New Roman"/>
            <w:sz w:val="18"/>
            <w:szCs w:val="18"/>
            <w:u w:val="single" w:color="auto"/>
            <w:color w:val="0000EE"/>
          </w:rPr>
          <w:t>November 6,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9">
        <w:r>
          <w:rPr>
            <w:rFonts w:ascii="Times New Roman" w:cs="Times New Roman" w:eastAsia="Times New Roman" w:hAnsi="Times New Roman"/>
            <w:sz w:val="18"/>
            <w:szCs w:val="18"/>
            <w:u w:val="single" w:color="auto"/>
            <w:color w:val="0000EE"/>
          </w:rPr>
          <w:t xml:space="preserve">November 8, 2023, </w:t>
        </w:r>
      </w:hyperlink>
      <w:hyperlink r:id="rId80">
        <w:r>
          <w:rPr>
            <w:rFonts w:ascii="Times New Roman" w:cs="Times New Roman" w:eastAsia="Times New Roman" w:hAnsi="Times New Roman"/>
            <w:sz w:val="18"/>
            <w:szCs w:val="18"/>
            <w:u w:val="single" w:color="auto"/>
            <w:color w:val="0000EE"/>
          </w:rPr>
          <w:t>November 13,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1">
        <w:r>
          <w:rPr>
            <w:rFonts w:ascii="Times New Roman" w:cs="Times New Roman" w:eastAsia="Times New Roman" w:hAnsi="Times New Roman"/>
            <w:sz w:val="18"/>
            <w:szCs w:val="18"/>
            <w:u w:val="single" w:color="auto"/>
            <w:color w:val="0000EE"/>
          </w:rPr>
          <w:t xml:space="preserve">November 14,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2">
        <w:r>
          <w:rPr>
            <w:rFonts w:ascii="Times New Roman" w:cs="Times New Roman" w:eastAsia="Times New Roman" w:hAnsi="Times New Roman"/>
            <w:sz w:val="18"/>
            <w:szCs w:val="18"/>
            <w:u w:val="single" w:color="auto"/>
            <w:color w:val="0000EE"/>
          </w:rPr>
          <w:t>November 21,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 therein which is furnished rather than filed);</w:t>
      </w:r>
    </w:p>
    <w:p>
      <w:pPr>
        <w:spacing w:after="0" w:line="179"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83">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September 19, 2023 (but only with respect to information required by Part III of our Annual Report on </w:t>
      </w:r>
      <w:hyperlink r:id="rId6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which information shall update and supersede information included in Part III of our Annual Report on Form 10-K for the fiscal year ended December 31, 2022);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62"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$4,819,905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156845</wp:posOffset>
            </wp:positionV>
            <wp:extent cx="3000375" cy="10972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5">
                      <a:extLst>
                        <a:ext uri="{28A0092B-C50C-407E-A947-70E740481C1C}"/>
                      </a:extLst>
                    </a:blip>
                    <a:srcRect/>
                    <a:stretch>
                      <a:fillRect/>
                    </a:stretch>
                  </pic:blipFill>
                  <pic:spPr bwMode="auto">
                    <a:xfrm>
                      <a:off x="0" y="0"/>
                      <a:ext cx="300037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PROSPECTUS SUPPLEMENT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H.C. Wainwright &amp; Co.</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supplement is July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jpe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84" Type="http://schemas.openxmlformats.org/officeDocument/2006/relationships/image" Target="media/image50.png"/><Relationship Id="rId85" Type="http://schemas.openxmlformats.org/officeDocument/2006/relationships/image" Target="media/image51.jpeg"/><Relationship Id="rId86" Type="http://schemas.openxmlformats.org/officeDocument/2006/relationships/image" Target="media/image52.png"/><Relationship Id="rId30" Type="http://schemas.openxmlformats.org/officeDocument/2006/relationships/hyperlink" Target="https://www.sec.gov/Archives/edgar/data/883975/000149315224011521/form10-k.htm" TargetMode="External"/><Relationship Id="rId31" Type="http://schemas.openxmlformats.org/officeDocument/2006/relationships/hyperlink" Target="https://www.sec.gov/Archives/edgar/data/883975/000149315223017966/form10-q.htm" TargetMode="External"/><Relationship Id="rId32" Type="http://schemas.openxmlformats.org/officeDocument/2006/relationships/hyperlink" Target="https://www.sec.gov/Archives/edgar/data/883975/000149315224022309/form8-k.htm" TargetMode="External"/><Relationship Id="rId33" Type="http://schemas.openxmlformats.org/officeDocument/2006/relationships/hyperlink" Target="https://www.sec.gov/Archives/edgar/data/883975/000149315224022560/form8-k.htm" TargetMode="External"/><Relationship Id="rId34" Type="http://schemas.openxmlformats.org/officeDocument/2006/relationships/hyperlink" Target="https://www.sec.gov/Archives/edgar/data/883975/000149315224024041/form8-k.htm" TargetMode="External"/><Relationship Id="rId35" Type="http://schemas.openxmlformats.org/officeDocument/2006/relationships/hyperlink" Target="https://www.sec.gov/Archives/edgar/data/883975/0001047469-98-029068.txt" TargetMode="External"/><Relationship Id="rId63" Type="http://schemas.openxmlformats.org/officeDocument/2006/relationships/hyperlink" Target="https://www.sec.gov/Archives/edgar/data/883975/000149315223010223/form10-k.htm" TargetMode="External"/><Relationship Id="rId64" Type="http://schemas.openxmlformats.org/officeDocument/2006/relationships/hyperlink" Target="https://www.sec.gov/Archives/edgar/data/883975/000149315223028081/form10-q.htm" TargetMode="External"/><Relationship Id="rId65" Type="http://schemas.openxmlformats.org/officeDocument/2006/relationships/hyperlink" Target="https://www.sec.gov/ix?doc=/Archives/edgar/data/883975/000149315223041069/form10-q.htm" TargetMode="External"/><Relationship Id="rId66" Type="http://schemas.openxmlformats.org/officeDocument/2006/relationships/hyperlink" Target="https://www.sec.gov/ix?doc=/Archives/edgar/data/883975/000149315223019000/form8-k.htm" TargetMode="External"/><Relationship Id="rId67" Type="http://schemas.openxmlformats.org/officeDocument/2006/relationships/hyperlink" Target="https://www.sec.gov/ix?doc=/Archives/edgar/data/883975/000149315223019537/form8-k.htm" TargetMode="External"/><Relationship Id="rId68" Type="http://schemas.openxmlformats.org/officeDocument/2006/relationships/hyperlink" Target="https://www.sec.gov/ix?doc=/Archives/edgar/data/883975/000149315223019871/form8-k.htm" TargetMode="External"/><Relationship Id="rId69" Type="http://schemas.openxmlformats.org/officeDocument/2006/relationships/hyperlink" Target="https://www.sec.gov/ix?doc=/Archives/edgar/data/883975/000149315223020309/form8-k.htm" TargetMode="External"/><Relationship Id="rId70" Type="http://schemas.openxmlformats.org/officeDocument/2006/relationships/hyperlink" Target="https://www.sec.gov/ix?doc=/Archives/edgar/data/883975/000149315223021553/form8-k.htm" TargetMode="External"/><Relationship Id="rId71" Type="http://schemas.openxmlformats.org/officeDocument/2006/relationships/hyperlink" Target="https://www.sec.gov/ix?doc=/Archives/edgar/data/883975/000149315223022078/form8-k.htm" TargetMode="External"/><Relationship Id="rId72" Type="http://schemas.openxmlformats.org/officeDocument/2006/relationships/hyperlink" Target="https://www.sec.gov/ix?doc=/Archives/edgar/data/883975/000149315223022844/form8-k.htm" TargetMode="External"/><Relationship Id="rId73" Type="http://schemas.openxmlformats.org/officeDocument/2006/relationships/hyperlink" Target="https://www.sec.gov/ix?doc=/Archives/edgar/data/883975/000149315223031689/form8-k.htm" TargetMode="External"/><Relationship Id="rId74" Type="http://schemas.openxmlformats.org/officeDocument/2006/relationships/hyperlink" Target="https://www.sec.gov/ix?doc=/Archives/edgar/data/883975/000149315223037454/form8-k.htm" TargetMode="External"/><Relationship Id="rId75" Type="http://schemas.openxmlformats.org/officeDocument/2006/relationships/hyperlink" Target="https://www.sec.gov/ix?doc=/Archives/edgar/data/883975/000149315223037676/form8-k.htm" TargetMode="External"/><Relationship Id="rId76" Type="http://schemas.openxmlformats.org/officeDocument/2006/relationships/hyperlink" Target="https://www.sec.gov/ix?doc=/Archives/edgar/data/883975/000149315223038050/form8-k.htm" TargetMode="External"/><Relationship Id="rId77" Type="http://schemas.openxmlformats.org/officeDocument/2006/relationships/hyperlink" Target="https://www.sec.gov/ix?doc=/Archives/edgar/data/883975/000149315223038792/form8-k.htm" TargetMode="External"/><Relationship Id="rId78" Type="http://schemas.openxmlformats.org/officeDocument/2006/relationships/hyperlink" Target="https://www.sec.gov/ix?doc=/Archives/edgar/data/883975/000149315223039509/form8-k.htm" TargetMode="External"/><Relationship Id="rId79" Type="http://schemas.openxmlformats.org/officeDocument/2006/relationships/hyperlink" Target="https://www.sec.gov/ix?doc=/Archives/edgar/data/883975/000149315223039834/form8-k.htm" TargetMode="External"/><Relationship Id="rId80" Type="http://schemas.openxmlformats.org/officeDocument/2006/relationships/hyperlink" Target="https://www.sec.gov/ix?doc=/Archives/edgar/data/883975/000149315223040331/form8-k.htm" TargetMode="External"/><Relationship Id="rId81" Type="http://schemas.openxmlformats.org/officeDocument/2006/relationships/hyperlink" Target="https://www.sec.gov/ix?doc=/Archives/edgar/data/883975/000149315223041009/form8-k.htm" TargetMode="External"/><Relationship Id="rId82" Type="http://schemas.openxmlformats.org/officeDocument/2006/relationships/hyperlink" Target="https://www.sec.gov/Archives/edgar/data/883975/000149315223042204/form8-k.htm" TargetMode="External"/><Relationship Id="rId83" Type="http://schemas.openxmlformats.org/officeDocument/2006/relationships/hyperlink" Target="https://www.sec.gov/Archives/edgar/data/883975/000149315223033004/form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2024-07-01T15:50:51Z</dcterms:created>
  <dcterms:modified xsi:type="dcterms:W3CDTF">2024-07-01T15:50:51Z</dcterms:modified>
</cp:coreProperties>
</file>