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25,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294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Delaware</w:t>
            </w:r>
          </w:p>
        </w:tc>
        <w:tc>
          <w:tcPr>
            <w:tcW w:w="448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0"/>
              </w:rPr>
              <w:t>000-19871</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1"/>
              </w:rPr>
              <w:t>94-3078125</w:t>
            </w:r>
          </w:p>
        </w:tc>
      </w:tr>
      <w:tr>
        <w:trPr>
          <w:trHeight w:val="198"/>
        </w:trPr>
        <w:tc>
          <w:tcPr>
            <w:tcW w:w="2940" w:type="dxa"/>
            <w:vAlign w:val="bottom"/>
            <w:tcBorders>
              <w:top w:val="single" w:sz="8" w:color="auto"/>
            </w:tcBorders>
          </w:tcPr>
          <w:p>
            <w:pPr>
              <w:jc w:val="center"/>
              <w:ind w:left="570"/>
              <w:spacing w:after="0" w:line="198" w:lineRule="exact"/>
              <w:rPr>
                <w:sz w:val="20"/>
                <w:szCs w:val="20"/>
                <w:color w:val="auto"/>
              </w:rPr>
            </w:pPr>
            <w:r>
              <w:rPr>
                <w:rFonts w:ascii="Arial" w:cs="Arial" w:eastAsia="Arial" w:hAnsi="Arial"/>
                <w:sz w:val="18"/>
                <w:szCs w:val="18"/>
                <w:b w:val="1"/>
                <w:bCs w:val="1"/>
                <w:color w:val="auto"/>
                <w:w w:val="90"/>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7"/>
              </w:rPr>
              <w:t>(Commission</w:t>
            </w: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tcPr>
          <w:p>
            <w:pPr>
              <w:jc w:val="center"/>
              <w:ind w:right="750"/>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294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6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4"/>
              </w:rPr>
              <w:t>File Number)</w:t>
            </w:r>
          </w:p>
        </w:tc>
        <w:tc>
          <w:tcPr>
            <w:tcW w:w="2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6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2"/>
              </w:rPr>
              <w:t>25 Recreation Park Drive, Unit 108</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89"/>
              </w:rPr>
              <w:t>Hingham, Massachusetts 02043</w:t>
            </w:r>
          </w:p>
        </w:tc>
        <w:tc>
          <w:tcPr>
            <w:tcW w:w="276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80" w:type="dxa"/>
            <w:vAlign w:val="bottom"/>
            <w:gridSpan w:val="4"/>
          </w:tcPr>
          <w:p>
            <w:pPr>
              <w:jc w:val="center"/>
              <w:ind w:right="84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276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8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20" w:type="dxa"/>
            <w:vAlign w:val="bottom"/>
          </w:tcPr>
          <w:p>
            <w:pPr>
              <w:spacing w:after="0"/>
              <w:rPr>
                <w:sz w:val="22"/>
                <w:szCs w:val="22"/>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220" w:type="dxa"/>
            <w:vAlign w:val="bottom"/>
          </w:tcPr>
          <w:p>
            <w:pPr>
              <w:spacing w:after="0"/>
              <w:rPr>
                <w:sz w:val="22"/>
                <w:szCs w:val="22"/>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060" w:type="dxa"/>
            <w:vAlign w:val="bottom"/>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25, 2023, the Company issued a press release announcing that Lahey Hospital &amp; Medical Center is now expected to be one of the U.S. sites for the first-ever human trial of the LIBERTY Robotic Surgical System.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which is furnished as Exhibit 99.1 to this Current Report on Form 8-K, is incorporated herein by reference.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May 25, 2023, the Company announced that Lahey Hospital &amp; Medical Center agreed to become a U.S. site for the LIBERTY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Robotic System’s first human trial, a next step toward regulatory and commercialization paths. The Company’s expected next steps include the submission of the Investigational Device Exemption (IDE) application with the U.S. Food and Drug Administration (FDA) and Institutional Review Board (IRB), among others.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b w:val="1"/>
                <w:bCs w:val="1"/>
                <w:i w:val="1"/>
                <w:iCs w:val="1"/>
                <w:color w:val="auto"/>
                <w:w w:val="97"/>
              </w:rPr>
              <w:t>(d) Exhibits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660" w:type="dxa"/>
            <w:vAlign w:val="bottom"/>
          </w:tcPr>
          <w:p>
            <w:pPr>
              <w:spacing w:after="0"/>
              <w:rPr>
                <w:sz w:val="20"/>
                <w:szCs w:val="20"/>
                <w:color w:val="auto"/>
              </w:rPr>
            </w:pPr>
          </w:p>
        </w:tc>
      </w:tr>
      <w:tr>
        <w:trPr>
          <w:trHeight w:val="414"/>
        </w:trPr>
        <w:tc>
          <w:tcPr>
            <w:tcW w:w="9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660" w:type="dxa"/>
            <w:vAlign w:val="bottom"/>
          </w:tcPr>
          <w:p>
            <w:pPr>
              <w:spacing w:after="0"/>
              <w:rPr>
                <w:sz w:val="24"/>
                <w:szCs w:val="24"/>
                <w:color w:val="auto"/>
              </w:rPr>
            </w:pPr>
          </w:p>
        </w:tc>
      </w:t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1014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60" w:type="dxa"/>
            <w:vAlign w:val="bottom"/>
            <w:shd w:val="clear" w:color="auto" w:fill="000000"/>
          </w:tcPr>
          <w:p>
            <w:pPr>
              <w:spacing w:after="0"/>
              <w:rPr>
                <w:sz w:val="2"/>
                <w:szCs w:val="2"/>
                <w:color w:val="auto"/>
              </w:rPr>
            </w:pPr>
          </w:p>
        </w:tc>
        <w:tc>
          <w:tcPr>
            <w:tcW w:w="7660" w:type="dxa"/>
            <w:vAlign w:val="bottom"/>
            <w:shd w:val="clear" w:color="auto" w:fill="000000"/>
          </w:tcPr>
          <w:p>
            <w:pPr>
              <w:spacing w:after="0"/>
              <w:rPr>
                <w:sz w:val="2"/>
                <w:szCs w:val="2"/>
                <w:color w:val="auto"/>
              </w:rPr>
            </w:pPr>
          </w:p>
        </w:tc>
      </w:tr>
      <w:tr>
        <w:trPr>
          <w:trHeight w:val="391"/>
        </w:trPr>
        <w:tc>
          <w:tcPr>
            <w:tcW w:w="980" w:type="dxa"/>
            <w:vAlign w:val="bottom"/>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24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7"/>
              </w:rPr>
              <w:t>Press Release dated May 25, 2023</w:t>
            </w:r>
          </w:p>
        </w:tc>
        <w:tc>
          <w:tcPr>
            <w:tcW w:w="7660" w:type="dxa"/>
            <w:vAlign w:val="bottom"/>
          </w:tcPr>
          <w:p>
            <w:pPr>
              <w:spacing w:after="0"/>
              <w:rPr>
                <w:sz w:val="24"/>
                <w:szCs w:val="24"/>
                <w:color w:val="auto"/>
              </w:rPr>
            </w:pPr>
          </w:p>
        </w:tc>
      </w:tr>
      <w:tr>
        <w:trPr>
          <w:trHeight w:val="237"/>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01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Harel Gadot</w:t>
      </w:r>
    </w:p>
    <w:p>
      <w:pPr>
        <w:spacing w:after="0" w:line="36"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168910</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Lahey Hospital &amp; Medical Center Agrees to become One of U.S. Sites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LIBERTY® Robotic System’s First Human Trial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This Significant Achievement Represents Major Progression Toward Regulatory and Commercialization Paths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Additional Sites in the U.S. Are Expected to Participate in the Trial</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HINGHAM, Mass., May 25, 2023 </w:t>
      </w:r>
      <w:r>
        <w:rPr>
          <w:rFonts w:ascii="Arial" w:cs="Arial" w:eastAsia="Arial" w:hAnsi="Arial"/>
          <w:sz w:val="17"/>
          <w:szCs w:val="17"/>
          <w:color w:val="auto"/>
        </w:rPr>
        <w:t>– Microbot Medical Inc. (Nasdaq: MBOT) announced that it has successfully achieved another major milestone</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representing the next step toward the regulatory and commercial paths for the LIBERTY® Robotic Surgical System, the first single-use endovascular robotic system. Lahey Hospital &amp; Medical Center, a world-renowned tertiary academic medical center based in Burlington, Mass., is now expected to be one of the U.S. sites for the first-ever human trial of the LIBERTY Robotic Surgical System. Microbot Medical will work closely with the research team and physician faculty at Lahey to support innovative ways to improve patient care using the LIBERTY Robotic Surgical System.</w:t>
      </w:r>
    </w:p>
    <w:p>
      <w:pPr>
        <w:spacing w:after="0" w:line="1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is another meaningful milestone for Microbot Medical, and clearly demonstrates that we are taking the necessary steps toward future commercialization of the LIBERTY Robotic Surgical System,” commented Harel Gadot, Chairman, President &amp; CEO of Microbot Medical. “We believe our continued momentum and the performance of the system, along with the rigorous process we are adhering to, has made today’s development possible. Having a committed partner brings us one step closer to the clinical trial and advancing the regulatory process.”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look forward to working with Lahey’s team of renowned interventional radiologists and leaders in robotic interventional treatments,” commented Dr. Eyal Morag, Chief Medical Officer of Microbot Medical. “Lahey has performed countless human trials, and we believe its involvement, coupled with the performance of LIBERTY Robotic Surgical System during the animal studies, will be invaluable to our clinical advancements as we move into the next phases, including the Institutional Review Board (IRB) process.”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expected next steps include the submission of the Investigational Device Exemption (IDE) application with the U.S. Food and Drug Administration (FDA) and Institutional Review Board (IRB),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Microbot Medical Inc.</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Microbot Medical Inc. (NASDAQ: MBOT) is a pre-clinical medical device company that specializes in transformational micro-robotic technologies, with the goals of improving clinical outcomes for patients and increasing accessibility through the natural and artificial lumens within the human body.</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LIBERTY Robotic Surgical System aims to improve the way surgical robotics are being used in endovascular procedures today, by eliminating the need for large, cumbersome, and expensive capital equipment, while reducing radiation exposure and physician strain. The Company believes the LIBERTY Robotic Surgical System’s remote operation has the potential to be the first system to democratize endovascular interventional procedures.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Further information about Microbot Medical is available at </w:t>
      </w:r>
      <w:r>
        <w:rPr>
          <w:rFonts w:ascii="Arial" w:cs="Arial" w:eastAsia="Arial" w:hAnsi="Arial"/>
          <w:sz w:val="18"/>
          <w:szCs w:val="18"/>
          <w:u w:val="single" w:color="auto"/>
          <w:color w:val="auto"/>
        </w:rPr>
        <w:t>http://www.microbotmedical.com.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LIBERTY, the outcome of its studies to evaluate LIBERTY, whether the Company’s core business focus program and cost reduction plan are sufficient to enable the Company to continue to focus on its LIBERTY technology while it seeks additional working capital,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Michal Efraty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+972-(0)52-3044404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2023-05-25T09:41:19Z</dcterms:created>
  <dcterms:modified xsi:type="dcterms:W3CDTF">2023-05-25T09:41:19Z</dcterms:modified>
</cp:coreProperties>
</file>