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OMB APPROVAL</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31, 1994</w:t>
            </w: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October</w:t>
            </w: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BURDEN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HOURS PER</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RESPONSE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14.90</w:t>
            </w:r>
          </w:p>
        </w:tc>
        <w:tc>
          <w:tcPr>
            <w:tcW w:w="0" w:type="dxa"/>
            <w:vAlign w:val="bottom"/>
          </w:tcPr>
          <w:p>
            <w:pPr>
              <w:spacing w:after="0"/>
              <w:rPr>
                <w:sz w:val="1"/>
                <w:szCs w:val="1"/>
                <w:color w:val="auto"/>
              </w:rPr>
            </w:pP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23292310</w:t>
      </w:r>
    </w:p>
    <w:p>
      <w:pPr>
        <w:spacing w:after="0" w:line="2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right="231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ind w:right="25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8 Pages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sz w:val="24"/>
          <w:szCs w:val="24"/>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right="6099" w:firstLine="8"/>
        <w:spacing w:after="0" w:line="585"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984" w:orient="portrait"/>
          <w:cols w:equalWidth="0" w:num="1">
            <w:col w:w="10219"/>
          </w:cols>
          <w:pgMar w:left="240" w:top="21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right="8099" w:firstLine="8"/>
        <w:spacing w:after="0" w:line="476"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 w:lineRule="exact"/>
        <w:rPr>
          <w:rFonts w:ascii="Courier New" w:cs="Courier New" w:eastAsia="Courier New" w:hAnsi="Courier New"/>
          <w:sz w:val="18"/>
          <w:szCs w:val="18"/>
          <w:color w:val="auto"/>
        </w:rPr>
      </w:pPr>
    </w:p>
    <w:p>
      <w:pPr>
        <w:ind w:right="7899" w:firstLine="8"/>
        <w:spacing w:after="0" w:line="476"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2,763,558</w:t>
      </w:r>
    </w:p>
    <w:p>
      <w:pPr>
        <w:spacing w:after="0" w:line="1" w:lineRule="exact"/>
        <w:rPr>
          <w:rFonts w:ascii="Courier New" w:cs="Courier New" w:eastAsia="Courier New" w:hAnsi="Courier New"/>
          <w:sz w:val="18"/>
          <w:szCs w:val="18"/>
          <w:color w:val="auto"/>
        </w:rPr>
      </w:pPr>
    </w:p>
    <w:p>
      <w:pPr>
        <w:ind w:right="7579" w:firstLine="8"/>
        <w:spacing w:after="0" w:line="476"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 w:lineRule="exact"/>
        <w:rPr>
          <w:rFonts w:ascii="Courier New" w:cs="Courier New" w:eastAsia="Courier New" w:hAnsi="Courier New"/>
          <w:sz w:val="18"/>
          <w:szCs w:val="18"/>
          <w:color w:val="auto"/>
        </w:rPr>
      </w:pPr>
    </w:p>
    <w:p>
      <w:pPr>
        <w:ind w:right="7359" w:firstLine="8"/>
        <w:spacing w:after="0" w:line="476"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2,763,558</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2,763,558 (ownership disclaimed pursuant to Section 13d-4 of the 1934 Act)</w:t>
      </w:r>
    </w:p>
    <w:p>
      <w:pPr>
        <w:spacing w:after="0" w:line="224"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15.5%</w:t>
      </w:r>
    </w:p>
    <w:p>
      <w:pPr>
        <w:spacing w:after="0" w:line="201" w:lineRule="exact"/>
        <w:rPr>
          <w:sz w:val="20"/>
          <w:szCs w:val="20"/>
          <w:color w:val="auto"/>
        </w:rPr>
      </w:pPr>
    </w:p>
    <w:p>
      <w:pPr>
        <w:ind w:right="7159" w:firstLine="8"/>
        <w:spacing w:after="0" w:line="476"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Page 3 of 8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374"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right="6099" w:firstLine="8"/>
        <w:spacing w:after="0" w:line="476"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7899" w:firstLine="8"/>
        <w:spacing w:after="0" w:line="476"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2,763,558</w:t>
      </w:r>
    </w:p>
    <w:p>
      <w:pPr>
        <w:spacing w:after="0" w:line="1" w:lineRule="exact"/>
        <w:rPr>
          <w:rFonts w:ascii="Courier New" w:cs="Courier New" w:eastAsia="Courier New" w:hAnsi="Courier New"/>
          <w:sz w:val="18"/>
          <w:szCs w:val="18"/>
          <w:color w:val="auto"/>
        </w:rPr>
      </w:pPr>
    </w:p>
    <w:p>
      <w:pPr>
        <w:ind w:right="7579" w:firstLine="8"/>
        <w:spacing w:after="0" w:line="476"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 w:lineRule="exact"/>
        <w:rPr>
          <w:rFonts w:ascii="Courier New" w:cs="Courier New" w:eastAsia="Courier New" w:hAnsi="Courier New"/>
          <w:sz w:val="18"/>
          <w:szCs w:val="18"/>
          <w:color w:val="auto"/>
        </w:rPr>
      </w:pPr>
    </w:p>
    <w:p>
      <w:pPr>
        <w:ind w:right="7359" w:firstLine="8"/>
        <w:spacing w:after="0" w:line="476"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2,763,558</w:t>
      </w:r>
    </w:p>
    <w:p>
      <w:pPr>
        <w:spacing w:after="0" w:line="1" w:lineRule="exact"/>
        <w:rPr>
          <w:rFonts w:ascii="Courier New" w:cs="Courier New" w:eastAsia="Courier New" w:hAnsi="Courier New"/>
          <w:sz w:val="18"/>
          <w:szCs w:val="18"/>
          <w:color w:val="auto"/>
        </w:rPr>
      </w:pPr>
    </w:p>
    <w:p>
      <w:pPr>
        <w:ind w:right="3579" w:firstLine="8"/>
        <w:spacing w:after="0" w:line="476"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2,763,558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15.5%</w:t>
      </w:r>
    </w:p>
    <w:p>
      <w:pPr>
        <w:spacing w:after="0" w:line="201" w:lineRule="exact"/>
        <w:rPr>
          <w:sz w:val="20"/>
          <w:szCs w:val="20"/>
          <w:color w:val="auto"/>
        </w:rPr>
      </w:pPr>
    </w:p>
    <w:p>
      <w:pPr>
        <w:ind w:right="7159" w:firstLine="8"/>
        <w:spacing w:after="0" w:line="476"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PN</w:t>
      </w:r>
    </w:p>
    <w:p>
      <w:pPr>
        <w:spacing w:after="0" w:line="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69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Page 4 of 8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320" w:hanging="312"/>
        <w:spacing w:after="0"/>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right="6099" w:firstLine="8"/>
        <w:spacing w:after="0" w:line="476"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7899" w:firstLine="8"/>
        <w:spacing w:after="0" w:line="476"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2,763,558</w:t>
      </w:r>
    </w:p>
    <w:p>
      <w:pPr>
        <w:spacing w:after="0" w:line="1" w:lineRule="exact"/>
        <w:rPr>
          <w:rFonts w:ascii="Courier New" w:cs="Courier New" w:eastAsia="Courier New" w:hAnsi="Courier New"/>
          <w:sz w:val="18"/>
          <w:szCs w:val="18"/>
          <w:color w:val="auto"/>
        </w:rPr>
      </w:pPr>
    </w:p>
    <w:p>
      <w:pPr>
        <w:ind w:right="7579" w:firstLine="8"/>
        <w:spacing w:after="0" w:line="476"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 w:lineRule="exact"/>
        <w:rPr>
          <w:rFonts w:ascii="Courier New" w:cs="Courier New" w:eastAsia="Courier New" w:hAnsi="Courier New"/>
          <w:sz w:val="18"/>
          <w:szCs w:val="18"/>
          <w:color w:val="auto"/>
        </w:rPr>
      </w:pPr>
    </w:p>
    <w:p>
      <w:pPr>
        <w:ind w:right="7359" w:firstLine="8"/>
        <w:spacing w:after="0" w:line="476"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2,763,558</w:t>
      </w:r>
    </w:p>
    <w:p>
      <w:pPr>
        <w:spacing w:after="0" w:line="1" w:lineRule="exact"/>
        <w:rPr>
          <w:rFonts w:ascii="Courier New" w:cs="Courier New" w:eastAsia="Courier New" w:hAnsi="Courier New"/>
          <w:sz w:val="18"/>
          <w:szCs w:val="18"/>
          <w:color w:val="auto"/>
        </w:rPr>
      </w:pPr>
    </w:p>
    <w:p>
      <w:pPr>
        <w:ind w:right="3579" w:firstLine="8"/>
        <w:spacing w:after="0" w:line="476"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2,763,558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15.5%</w:t>
      </w:r>
    </w:p>
    <w:p>
      <w:pPr>
        <w:spacing w:after="0" w:line="201"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69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5 of 8 Pages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Cytotherapeutics, Inc. (the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Two Richmond Square</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Providence, RI 02906</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Princeton Services, Inc.</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Asset Management, L.P.</w:t>
      </w:r>
    </w:p>
    <w:p>
      <w:pPr>
        <w:ind w:left="1280"/>
        <w:spacing w:after="0"/>
        <w:rPr>
          <w:sz w:val="20"/>
          <w:szCs w:val="20"/>
          <w:color w:val="auto"/>
        </w:rPr>
      </w:pPr>
      <w:r>
        <w:rPr>
          <w:rFonts w:ascii="Courier New" w:cs="Courier New" w:eastAsia="Courier New" w:hAnsi="Courier New"/>
          <w:sz w:val="18"/>
          <w:szCs w:val="18"/>
          <w:color w:val="auto"/>
        </w:rPr>
        <w:t>Merril Lynch Growth Fund</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 Lynch Growth Fund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(c)</w:t>
            </w:r>
          </w:p>
        </w:tc>
        <w:tc>
          <w:tcPr>
            <w:tcW w:w="3200" w:type="dxa"/>
            <w:vAlign w:val="bottom"/>
          </w:tcPr>
          <w:p>
            <w:pPr>
              <w:ind w:left="160"/>
              <w:spacing w:after="0"/>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203"/>
        </w:trPr>
        <w:tc>
          <w:tcPr>
            <w:tcW w:w="11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See Item 4</w:t>
            </w:r>
          </w:p>
        </w:tc>
        <w:tc>
          <w:tcPr>
            <w:tcW w:w="3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120" w:type="dxa"/>
            <w:vAlign w:val="bottom"/>
            <w:gridSpan w:val="2"/>
            <w:vMerge w:val="continue"/>
          </w:tcPr>
          <w:p>
            <w:pPr>
              <w:spacing w:after="0"/>
              <w:rPr>
                <w:sz w:val="24"/>
                <w:szCs w:val="24"/>
                <w:color w:val="auto"/>
              </w:rPr>
            </w:pP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of Cover Pages</w:t>
            </w:r>
          </w:p>
        </w:tc>
        <w:tc>
          <w:tcPr>
            <w:tcW w:w="0" w:type="dxa"/>
            <w:vAlign w:val="bottom"/>
          </w:tcPr>
          <w:p>
            <w:pPr>
              <w:spacing w:after="0"/>
              <w:rPr>
                <w:sz w:val="1"/>
                <w:szCs w:val="1"/>
                <w:color w:val="auto"/>
              </w:rPr>
            </w:pPr>
          </w:p>
        </w:tc>
      </w:tr>
      <w:tr>
        <w:trPr>
          <w:trHeight w:val="311"/>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(d)</w:t>
            </w:r>
          </w:p>
        </w:tc>
        <w:tc>
          <w:tcPr>
            <w:tcW w:w="3200" w:type="dxa"/>
            <w:vAlign w:val="bottom"/>
          </w:tcPr>
          <w:p>
            <w:pPr>
              <w:ind w:left="160"/>
              <w:spacing w:after="0"/>
              <w:rPr>
                <w:sz w:val="20"/>
                <w:szCs w:val="20"/>
                <w:color w:val="auto"/>
              </w:rPr>
            </w:pPr>
            <w:r>
              <w:rPr>
                <w:rFonts w:ascii="Courier New" w:cs="Courier New" w:eastAsia="Courier New" w:hAnsi="Courier New"/>
                <w:sz w:val="18"/>
                <w:szCs w:val="18"/>
                <w:color w:val="auto"/>
                <w:w w:val="96"/>
              </w:rPr>
              <w:t>Title of Class of Securities:</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tcPr>
          <w:p>
            <w:pPr>
              <w:ind w:left="160"/>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Common</w:t>
            </w:r>
          </w:p>
        </w:tc>
        <w:tc>
          <w:tcPr>
            <w:tcW w:w="3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Stock</w:t>
            </w:r>
          </w:p>
        </w:tc>
        <w:tc>
          <w:tcPr>
            <w:tcW w:w="0" w:type="dxa"/>
            <w:vAlign w:val="bottom"/>
          </w:tcPr>
          <w:p>
            <w:pPr>
              <w:spacing w:after="0"/>
              <w:rPr>
                <w:sz w:val="1"/>
                <w:szCs w:val="1"/>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(e)</w:t>
            </w:r>
          </w:p>
        </w:tc>
        <w:tc>
          <w:tcPr>
            <w:tcW w:w="3200" w:type="dxa"/>
            <w:vAlign w:val="bottom"/>
          </w:tcPr>
          <w:p>
            <w:pPr>
              <w:ind w:left="160"/>
              <w:spacing w:after="0"/>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ectPr>
          <w:pgSz w:w="11900" w:h="16838" w:orient="portrait"/>
          <w:cols w:equalWidth="0" w:num="1">
            <w:col w:w="10219"/>
          </w:cols>
          <w:pgMar w:left="240" w:top="69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Page 6 of 8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739" w:firstLine="421"/>
        <w:spacing w:after="0" w:line="293" w:lineRule="auto"/>
        <w:rPr>
          <w:sz w:val="20"/>
          <w:szCs w:val="20"/>
          <w:color w:val="auto"/>
        </w:rPr>
      </w:pPr>
      <w:r>
        <w:rPr>
          <w:rFonts w:ascii="Courier New" w:cs="Courier New" w:eastAsia="Courier New" w:hAnsi="Courier New"/>
          <w:sz w:val="16"/>
          <w:szCs w:val="16"/>
          <w:color w:val="auto"/>
        </w:rPr>
        <w:t>Princeton Services, Inc. ("PSI") is a parent holding company in, accordance with (S) 240.13d-1(b)(ii)(G) of the 1934 Act. Merrill Lynch Asset Management, L.P. (d/b/a) Merrill Lynch Asset Management ("MLAM") is an investment adviser registered under (S) 203 of the Investment Advisers Act of 1940 (the "Advisers Act"). Merril Lynch Growth Fund (the "Fund") is an investment company registered under Section 8 of the Investment Company Act of 1940 (the "Investment Company Act").</w:t>
      </w:r>
    </w:p>
    <w:p>
      <w:pPr>
        <w:spacing w:after="0" w:line="200" w:lineRule="exact"/>
        <w:rPr>
          <w:sz w:val="20"/>
          <w:szCs w:val="20"/>
          <w:color w:val="auto"/>
        </w:rPr>
      </w:pPr>
    </w:p>
    <w:p>
      <w:pPr>
        <w:spacing w:after="0" w:line="27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ind w:left="320" w:right="6939" w:hanging="312"/>
        <w:spacing w:after="0" w:line="515" w:lineRule="auto"/>
        <w:tabs>
          <w:tab w:leader="none" w:pos="53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060" w:right="4839" w:hanging="525"/>
        <w:spacing w:after="0" w:line="476"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 w:lineRule="exact"/>
        <w:rPr>
          <w:rFonts w:ascii="Courier New" w:cs="Courier New" w:eastAsia="Courier New" w:hAnsi="Courier New"/>
          <w:sz w:val="18"/>
          <w:szCs w:val="18"/>
          <w:color w:val="auto"/>
        </w:rPr>
      </w:pPr>
    </w:p>
    <w:p>
      <w:pPr>
        <w:ind w:left="1060" w:right="4619" w:hanging="631"/>
        <w:spacing w:after="0" w:line="476"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the Cover Pages</w:t>
      </w:r>
    </w:p>
    <w:p>
      <w:pPr>
        <w:spacing w:after="0" w:line="1" w:lineRule="exact"/>
        <w:rPr>
          <w:rFonts w:ascii="Courier New" w:cs="Courier New" w:eastAsia="Courier New" w:hAnsi="Courier New"/>
          <w:sz w:val="18"/>
          <w:szCs w:val="18"/>
          <w:color w:val="auto"/>
        </w:rPr>
      </w:pPr>
    </w:p>
    <w:p>
      <w:pPr>
        <w:ind w:left="1060" w:right="3159" w:hanging="736"/>
        <w:spacing w:after="0" w:line="476"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to direct the disposition of: See Item 7 of Cover Pages</w:t>
      </w:r>
    </w:p>
    <w:p>
      <w:pPr>
        <w:spacing w:after="0" w:line="1" w:lineRule="exact"/>
        <w:rPr>
          <w:rFonts w:ascii="Courier New" w:cs="Courier New" w:eastAsia="Courier New" w:hAnsi="Courier New"/>
          <w:sz w:val="18"/>
          <w:szCs w:val="18"/>
          <w:color w:val="auto"/>
        </w:rPr>
      </w:pPr>
    </w:p>
    <w:p>
      <w:pPr>
        <w:ind w:left="1060" w:right="3259" w:hanging="631"/>
        <w:spacing w:after="0" w:line="585"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of or direct the disposition of: See Item 8 of Cover Pages</w:t>
      </w:r>
    </w:p>
    <w:p>
      <w:pPr>
        <w:spacing w:after="0" w:line="22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69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Page 7 of 8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MLAM is an investment adviser registered under Section 203 of the Advisers Act and acts as an investment adviser to investment companies registered under Section 8 of the Investment Company Act and private accounts. With respect to securities held by those investment companies and private accounts, several persons have the right to receive, or the power to direct the receipt of dividends from or the proceeds from the sale of such securities. The Fund,</w:t>
      </w:r>
    </w:p>
    <w:p>
      <w:pPr>
        <w:spacing w:after="0" w:line="1"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 reporting person on this Schedule 13G for which MLAM serves as investment adviser, has an interest that relates to more than 5% of the class of</w:t>
      </w:r>
    </w:p>
    <w:p>
      <w:pPr>
        <w:ind w:right="1999"/>
        <w:spacing w:after="0" w:line="309" w:lineRule="auto"/>
        <w:rPr>
          <w:sz w:val="20"/>
          <w:szCs w:val="20"/>
          <w:color w:val="auto"/>
        </w:rPr>
      </w:pPr>
      <w:r>
        <w:rPr>
          <w:rFonts w:ascii="Courier New" w:cs="Courier New" w:eastAsia="Courier New" w:hAnsi="Courier New"/>
          <w:sz w:val="18"/>
          <w:szCs w:val="18"/>
          <w:color w:val="auto"/>
        </w:rPr>
        <w:t>the class of securities reported herein. No other person has an interest that relates to more than 5% of the class of securities reported herein.</w:t>
      </w:r>
    </w:p>
    <w:p>
      <w:pPr>
        <w:spacing w:after="0" w:line="200" w:lineRule="exact"/>
        <w:rPr>
          <w:sz w:val="20"/>
          <w:szCs w:val="20"/>
          <w:color w:val="auto"/>
        </w:rPr>
      </w:pPr>
    </w:p>
    <w:p>
      <w:pPr>
        <w:spacing w:after="0" w:line="25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ind w:left="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2739" w:firstLine="527"/>
        <w:spacing w:after="0" w:line="257" w:lineRule="auto"/>
        <w:rPr>
          <w:sz w:val="20"/>
          <w:szCs w:val="20"/>
          <w:color w:val="auto"/>
        </w:rPr>
      </w:pPr>
      <w:r>
        <w:rPr>
          <w:rFonts w:ascii="Courier New" w:cs="Courier New" w:eastAsia="Courier New" w:hAnsi="Courier New"/>
          <w:sz w:val="18"/>
          <w:szCs w:val="18"/>
          <w:color w:val="auto"/>
        </w:rPr>
        <w:t>PSI is a corporate managing general partner of Merrill Lynch Asset Management, L.P. and Fund Asset Management, L.P., each of which</w:t>
      </w:r>
    </w:p>
    <w:p>
      <w:pPr>
        <w:spacing w:after="0"/>
        <w:rPr>
          <w:sz w:val="20"/>
          <w:szCs w:val="20"/>
          <w:color w:val="auto"/>
        </w:rPr>
      </w:pPr>
      <w:r>
        <w:rPr>
          <w:rFonts w:ascii="Courier New" w:cs="Courier New" w:eastAsia="Courier New" w:hAnsi="Courier New"/>
          <w:sz w:val="18"/>
          <w:szCs w:val="18"/>
          <w:color w:val="auto"/>
        </w:rPr>
        <w:t>is a registered investment adviser under Section 203 of the Advisers Act.</w:t>
      </w:r>
    </w:p>
    <w:p>
      <w:pPr>
        <w:spacing w:after="0" w:line="3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2319" w:firstLine="421"/>
        <w:spacing w:after="0" w:line="256"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ectPr>
          <w:pgSz w:w="11900" w:h="16838" w:orient="portrait"/>
          <w:cols w:equalWidth="0" w:num="1">
            <w:col w:w="10219"/>
          </w:cols>
          <w:pgMar w:left="240" w:top="69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Page 8 of 8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jc w:val="both"/>
        <w:ind w:right="2099" w:firstLine="421"/>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6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29,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Ira P. Shapiro</w:t>
      </w:r>
    </w:p>
    <w:p>
      <w:pPr>
        <w:spacing w:after="0" w:line="29"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Ira P. Shapiro</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Princeton Services, Inc. (General Partner)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Ira P. Shapiro</w:t>
      </w:r>
    </w:p>
    <w:p>
      <w:pPr>
        <w:spacing w:after="0" w:line="29"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76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Ira P. Shapiro Title Attorney-In-Fact**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 Lynch Growth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Ira P. Shapiro</w:t>
      </w:r>
    </w:p>
    <w:p>
      <w:pPr>
        <w:spacing w:after="0" w:line="29"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Ira P. Shapiro</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right="2319"/>
        <w:spacing w:after="0" w:line="262" w:lineRule="auto"/>
        <w:rPr>
          <w:sz w:val="20"/>
          <w:szCs w:val="20"/>
          <w:color w:val="auto"/>
        </w:rPr>
      </w:pPr>
      <w:r>
        <w:rPr>
          <w:rFonts w:ascii="Courier New" w:cs="Courier New" w:eastAsia="Courier New" w:hAnsi="Courier New"/>
          <w:sz w:val="18"/>
          <w:szCs w:val="18"/>
          <w:color w:val="auto"/>
        </w:rPr>
        <w:t>*Signed pursuant to a power of attorney, dated January 26, 1998, included as an Exhibit to this Schedule 13G filed with the Securities and Exchange Commission by Princeton Services, Inc. on February 14, 1998 with respect to LTX Corporation.</w:t>
      </w:r>
    </w:p>
    <w:p>
      <w:pPr>
        <w:spacing w:after="0" w:line="293" w:lineRule="exact"/>
        <w:rPr>
          <w:sz w:val="20"/>
          <w:szCs w:val="20"/>
          <w:color w:val="auto"/>
        </w:rPr>
      </w:pPr>
    </w:p>
    <w:p>
      <w:pPr>
        <w:ind w:right="2319"/>
        <w:spacing w:after="0" w:line="274" w:lineRule="auto"/>
        <w:rPr>
          <w:sz w:val="20"/>
          <w:szCs w:val="20"/>
          <w:color w:val="auto"/>
        </w:rPr>
      </w:pPr>
      <w:r>
        <w:rPr>
          <w:rFonts w:ascii="Courier New" w:cs="Courier New" w:eastAsia="Courier New" w:hAnsi="Courier New"/>
          <w:sz w:val="18"/>
          <w:szCs w:val="18"/>
          <w:color w:val="auto"/>
        </w:rPr>
        <w:t>**Signed pursuant to a power of attorney, dated January 26, 1998, included as an Exhibit to this Schedule 13G filed with the Securities and Exchange Commission by Princeton Services, Inc. on February 14, 1998 with respect to Lattice SemiConductor Corp.</w:t>
      </w:r>
    </w:p>
    <w:p>
      <w:pPr>
        <w:spacing w:after="0" w:line="284" w:lineRule="exact"/>
        <w:rPr>
          <w:sz w:val="20"/>
          <w:szCs w:val="20"/>
          <w:color w:val="auto"/>
        </w:rPr>
      </w:pPr>
    </w:p>
    <w:p>
      <w:pPr>
        <w:ind w:right="2319"/>
        <w:spacing w:after="0" w:line="274" w:lineRule="auto"/>
        <w:rPr>
          <w:sz w:val="20"/>
          <w:szCs w:val="20"/>
          <w:color w:val="auto"/>
        </w:rPr>
      </w:pPr>
      <w:r>
        <w:rPr>
          <w:rFonts w:ascii="Courier New" w:cs="Courier New" w:eastAsia="Courier New" w:hAnsi="Courier New"/>
          <w:sz w:val="18"/>
          <w:szCs w:val="18"/>
          <w:color w:val="auto"/>
        </w:rPr>
        <w:t>***Signed pursuant to a power of attorney, dated January 26, 1998, included as an Exhibit to this Schedule 13G filed with the Securities and Exchange Commission by Princeton Services, Inc. on February 14, 1998 with respect to Simon DeBartolo Group.</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10"/>
    </w:lvl>
  </w:abstractNum>
  <w:abstractNum w:abstractNumId="8">
    <w:nsid w:val="4E6AFB66"/>
    <w:multiLevelType w:val="hybridMultilevel"/>
    <w:lvl w:ilvl="0">
      <w:lvlJc w:val="left"/>
      <w:lvlText w:val="%1."/>
      <w:numFmt w:val="decimal"/>
      <w:start w:val="12"/>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2"/>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1."/>
      <w:numFmt w:val="decimal"/>
      <w:start w:val="6"/>
    </w:lvl>
  </w:abstractNum>
  <w:abstractNum w:abstractNumId="14">
    <w:nsid w:val="257130A3"/>
    <w:multiLevelType w:val="hybridMultilevel"/>
    <w:lvl w:ilvl="0">
      <w:lvlJc w:val="left"/>
      <w:lvlText w:val="%1."/>
      <w:numFmt w:val="decimal"/>
      <w:start w:val="12"/>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3"/>
    </w:lvl>
  </w:abstractNum>
  <w:abstractNum w:abstractNumId="18">
    <w:nsid w:val="333AB105"/>
    <w:multiLevelType w:val="hybridMultilevel"/>
    <w:lvl w:ilvl="0">
      <w:lvlJc w:val="left"/>
      <w:lvlText w:val="%1."/>
      <w:numFmt w:val="decimal"/>
      <w:start w:val="6"/>
    </w:lvl>
  </w:abstractNum>
  <w:abstractNum w:abstractNumId="19">
    <w:nsid w:val="721DA317"/>
    <w:multiLevelType w:val="hybridMultilevel"/>
    <w:lvl w:ilvl="0">
      <w:lvlJc w:val="left"/>
      <w:lvlText w:val="%1."/>
      <w:numFmt w:val="decimal"/>
      <w:start w:val="12"/>
    </w:lvl>
  </w:abstractNum>
  <w:abstractNum w:abstractNumId="20">
    <w:nsid w:val="2443A858"/>
    <w:multiLevelType w:val="hybridMultilevel"/>
    <w:lvl w:ilvl="0">
      <w:lvlJc w:val="left"/>
      <w:lvlText w:val="(%1)"/>
      <w:numFmt w:val="lowerLetter"/>
      <w:start w:val="1"/>
    </w:lvl>
    <w:lvl w:ilvl="1">
      <w:lvlJc w:val="left"/>
      <w:lvlText w:val="(%2)"/>
      <w:numFmt w:val="lowerRoman"/>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2019-12-13T21:48:22Z</dcterms:created>
  <dcterms:modified xsi:type="dcterms:W3CDTF">2019-12-13T21:48:22Z</dcterms:modified>
</cp:coreProperties>
</file>