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4,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4, 2021, Microbot Medical Inc. (the “Company”) issued a press release announcing that it has secured additional protection for its one and done guidewire technology with a Notice of Patent Allowance issued by the Israel Intellectual Property Office. The allowed application covers the Company’s double guidewire technology that has been granted in Europe, Japan and now Israel. Globally, the Company holds a total of 42 patents issued/allowed and 23 pending patent applications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Microbot Medical Secures Additional Protection for the One and Done Guidewire Technology with another Notice of Patent Allowance</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HINGHAM, Mass., June 4, 2021, </w:t>
      </w:r>
      <w:r>
        <w:rPr>
          <w:rFonts w:ascii="Arial" w:cs="Arial" w:eastAsia="Arial" w:hAnsi="Arial"/>
          <w:sz w:val="18"/>
          <w:szCs w:val="18"/>
          <w:color w:val="auto"/>
        </w:rPr>
        <w:t>– Global patent jurisdictions continue to recognize Microbot Medical Inc.’s (Nasdaq: MBOT) innovative ‘One &amp; Done’</w:t>
      </w:r>
      <w:r>
        <w:rPr>
          <w:rFonts w:ascii="Arial" w:cs="Arial" w:eastAsia="Arial" w:hAnsi="Arial"/>
          <w:sz w:val="18"/>
          <w:szCs w:val="18"/>
          <w:b w:val="1"/>
          <w:bCs w:val="1"/>
          <w:color w:val="auto"/>
        </w:rPr>
        <w:t xml:space="preserve"> </w:t>
      </w:r>
      <w:r>
        <w:rPr>
          <w:rFonts w:ascii="Arial" w:cs="Arial" w:eastAsia="Arial" w:hAnsi="Arial"/>
          <w:sz w:val="18"/>
          <w:szCs w:val="18"/>
          <w:color w:val="auto"/>
        </w:rPr>
        <w:t>guidewire technology, as the Israel Intellectual Property Office has issued a Notice of Allowance (NOA). The allowed application covers Microbot’s double guidewire technology that has been granted in Europe, Japan and now Israel. Globally, Microbot Medical holds a total of 42 patents issued/allowed and 23 pending patent applications.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One &amp; Done is an integral part of the future development portfolio of LIBERTY, and will ensure we maintain sustainable competitive advantage,” commented Harel Gadot, CEO, President and Chairman. “We are very pleased that our continued focus on innovation is reflected in our differentiated technology IP portfolio that has been recognized by multiple global patent offices.”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allowed claims in this patent cover a double guidewire comprising a first hollow guidewire (outer tube) and a second guidewire (inner tube), each guidewire is preshaped to impart a lateral deflection to its distal portion. An adjuster mechanism is operable to displace the inner tube longitudinally relative to the outer tube between at least three states. Each such state displaces the deflection of the outer and inner tubes relative to each other, thereby adjusting the properties of curvature and stiffness of the distal portion of the entire double guidewire.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2021-06-04T06:39:47Z</dcterms:created>
  <dcterms:modified xsi:type="dcterms:W3CDTF">2021-06-04T06:39:47Z</dcterms:modified>
</cp:coreProperties>
</file>