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15,433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88,612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1,000 restricted stock units, vesting 100% on October 1, 2012,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10,508 shares held in trust for Dr. Weissman's grandchildren. Dr. Weissman disclaims beneficial ownership of such shares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George Koshy,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2019-12-18T02:56:42Z</dcterms:created>
  <dcterms:modified xsi:type="dcterms:W3CDTF">2019-12-18T02:56:42Z</dcterms:modified>
</cp:coreProperties>
</file>