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December 24, 2019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Hingham, Massachusetts 02043</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25, 2019, Microbot Medical Inc. (the “Company”) entered into a Securities Purchase Agreement (the “Purchase Agreement”) with certain accredited institutional investors (the “Purchasers”) providing for the issuance and sale by the Company to the Purchasers of an aggregate of 912,858 shares (the “Shares”) of the Company’s common stock, par value $0.01 per share (the “Common Stock”), at a purchase price per share of $10.50 (the “Offering”). The gross proceeds to the Company will be approximately $9.59 million. The closing of the Offering is expected to occur on or about December 27, 2019.</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net proceeds of the Offering to the Company are estimated to be approximately $8.5 million, after deducting placement agent fees and other estimated offering expenses. The Company intends to use the net proceeds from this Offering for the continuous development and regulatory activities for its SCS device for the treatment of hydrocephalus and NPH; continue the development of its LIBERTY robotic system, including its expansion through addition of complementary assets to it either through internal development, in-license or acquisitions; expand and develop additional applications deriving from its existing IP portfolio, either through internal development, in-license or acquisition; and for working capital and other general corporate purposes.</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24, 2019, the Company entered into an engagement letter (the “Engagement Letter”) with H.C. Wainwright &amp; Co., LLC (“Wainwright”), pursuant to which Wainwright agreed to serve as the exclusive placement agent for the issuance and sale of securities of the Company pursuant to the Purchase Agreement. As compensation for such placement agent services, the Company has agreed to pay Wainwright an aggregate cash fee equal to 7.0% of the gross proceeds received by the Company from the sale of the Shares, plus a management fee equal to 1.0% of the gross proceeds, a non-accountable expense of $125,000 for this Offering, and $10,000 for clearing expenses. The Company has also agreed to issue to Wainwright or its designees warrants to purchase up to 5.0% of the aggregate number of Shares sold under the Purchase Agreement (the “Wainwright Warrants”), or up to 45,643 shares of Common Stock. The Wainwright Warrants have a term of three and one-half (3.5) years, are not exercisable for a period of six months following the issuance, and have an exercise price of $13.125 per share (equal to 125% of the Offering price per share). The Engagement Letter also includes indemnification obligations of the Company and other provisions customary for transactions of this nature.</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(but not the Wainwright Warrants, or the shares of Common Stock issuable upon the exercise of the Wainwright Warrants (the “Wainwright Warrant Shares”)) were offered and sold by the Company through a shelf registration statement on Form S-3 (File No.: 333-217076), which was initially filed with the Securities and Exchange Commission (the “SEC”) on March 31, 2017 and declared effective by the SEC on April 14, 2017 and a prospectus supplement relating to the Offering dated December 25, 2019 filed with the SEC.</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Wainwright Warrants and the Wainwright Warrant Shares are being offered and sold without registration under the Securities Act of 1933, as amended (the “Securities Act”), pursuant to the exemption provided in Section 4(a)(2) under the Securities Act and Regulation D promulgated thereunder and similar exemptions under applicable state laws in reliance on the following facts: no general solicitation was used in the offer or sale of such securities; the recipients of the securities had adequate access to information about the Company, through pre-existing relationships or otherwise; and such securities were issued as restricted securities with restricted legends referring to the Securities Act. No such securities may be offered or sold in the United States in the absence of an effective registration statement or exemption from applicable registration requirements.</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foregoing descriptions of the Wainwright Warrants, the Purchase Agreement and the Engagement Letter do not purport to be complete and are qualified in their entirety by reference to the copy of each of the Form of Wainwright Warrants, Form of Purchase Agreement and the Engagement Letter, which are attached hereto as Exhibits 4.1, 10.1 and 10.2, respectively, and which are incorporated herein by reference.</w:t>
      </w:r>
    </w:p>
    <w:p>
      <w:pPr>
        <w:spacing w:after="0" w:line="18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representations, warranties and covenants contained in the Purchase Agreement were made solely for the benefit of the parties to the Purchase Agreement and may be subject to limitations agreed upon by the contracting parties. Accordingly, the Purchase Agreement is incorporated herein by reference only to provide investors with information regarding the terms of the Purchase Agreement and not to provide investors with any other factual information regarding the Company or its business, and should be read in conjunction with the disclosures in the Company’s periodic reports and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under Item 1.01 of this Current Report on Form 8-K regarding the Wainwright Warrants and the Wainwright Warrant Shares is incorporated herein by reference.</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24, 2019, a holder of 125,000 outstanding warrants of the Company exercised such warrants on a “net exercise” or “cashless” basis into 61,677 shares of common stock. The issuance of the 61,677 shares of common stock upon exercise of such warrants was exempt from registration under Section 4(a)</w:t>
      </w:r>
    </w:p>
    <w:p>
      <w:pPr>
        <w:spacing w:after="0"/>
        <w:rPr>
          <w:sz w:val="20"/>
          <w:szCs w:val="20"/>
          <w:color w:val="auto"/>
        </w:rPr>
      </w:pPr>
      <w:r>
        <w:rPr>
          <w:rFonts w:ascii="Arial" w:cs="Arial" w:eastAsia="Arial" w:hAnsi="Arial"/>
          <w:sz w:val="18"/>
          <w:szCs w:val="18"/>
          <w:color w:val="auto"/>
        </w:rPr>
        <w:t>(2) and/or 3(a)(9) under the Securities Act and the rules promulgated thereunder.</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26, 2019, a holder of 125,000 outstanding warrants of the Company exercised such warrants on a “net exercise” or “cashless” basis into 50,143 shares of common stock. The issuance of the 50,143 shares of common stock upon exercise of such warrants was exempt from registration under Section 4(a)</w:t>
      </w:r>
    </w:p>
    <w:p>
      <w:pPr>
        <w:spacing w:after="0"/>
        <w:rPr>
          <w:sz w:val="20"/>
          <w:szCs w:val="20"/>
          <w:color w:val="auto"/>
        </w:rPr>
      </w:pPr>
      <w:r>
        <w:rPr>
          <w:rFonts w:ascii="Arial" w:cs="Arial" w:eastAsia="Arial" w:hAnsi="Arial"/>
          <w:sz w:val="18"/>
          <w:szCs w:val="18"/>
          <w:color w:val="auto"/>
        </w:rPr>
        <w:t>(2) and/or 3(a)(9) under the Securities Act and the rules promulgated thereunder.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26, 2019, the Company issued a press release announcing the Offering, a copy of which is attached hereto as Exhibit 99.1 and is incorporated by reference into this Item 8.01 of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2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53"/>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04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20" w:type="dxa"/>
            <w:vAlign w:val="bottom"/>
          </w:tcPr>
          <w:p>
            <w:pPr>
              <w:spacing w:after="0"/>
              <w:rPr>
                <w:sz w:val="15"/>
                <w:szCs w:val="15"/>
                <w:color w:val="auto"/>
              </w:rPr>
            </w:pPr>
          </w:p>
        </w:tc>
        <w:tc>
          <w:tcPr>
            <w:tcW w:w="12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2180" w:type="dxa"/>
            <w:vAlign w:val="bottom"/>
            <w:tcBorders>
              <w:top w:val="single" w:sz="8" w:color="auto"/>
              <w:bottom w:val="single" w:sz="8" w:color="0000EE"/>
            </w:tcBorders>
          </w:tcPr>
          <w:p>
            <w:pPr>
              <w:spacing w:after="0" w:line="17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Form of Wainwright Warrants</w:t>
              </w:r>
            </w:hyperlink>
          </w:p>
        </w:tc>
        <w:tc>
          <w:tcPr>
            <w:tcW w:w="7860" w:type="dxa"/>
            <w:vAlign w:val="bottom"/>
            <w:tcBorders>
              <w:top w:val="single" w:sz="8" w:color="auto"/>
            </w:tcBorders>
            <w:gridSpan w:val="6"/>
          </w:tcPr>
          <w:p>
            <w:pPr>
              <w:spacing w:after="0"/>
              <w:rPr>
                <w:sz w:val="15"/>
                <w:szCs w:val="15"/>
                <w:color w:val="auto"/>
              </w:rPr>
            </w:pPr>
          </w:p>
        </w:tc>
      </w:tr>
      <w:tr>
        <w:trPr>
          <w:trHeight w:val="196"/>
        </w:trPr>
        <w:tc>
          <w:tcPr>
            <w:tcW w:w="1260" w:type="dxa"/>
            <w:vAlign w:val="bottom"/>
            <w:gridSpan w:val="2"/>
          </w:tcPr>
          <w:p>
            <w:pPr>
              <w:spacing w:after="0" w:line="196"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7"/>
                <w:szCs w:val="17"/>
                <w:color w:val="auto"/>
              </w:rPr>
            </w:pPr>
          </w:p>
        </w:tc>
        <w:tc>
          <w:tcPr>
            <w:tcW w:w="10040" w:type="dxa"/>
            <w:vAlign w:val="bottom"/>
            <w:gridSpan w:val="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Opinion of Mintz, Levin, Cohn, Ferris, Glovsky and Popeo, P.C.</w:t>
              </w:r>
            </w:hyperlink>
          </w:p>
        </w:tc>
      </w:tr>
      <w:tr>
        <w:trPr>
          <w:trHeight w:val="20"/>
        </w:trPr>
        <w:tc>
          <w:tcPr>
            <w:tcW w:w="1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60" w:type="dxa"/>
            <w:vAlign w:val="bottom"/>
            <w:gridSpan w:val="2"/>
          </w:tcPr>
          <w:p>
            <w:pPr>
              <w:spacing w:after="0" w:line="19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94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Form of Securities Purchase Agreement, dated as of December 25, 2019, by and among Microbot Medical Inc., and the Purchasers</w:t>
              </w:r>
            </w:hyperlink>
          </w:p>
        </w:tc>
        <w:tc>
          <w:tcPr>
            <w:tcW w:w="600" w:type="dxa"/>
            <w:vAlign w:val="bottom"/>
          </w:tcPr>
          <w:p>
            <w:pPr>
              <w:spacing w:after="0"/>
              <w:rPr>
                <w:sz w:val="17"/>
                <w:szCs w:val="17"/>
                <w:color w:val="auto"/>
              </w:rPr>
            </w:pPr>
          </w:p>
        </w:tc>
      </w:tr>
      <w:tr>
        <w:trPr>
          <w:trHeight w:val="196"/>
        </w:trPr>
        <w:tc>
          <w:tcPr>
            <w:tcW w:w="1260" w:type="dxa"/>
            <w:vAlign w:val="bottom"/>
            <w:gridSpan w:val="2"/>
          </w:tcPr>
          <w:p>
            <w:pPr>
              <w:spacing w:after="0" w:line="19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10040" w:type="dxa"/>
            <w:vAlign w:val="bottom"/>
            <w:gridSpan w:val="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Engagement Letter, dated as of December 24, 2019, by and between Microbot Medical Inc. and H.C. Wainwright &amp; Co., LLC</w:t>
              </w:r>
            </w:hyperlink>
          </w:p>
        </w:tc>
      </w:tr>
      <w:tr>
        <w:trPr>
          <w:trHeight w:val="196"/>
        </w:trPr>
        <w:tc>
          <w:tcPr>
            <w:tcW w:w="1260" w:type="dxa"/>
            <w:vAlign w:val="bottom"/>
            <w:gridSpan w:val="2"/>
          </w:tcPr>
          <w:p>
            <w:pPr>
              <w:spacing w:after="0" w:line="196" w:lineRule="exact"/>
              <w:rPr>
                <w:sz w:val="20"/>
                <w:szCs w:val="20"/>
                <w:color w:val="auto"/>
              </w:rPr>
            </w:pPr>
            <w:r>
              <w:rPr>
                <w:rFonts w:ascii="Arial" w:cs="Arial" w:eastAsia="Arial" w:hAnsi="Arial"/>
                <w:sz w:val="18"/>
                <w:szCs w:val="18"/>
                <w:color w:val="auto"/>
              </w:rPr>
              <w:t>23.1</w:t>
            </w:r>
          </w:p>
        </w:tc>
        <w:tc>
          <w:tcPr>
            <w:tcW w:w="120" w:type="dxa"/>
            <w:vAlign w:val="bottom"/>
          </w:tcPr>
          <w:p>
            <w:pPr>
              <w:spacing w:after="0"/>
              <w:rPr>
                <w:sz w:val="17"/>
                <w:szCs w:val="17"/>
                <w:color w:val="auto"/>
              </w:rPr>
            </w:pPr>
          </w:p>
        </w:tc>
        <w:tc>
          <w:tcPr>
            <w:tcW w:w="90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Consent of Mintz, Levin, Cohn, Ferris, Glovsky and Popeo, P.C. (included in Exhibit 5.1)</w:t>
              </w:r>
            </w:hyperlink>
          </w:p>
        </w:tc>
        <w:tc>
          <w:tcPr>
            <w:tcW w:w="960" w:type="dxa"/>
            <w:vAlign w:val="bottom"/>
            <w:gridSpan w:val="2"/>
          </w:tcPr>
          <w:p>
            <w:pPr>
              <w:spacing w:after="0"/>
              <w:rPr>
                <w:sz w:val="17"/>
                <w:szCs w:val="17"/>
                <w:color w:val="auto"/>
              </w:rPr>
            </w:pPr>
          </w:p>
        </w:tc>
      </w:tr>
      <w:tr>
        <w:trPr>
          <w:trHeight w:val="196"/>
        </w:trPr>
        <w:tc>
          <w:tcPr>
            <w:tcW w:w="1260" w:type="dxa"/>
            <w:vAlign w:val="bottom"/>
            <w:gridSpan w:val="2"/>
          </w:tcPr>
          <w:p>
            <w:pPr>
              <w:spacing w:after="0" w:line="19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7"/>
                <w:szCs w:val="17"/>
                <w:color w:val="auto"/>
              </w:rPr>
            </w:pPr>
          </w:p>
        </w:tc>
        <w:tc>
          <w:tcPr>
            <w:tcW w:w="64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Press Release dated December 26, 2019.</w:t>
              </w:r>
            </w:hyperlink>
          </w:p>
        </w:tc>
        <w:tc>
          <w:tcPr>
            <w:tcW w:w="3580" w:type="dxa"/>
            <w:vAlign w:val="bottom"/>
            <w:gridSpan w:val="3"/>
          </w:tcPr>
          <w:p>
            <w:pPr>
              <w:spacing w:after="0"/>
              <w:rPr>
                <w:sz w:val="17"/>
                <w:szCs w:val="17"/>
                <w:color w:val="auto"/>
              </w:rPr>
            </w:pPr>
          </w:p>
        </w:tc>
      </w:tr>
      <w:tr>
        <w:trPr>
          <w:trHeight w:val="460"/>
        </w:trPr>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MICROBOT MEDICAL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10580"/>
        <w:spacing w:after="0"/>
        <w:rPr>
          <w:sz w:val="20"/>
          <w:szCs w:val="20"/>
          <w:color w:val="auto"/>
        </w:rPr>
      </w:pPr>
      <w:r>
        <w:rPr>
          <w:rFonts w:ascii="Arial" w:cs="Arial" w:eastAsia="Arial" w:hAnsi="Arial"/>
          <w:sz w:val="16"/>
          <w:szCs w:val="16"/>
          <w:b w:val="1"/>
          <w:bCs w:val="1"/>
          <w:color w:val="auto"/>
        </w:rPr>
        <w:t>Exhibit 4.1</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PLACEMENT AGENT COMMON STOCK PURCHASE WARRANT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INC.</w:t>
      </w:r>
    </w:p>
    <w:p>
      <w:pPr>
        <w:sectPr>
          <w:pgSz w:w="11900" w:h="16838" w:orient="portrait"/>
          <w:cols w:equalWidth="0" w:num="1">
            <w:col w:w="11420"/>
          </w:cols>
          <w:pgMar w:left="240" w:top="337"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Warrant Shares: 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Issue Date: December 27, 2019</w:t>
      </w:r>
    </w:p>
    <w:p>
      <w:pPr>
        <w:spacing w:after="0" w:line="200" w:lineRule="exact"/>
        <w:rPr>
          <w:sz w:val="20"/>
          <w:szCs w:val="20"/>
          <w:color w:val="auto"/>
        </w:rPr>
      </w:pPr>
    </w:p>
    <w:p>
      <w:pPr>
        <w:sectPr>
          <w:pgSz w:w="11900" w:h="16838" w:orient="portrait"/>
          <w:cols w:equalWidth="0" w:num="2">
            <w:col w:w="8100" w:space="720"/>
            <w:col w:w="2600"/>
          </w:cols>
          <w:pgMar w:left="240" w:top="337" w:right="239" w:bottom="1440" w:gutter="0" w:footer="0" w:header="0"/>
          <w:type w:val="continuous"/>
        </w:sectPr>
      </w:pPr>
    </w:p>
    <w:p>
      <w:pPr>
        <w:spacing w:after="0" w:line="48" w:lineRule="exact"/>
        <w:rPr>
          <w:sz w:val="20"/>
          <w:szCs w:val="20"/>
          <w:color w:val="auto"/>
        </w:rPr>
      </w:pPr>
    </w:p>
    <w:p>
      <w:pPr>
        <w:ind w:left="8840"/>
        <w:spacing w:after="0"/>
        <w:rPr>
          <w:sz w:val="20"/>
          <w:szCs w:val="20"/>
          <w:color w:val="auto"/>
        </w:rPr>
      </w:pPr>
      <w:r>
        <w:rPr>
          <w:rFonts w:ascii="Arial" w:cs="Arial" w:eastAsia="Arial" w:hAnsi="Arial"/>
          <w:sz w:val="16"/>
          <w:szCs w:val="16"/>
          <w:color w:val="auto"/>
        </w:rPr>
        <w:t>Initial Exercise Date: June 27, 2020</w:t>
      </w:r>
    </w:p>
    <w:p>
      <w:pPr>
        <w:sectPr>
          <w:pgSz w:w="11900" w:h="16838" w:orient="portrait"/>
          <w:cols w:equalWidth="0" w:num="1">
            <w:col w:w="11420"/>
          </w:cols>
          <w:pgMar w:left="240" w:top="337" w:right="239" w:bottom="1440" w:gutter="0" w:footer="0" w:header="0"/>
          <w:type w:val="continuous"/>
        </w:sectPr>
      </w:pP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THIS  PLACEMENT  AGENT  COMMON  STOCK  PURCHASE  WARRANT  (the  “</w:t>
      </w:r>
      <w:r>
        <w:rPr>
          <w:rFonts w:ascii="Arial" w:cs="Arial" w:eastAsia="Arial" w:hAnsi="Arial"/>
          <w:sz w:val="17"/>
          <w:szCs w:val="17"/>
          <w:u w:val="single" w:color="auto"/>
          <w:color w:val="auto"/>
        </w:rPr>
        <w:t>Warrant</w:t>
      </w:r>
      <w:r>
        <w:rPr>
          <w:rFonts w:ascii="Arial" w:cs="Arial" w:eastAsia="Arial" w:hAnsi="Arial"/>
          <w:sz w:val="17"/>
          <w:szCs w:val="17"/>
          <w:color w:val="auto"/>
        </w:rPr>
        <w:t>”)  certifies  that,  for  value  received,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_____________ or its assigns (the “</w:t>
      </w:r>
      <w:r>
        <w:rPr>
          <w:rFonts w:ascii="Arial" w:cs="Arial" w:eastAsia="Arial" w:hAnsi="Arial"/>
          <w:sz w:val="16"/>
          <w:szCs w:val="16"/>
          <w:u w:val="single" w:color="auto"/>
          <w:color w:val="auto"/>
        </w:rPr>
        <w:t>Holder</w:t>
      </w:r>
      <w:r>
        <w:rPr>
          <w:rFonts w:ascii="Arial" w:cs="Arial" w:eastAsia="Arial" w:hAnsi="Arial"/>
          <w:sz w:val="16"/>
          <w:szCs w:val="16"/>
          <w:color w:val="auto"/>
        </w:rPr>
        <w:t>”) is entitled, upon the terms and subject to the limitations on exercise and the conditions hereinafter set forth, at</w:t>
      </w:r>
    </w:p>
    <w:p>
      <w:pPr>
        <w:spacing w:after="0" w:line="32"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any time on or after the date set forth above (the “</w:t>
      </w:r>
      <w:r>
        <w:rPr>
          <w:rFonts w:ascii="Arial" w:cs="Arial" w:eastAsia="Arial" w:hAnsi="Arial"/>
          <w:sz w:val="16"/>
          <w:szCs w:val="16"/>
          <w:u w:val="single" w:color="auto"/>
          <w:color w:val="auto"/>
        </w:rPr>
        <w:t>Initial Exercise Date</w:t>
      </w:r>
      <w:r>
        <w:rPr>
          <w:rFonts w:ascii="Arial" w:cs="Arial" w:eastAsia="Arial" w:hAnsi="Arial"/>
          <w:sz w:val="16"/>
          <w:szCs w:val="16"/>
          <w:color w:val="auto"/>
        </w:rPr>
        <w:t>”) and on or prior to 5:00 p.m. (New York City time) on June 27, 2023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but not thereafter, to subscribe for and purchase from Microbot Medical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up to ______</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shares (as subject to adjustment hereunder, the “</w:t>
      </w:r>
      <w:r>
        <w:rPr>
          <w:rFonts w:ascii="Arial" w:cs="Arial" w:eastAsia="Arial" w:hAnsi="Arial"/>
          <w:sz w:val="18"/>
          <w:szCs w:val="18"/>
          <w:u w:val="single" w:color="auto"/>
          <w:color w:val="auto"/>
        </w:rPr>
        <w:t>Warrant Shares</w:t>
      </w:r>
      <w:r>
        <w:rPr>
          <w:rFonts w:ascii="Arial" w:cs="Arial" w:eastAsia="Arial" w:hAnsi="Arial"/>
          <w:sz w:val="18"/>
          <w:szCs w:val="18"/>
          <w:color w:val="auto"/>
        </w:rPr>
        <w:t>”) of the Company’s Common Stock. The purchase price of one share of Common Stock under this Warrant shall be equal to the Exercise Price, as defined in Section 2(b). This Warrant is being issued pursuant to that certain engagement letter, dated as of December 24, 2019, by and between the Company and H.C. Wainwright &amp; Co., LLC.</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Definitions</w:t>
      </w:r>
      <w:r>
        <w:rPr>
          <w:rFonts w:ascii="Arial" w:cs="Arial" w:eastAsia="Arial" w:hAnsi="Arial"/>
          <w:sz w:val="16"/>
          <w:szCs w:val="16"/>
          <w:color w:val="auto"/>
        </w:rPr>
        <w:t>. In addition to the terms defined elsewhere in this Warrant, the following terms have the meanings indicated in this Section 1:</w:t>
      </w:r>
    </w:p>
    <w:p>
      <w:pPr>
        <w:spacing w:after="0" w:line="248"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6" w:name="page7"/>
    <w:bookmarkEnd w:id="6"/>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Bid Price</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6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other class of securities into which such securities may hereafter be reclassified or changed.</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means that certain Securities Purchase Agreement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dated December 25, 2019, among the Company and the purchasers signatory thereto.</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Common Stock is traded on a Trading Market.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7" w:name="page8"/>
    <w:bookmarkEnd w:id="7"/>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Computershare Trust Company, with offices located at Meidinger Tower, 462 South 4th Street, Louisville, KY 40202, and any successor transfer agent of the Company.</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VWAP</w:t>
      </w:r>
      <w:r>
        <w:rPr>
          <w:rFonts w:ascii="Arial" w:cs="Arial" w:eastAsia="Arial" w:hAnsi="Arial"/>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285" w:lineRule="auto"/>
        <w:tabs>
          <w:tab w:leader="none" w:pos="833"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Exercise of Warrant</w:t>
      </w:r>
      <w:r>
        <w:rPr>
          <w:rFonts w:ascii="Arial" w:cs="Arial" w:eastAsia="Arial" w:hAnsi="Arial"/>
          <w:sz w:val="16"/>
          <w:szCs w:val="16"/>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via e-mail attachment) of the Notice of Exercise in the form annexed hereto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Arial" w:cs="Arial" w:eastAsia="Arial" w:hAnsi="Arial"/>
          <w:sz w:val="16"/>
          <w:szCs w:val="16"/>
          <w:b w:val="1"/>
          <w:bCs w:val="1"/>
          <w:color w:val="auto"/>
        </w:rPr>
        <w:t>The Holder and any assignee, by acceptance of this Warrant, acknowledge and agree that, by reason of the</w:t>
      </w:r>
      <w:r>
        <w:rPr>
          <w:rFonts w:ascii="Arial" w:cs="Arial" w:eastAsia="Arial" w:hAnsi="Arial"/>
          <w:sz w:val="16"/>
          <w:szCs w:val="16"/>
          <w:color w:val="auto"/>
        </w:rPr>
        <w:t xml:space="preserve"> </w:t>
      </w:r>
      <w:r>
        <w:rPr>
          <w:rFonts w:ascii="Arial" w:cs="Arial" w:eastAsia="Arial" w:hAnsi="Arial"/>
          <w:sz w:val="16"/>
          <w:szCs w:val="16"/>
          <w:b w:val="1"/>
          <w:bCs w:val="1"/>
          <w:color w:val="auto"/>
        </w:rPr>
        <w:t>provisions of this paragraph, following the purchase of a portion of the Warrant Shares hereunder, the number of Warrant Shares available for purchase hereunder at any given time may be less than the amount stated on the face hereof.</w:t>
      </w:r>
    </w:p>
    <w:p>
      <w:pPr>
        <w:spacing w:after="0" w:line="17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8" w:name="page9"/>
    <w:bookmarkEnd w:id="8"/>
    <w:p>
      <w:pPr>
        <w:jc w:val="both"/>
        <w:ind w:firstLine="648"/>
        <w:spacing w:after="0" w:line="264" w:lineRule="auto"/>
        <w:rPr>
          <w:sz w:val="20"/>
          <w:szCs w:val="20"/>
          <w:color w:val="auto"/>
        </w:rPr>
      </w:pPr>
      <w:r>
        <w:rPr>
          <w:rFonts w:ascii="Arial" w:cs="Arial" w:eastAsia="Arial" w:hAnsi="Arial"/>
          <w:sz w:val="18"/>
          <w:szCs w:val="18"/>
          <w:color w:val="auto"/>
        </w:rPr>
        <w:t>Without limiting the rights of a Holder to receive Warrant Shares on a “cashless exercise” and without limiting the liquidated damages provision in Section 2(d)(i) and the buy-in provision in Section 2(d)(iv), in no event will the Company be required to net cash settle a Warrant exercise.</w:t>
      </w:r>
    </w:p>
    <w:p>
      <w:pPr>
        <w:spacing w:after="0" w:line="181" w:lineRule="exact"/>
        <w:rPr>
          <w:sz w:val="20"/>
          <w:szCs w:val="20"/>
          <w:color w:val="auto"/>
        </w:rPr>
      </w:pPr>
    </w:p>
    <w:p>
      <w:pPr>
        <w:ind w:right="20" w:firstLine="645"/>
        <w:spacing w:after="0" w:line="277" w:lineRule="auto"/>
        <w:tabs>
          <w:tab w:leader="none" w:pos="843"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of Common Stock under this Warrant shall be $13.125,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45"/>
        <w:spacing w:after="0" w:line="259"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If at any time after the six-month anniversary of the Closing Date,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7" w:lineRule="exact"/>
        <w:rPr>
          <w:sz w:val="20"/>
          <w:szCs w:val="20"/>
          <w:color w:val="auto"/>
        </w:rPr>
      </w:pPr>
    </w:p>
    <w:p>
      <w:pPr>
        <w:ind w:left="1160" w:hanging="515"/>
        <w:spacing w:after="0" w:line="269" w:lineRule="auto"/>
        <w:tabs>
          <w:tab w:leader="none" w:pos="942" w:val="left"/>
        </w:tabs>
        <w:numPr>
          <w:ilvl w:val="0"/>
          <w:numId w:val="4"/>
        </w:numPr>
        <w:rPr>
          <w:rFonts w:ascii="Arial" w:cs="Arial" w:eastAsia="Arial" w:hAnsi="Arial"/>
          <w:sz w:val="17"/>
          <w:szCs w:val="17"/>
          <w:color w:val="auto"/>
        </w:rPr>
      </w:pPr>
      <w:r>
        <w:rPr>
          <w:rFonts w:ascii="Arial" w:cs="Arial" w:eastAsia="Arial" w:hAnsi="Arial"/>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2" w:lineRule="exact"/>
        <w:rPr>
          <w:rFonts w:ascii="Arial" w:cs="Arial" w:eastAsia="Arial" w:hAnsi="Arial"/>
          <w:sz w:val="17"/>
          <w:szCs w:val="17"/>
          <w:color w:val="auto"/>
        </w:rPr>
      </w:pPr>
    </w:p>
    <w:p>
      <w:pPr>
        <w:ind w:left="920" w:hanging="275"/>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the Exercise Price of this Warrant, as adjusted hereunder; and</w:t>
      </w:r>
    </w:p>
    <w:p>
      <w:pPr>
        <w:spacing w:after="0" w:line="225" w:lineRule="exact"/>
        <w:rPr>
          <w:sz w:val="20"/>
          <w:szCs w:val="20"/>
          <w:color w:val="auto"/>
        </w:rPr>
      </w:pPr>
    </w:p>
    <w:p>
      <w:pPr>
        <w:ind w:left="1160" w:hanging="515"/>
        <w:spacing w:after="0" w:line="277" w:lineRule="auto"/>
        <w:tabs>
          <w:tab w:leader="none" w:pos="942" w:val="left"/>
        </w:tabs>
        <w:numPr>
          <w:ilvl w:val="0"/>
          <w:numId w:val="5"/>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spacing w:after="0" w:line="14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9" w:name="page10"/>
    <w:bookmarkEnd w:id="9"/>
    <w:p>
      <w:pPr>
        <w:ind w:left="300" w:hanging="195"/>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60" w:hanging="169"/>
        <w:spacing w:after="0" w:line="284" w:lineRule="auto"/>
        <w:tabs>
          <w:tab w:leader="none" w:pos="738"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earliest of (i) two (2) Trading Days after the delivery to the Company of the Notice of Exercise, (ii) one (1) Trading Day after delivery of the aggregate Exercise Price to the Company and (iii) the number of Trading Days comprising the Standard Settlement Period, in each case, after the delivery to the Company of the Notice of Exercise (such date, the “</w:t>
      </w:r>
      <w:r>
        <w:rPr>
          <w:rFonts w:ascii="Arial" w:cs="Arial" w:eastAsia="Arial" w:hAnsi="Arial"/>
          <w:sz w:val="16"/>
          <w:szCs w:val="16"/>
          <w:u w:val="single" w:color="auto"/>
          <w:color w:val="auto"/>
        </w:rPr>
        <w:t>Warrant Share Delivery Date</w:t>
      </w:r>
      <w:r>
        <w:rPr>
          <w:rFonts w:ascii="Arial" w:cs="Arial" w:eastAsia="Arial" w:hAnsi="Arial"/>
          <w:sz w:val="16"/>
          <w:szCs w:val="16"/>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the Holder rescinds such exercise. The Company agrees to maintain a transfer agent that is a participant in the FAST program so long as this Warrant remains outstanding and exercisable. As used herein, “</w:t>
      </w:r>
      <w:r>
        <w:rPr>
          <w:rFonts w:ascii="Arial" w:cs="Arial" w:eastAsia="Arial" w:hAnsi="Arial"/>
          <w:sz w:val="16"/>
          <w:szCs w:val="16"/>
          <w:u w:val="single" w:color="auto"/>
          <w:color w:val="auto"/>
        </w:rPr>
        <w:t>Standard Settlement Period</w:t>
      </w:r>
      <w:r>
        <w:rPr>
          <w:rFonts w:ascii="Arial" w:cs="Arial" w:eastAsia="Arial" w:hAnsi="Arial"/>
          <w:sz w:val="16"/>
          <w:szCs w:val="16"/>
          <w:color w:val="auto"/>
        </w:rPr>
        <w:t>” means the standard settlement period, expressed in a number of Trading Days, on the Company’s primary Trading Market with respect to the Common Stock as in effect on the date of delivery of the Notice of Exercise.</w:t>
      </w:r>
    </w:p>
    <w:p>
      <w:pPr>
        <w:spacing w:after="0" w:line="17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10" w:name="page11"/>
    <w:bookmarkEnd w:id="10"/>
    <w:p>
      <w:pPr>
        <w:jc w:val="both"/>
        <w:ind w:left="760" w:firstLine="641"/>
        <w:spacing w:after="0" w:line="259" w:lineRule="auto"/>
        <w:tabs>
          <w:tab w:leader="none" w:pos="1598"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Delivery of New Warrants Upon Exercise</w:t>
      </w:r>
      <w:r>
        <w:rPr>
          <w:rFonts w:ascii="Arial" w:cs="Arial" w:eastAsia="Arial" w:hAnsi="Arial"/>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86" w:lineRule="exact"/>
        <w:rPr>
          <w:rFonts w:ascii="Arial" w:cs="Arial" w:eastAsia="Arial" w:hAnsi="Arial"/>
          <w:sz w:val="18"/>
          <w:szCs w:val="18"/>
          <w:color w:val="auto"/>
        </w:rPr>
      </w:pPr>
    </w:p>
    <w:p>
      <w:pPr>
        <w:ind w:left="760" w:firstLine="641"/>
        <w:spacing w:after="0" w:line="308" w:lineRule="auto"/>
        <w:tabs>
          <w:tab w:leader="none" w:pos="1662"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Rescission Rights</w:t>
      </w:r>
      <w:r>
        <w:rPr>
          <w:rFonts w:ascii="Arial" w:cs="Arial" w:eastAsia="Arial" w:hAnsi="Arial"/>
          <w:sz w:val="17"/>
          <w:szCs w:val="17"/>
          <w:color w:val="auto"/>
        </w:rPr>
        <w:t>. If the Company fails to cause the Transfer Agent to transmit to the Holder the Warrant Shares pursuant to Section 2(d)(i) by the Warrant Share Delivery Date, then the Holder will have the right to rescind such exercise.</w:t>
      </w:r>
    </w:p>
    <w:p>
      <w:pPr>
        <w:spacing w:after="0" w:line="146" w:lineRule="exact"/>
        <w:rPr>
          <w:rFonts w:ascii="Arial" w:cs="Arial" w:eastAsia="Arial" w:hAnsi="Arial"/>
          <w:sz w:val="17"/>
          <w:szCs w:val="17"/>
          <w:color w:val="auto"/>
        </w:rPr>
      </w:pPr>
    </w:p>
    <w:p>
      <w:pPr>
        <w:jc w:val="both"/>
        <w:ind w:left="760" w:firstLine="641"/>
        <w:spacing w:after="0" w:line="283" w:lineRule="auto"/>
        <w:tabs>
          <w:tab w:leader="none" w:pos="1626"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but did not receive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but failed to deliver, to the Holder in connection with the exercise at issue times</w:t>
      </w:r>
    </w:p>
    <w:p>
      <w:pPr>
        <w:spacing w:after="0" w:line="6" w:lineRule="exact"/>
        <w:rPr>
          <w:rFonts w:ascii="Arial" w:cs="Arial" w:eastAsia="Arial" w:hAnsi="Arial"/>
          <w:sz w:val="16"/>
          <w:szCs w:val="16"/>
          <w:color w:val="auto"/>
        </w:rPr>
      </w:pPr>
    </w:p>
    <w:p>
      <w:pPr>
        <w:jc w:val="both"/>
        <w:ind w:left="760" w:hanging="7"/>
        <w:spacing w:after="0" w:line="286" w:lineRule="auto"/>
        <w:tabs>
          <w:tab w:leader="none" w:pos="101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6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11" w:name="page12"/>
    <w:bookmarkEnd w:id="11"/>
    <w:p>
      <w:pPr>
        <w:jc w:val="both"/>
        <w:ind w:left="760" w:firstLine="648"/>
        <w:spacing w:after="0" w:line="259" w:lineRule="auto"/>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u w:val="single" w:color="auto"/>
          <w:color w:val="auto"/>
        </w:rPr>
        <w:t>No Fractional Shares or Scrip</w:t>
      </w:r>
      <w:r>
        <w:rPr>
          <w:rFonts w:ascii="Arial" w:cs="Arial" w:eastAsia="Arial" w:hAnsi="Arial"/>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7" w:lineRule="exact"/>
        <w:rPr>
          <w:sz w:val="20"/>
          <w:szCs w:val="20"/>
          <w:color w:val="auto"/>
        </w:rPr>
      </w:pPr>
    </w:p>
    <w:p>
      <w:pPr>
        <w:jc w:val="both"/>
        <w:ind w:left="760" w:firstLine="641"/>
        <w:spacing w:after="0" w:line="270" w:lineRule="auto"/>
        <w:tabs>
          <w:tab w:leader="none" w:pos="1638"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Charges, Taxes and Expenses</w:t>
      </w:r>
      <w:r>
        <w:rPr>
          <w:rFonts w:ascii="Arial" w:cs="Arial" w:eastAsia="Arial" w:hAnsi="Arial"/>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1" w:lineRule="exact"/>
        <w:rPr>
          <w:rFonts w:ascii="Arial" w:cs="Arial" w:eastAsia="Arial" w:hAnsi="Arial"/>
          <w:sz w:val="17"/>
          <w:szCs w:val="17"/>
          <w:color w:val="auto"/>
        </w:rPr>
      </w:pPr>
    </w:p>
    <w:p>
      <w:pPr>
        <w:ind w:left="760" w:firstLine="641"/>
        <w:spacing w:after="0" w:line="277" w:lineRule="auto"/>
        <w:tabs>
          <w:tab w:leader="none" w:pos="170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17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12" w:name="page13"/>
    <w:bookmarkEnd w:id="12"/>
    <w:p>
      <w:pPr>
        <w:jc w:val="both"/>
        <w:ind w:firstLine="645"/>
        <w:spacing w:after="0" w:line="282" w:lineRule="auto"/>
        <w:tabs>
          <w:tab w:leader="none" w:pos="846"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(including any determination as to group status pursuant to the next sentence).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Ownership Limitation</w:t>
      </w:r>
      <w:r>
        <w:rPr>
          <w:rFonts w:ascii="Arial" w:cs="Arial" w:eastAsia="Arial" w:hAnsi="Arial"/>
          <w:sz w:val="16"/>
          <w:szCs w:val="16"/>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w:t>
      </w:r>
    </w:p>
    <w:p>
      <w:pPr>
        <w:spacing w:after="0" w:line="1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effective until the 61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287" w:lineRule="auto"/>
        <w:tabs>
          <w:tab w:leader="none" w:pos="833"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2" w:lineRule="exact"/>
        <w:rPr>
          <w:rFonts w:ascii="Arial" w:cs="Arial" w:eastAsia="Arial" w:hAnsi="Arial"/>
          <w:sz w:val="16"/>
          <w:szCs w:val="16"/>
          <w:color w:val="auto"/>
        </w:rPr>
      </w:pPr>
    </w:p>
    <w:p>
      <w:pPr>
        <w:jc w:val="both"/>
        <w:ind w:firstLine="645"/>
        <w:spacing w:after="0" w:line="287" w:lineRule="auto"/>
        <w:tabs>
          <w:tab w:leader="none" w:pos="843"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Subsequent Rights Offerings</w:t>
      </w:r>
      <w:r>
        <w:rPr>
          <w:rFonts w:ascii="Arial" w:cs="Arial" w:eastAsia="Arial" w:hAnsi="Arial"/>
          <w:sz w:val="16"/>
          <w:szCs w:val="16"/>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6"/>
          <w:szCs w:val="16"/>
          <w:u w:val="single" w:color="auto"/>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72" w:lineRule="exact"/>
        <w:rPr>
          <w:rFonts w:ascii="Arial" w:cs="Arial" w:eastAsia="Arial" w:hAnsi="Arial"/>
          <w:sz w:val="16"/>
          <w:szCs w:val="16"/>
          <w:color w:val="auto"/>
        </w:rPr>
      </w:pPr>
    </w:p>
    <w:p>
      <w:pPr>
        <w:jc w:val="both"/>
        <w:ind w:firstLine="645"/>
        <w:spacing w:after="0" w:line="268" w:lineRule="auto"/>
        <w:tabs>
          <w:tab w:leader="none" w:pos="833"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Pro Rata Distributions</w:t>
      </w:r>
      <w:r>
        <w:rPr>
          <w:rFonts w:ascii="Arial" w:cs="Arial" w:eastAsia="Arial" w:hAnsi="Arial"/>
          <w:sz w:val="17"/>
          <w:szCs w:val="17"/>
          <w:color w:val="auto"/>
        </w:rPr>
        <w:t>. During such time as this Warrant is outstanding, if the Company shall declare or make any dividend (other than cash) or other distribution of its assets (or rights to acquire its assets) to holders of shares of Common Stock, by way of return of capital or otherwise (including, without limitation, any distribution of stock or other securities, property or options by way of a dividend, spin off, reclassification, corporate rearrangement, scheme of arrangement or other similar transaction) (a “</w:t>
      </w:r>
      <w:r>
        <w:rPr>
          <w:rFonts w:ascii="Arial" w:cs="Arial" w:eastAsia="Arial" w:hAnsi="Arial"/>
          <w:sz w:val="17"/>
          <w:szCs w:val="17"/>
          <w:u w:val="single" w:color="auto"/>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14" w:name="page15"/>
    <w:bookmarkEnd w:id="14"/>
    <w:p>
      <w:pPr>
        <w:jc w:val="both"/>
        <w:ind w:left="-540" w:firstLine="645"/>
        <w:spacing w:after="0" w:line="282" w:lineRule="auto"/>
        <w:tabs>
          <w:tab w:leader="none" w:pos="303"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in which the Company is not the surviving entity or the stockholders of the Company immediately prior to such merger or consolidation do not own, directly or indirectly, at least 50% of the voting power of the surviving entity immediately after such merger or consolidation,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voting power of the outstanding shares of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voting power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of the remaining unexercised portion of this Warrant on the date of the consummation of such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Fundamental Transaction is not within the Company’s control, including not approved by the Company’s Board of Directors, Holder shall only be entitled to receive from the Company or any Successor Entity, as of the date of consummation of such Fundamental Transaction, the same type or form of consideration (and in the same proportion), at the Black Scholes Value (as defined below)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Arial" w:cs="Arial" w:eastAsia="Arial" w:hAnsi="Arial"/>
          <w:sz w:val="16"/>
          <w:szCs w:val="16"/>
          <w:u w:val="single" w:color="auto"/>
          <w:color w:val="auto"/>
        </w:rPr>
        <w:t>Black Scholes Value</w:t>
      </w:r>
      <w:r>
        <w:rPr>
          <w:rFonts w:ascii="Arial" w:cs="Arial" w:eastAsia="Arial" w:hAnsi="Arial"/>
          <w:sz w:val="16"/>
          <w:szCs w:val="16"/>
          <w:color w:val="auto"/>
        </w:rPr>
        <w:t>” means the value of this Warrant based on the Black and Scholes Option Pricing Model obtained from the “OV” function on Bloomberg, L.P. (“</w:t>
      </w:r>
      <w:r>
        <w:rPr>
          <w:rFonts w:ascii="Arial" w:cs="Arial" w:eastAsia="Arial" w:hAnsi="Arial"/>
          <w:sz w:val="16"/>
          <w:szCs w:val="16"/>
          <w:u w:val="single" w:color="auto"/>
          <w:color w:val="auto"/>
        </w:rPr>
        <w:t>Bloomberg</w:t>
      </w:r>
      <w:r>
        <w:rPr>
          <w:rFonts w:ascii="Arial" w:cs="Arial" w:eastAsia="Arial" w:hAnsi="Arial"/>
          <w:sz w:val="16"/>
          <w:szCs w:val="16"/>
          <w:color w:val="auto"/>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greater of (x) the last VWAP immediately prior to the public announcement of such Fundamental Transaction and (y) the last VWAP immediately prior to the consummation of such Fundamental Transaction and (D) a remaining option time equal to the time between the date of the public announcement of the applicable Fundamental Transaction and the Termination Date. The payment of the Black Scholes Value will be made by wire transfer of immediately available funds within five Business Days of the Holder’s election (or, if later, on the effective date of the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200" w:lineRule="exact"/>
        <w:rPr>
          <w:sz w:val="20"/>
          <w:szCs w:val="20"/>
          <w:color w:val="auto"/>
        </w:rPr>
      </w:pPr>
    </w:p>
    <w:p>
      <w:pPr>
        <w:spacing w:after="0" w:line="22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15" w:name="page16"/>
    <w:bookmarkEnd w:id="15"/>
    <w:p>
      <w:pPr>
        <w:jc w:val="both"/>
        <w:ind w:firstLine="645"/>
        <w:spacing w:after="0" w:line="264" w:lineRule="auto"/>
        <w:tabs>
          <w:tab w:leader="none" w:pos="833"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81" w:lineRule="exact"/>
        <w:rPr>
          <w:rFonts w:ascii="Arial" w:cs="Arial" w:eastAsia="Arial" w:hAnsi="Arial"/>
          <w:sz w:val="18"/>
          <w:szCs w:val="18"/>
          <w:color w:val="auto"/>
        </w:rPr>
      </w:pPr>
    </w:p>
    <w:p>
      <w:pPr>
        <w:ind w:left="800" w:hanging="155"/>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641"/>
        <w:spacing w:after="0" w:line="259" w:lineRule="auto"/>
        <w:tabs>
          <w:tab w:leader="none" w:pos="2088"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3, the Company shall promptly deliver to the Holder pursuant to Section 5(h) a notice setting forth the Exercise Price after such adjustment and any resulting adjustment to the number of Warrant Shares and setting forth a brief statement of the facts requiring such adjustment.</w:t>
      </w:r>
    </w:p>
    <w:p>
      <w:pPr>
        <w:spacing w:after="0" w:line="186" w:lineRule="exact"/>
        <w:rPr>
          <w:rFonts w:ascii="Arial" w:cs="Arial" w:eastAsia="Arial" w:hAnsi="Arial"/>
          <w:sz w:val="18"/>
          <w:szCs w:val="18"/>
          <w:color w:val="auto"/>
        </w:rPr>
      </w:pPr>
    </w:p>
    <w:p>
      <w:pPr>
        <w:jc w:val="both"/>
        <w:ind w:left="1300" w:firstLine="641"/>
        <w:spacing w:after="0" w:line="285" w:lineRule="auto"/>
        <w:tabs>
          <w:tab w:leader="none" w:pos="2138"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pursuant to Section 5(h) to the Holder at its last facsimile number, email address or other contact information as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Warrant</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302" w:lineRule="auto"/>
        <w:tabs>
          <w:tab w:leader="none" w:pos="846"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Pursuant to FINRA Rule 5110(g)(1), 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the offering pursuant to which this Warrant is being issued, except the transfer of any security:</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 by operation of law or by reason of reorganization of the Company;</w:t>
      </w:r>
    </w:p>
    <w:p>
      <w:pPr>
        <w:spacing w:after="0" w:line="225" w:lineRule="exact"/>
        <w:rPr>
          <w:sz w:val="20"/>
          <w:szCs w:val="20"/>
          <w:color w:val="auto"/>
        </w:rPr>
      </w:pPr>
    </w:p>
    <w:p>
      <w:pPr>
        <w:ind w:left="160" w:right="20" w:firstLine="485"/>
        <w:spacing w:after="0" w:line="277" w:lineRule="auto"/>
        <w:tabs>
          <w:tab w:leader="none" w:pos="83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any FINRA member firm participating in the offering and the officers or partners thereof, if all securities so transferred remain subject to the lock-up restriction in this Section 4(a) for the remainder of the time period;</w:t>
      </w:r>
    </w:p>
    <w:p>
      <w:pPr>
        <w:spacing w:after="0" w:line="17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16" w:name="page17"/>
    <w:bookmarkEnd w:id="16"/>
    <w:p>
      <w:pPr>
        <w:ind w:left="722" w:hanging="235"/>
        <w:spacing w:after="0"/>
        <w:tabs>
          <w:tab w:leader="none" w:pos="722"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the aggregate amount of securities of the Company held by the underwriter or related persons do not exceed 1% of the securities being</w:t>
      </w:r>
    </w:p>
    <w:p>
      <w:pPr>
        <w:spacing w:after="0" w:line="46" w:lineRule="exact"/>
        <w:rPr>
          <w:rFonts w:ascii="Arial" w:cs="Arial" w:eastAsia="Arial" w:hAnsi="Arial"/>
          <w:sz w:val="16"/>
          <w:szCs w:val="16"/>
          <w:color w:val="auto"/>
        </w:rPr>
      </w:pPr>
    </w:p>
    <w:p>
      <w:pPr>
        <w:ind w:left="2"/>
        <w:spacing w:after="0"/>
        <w:rPr>
          <w:rFonts w:ascii="Arial" w:cs="Arial" w:eastAsia="Arial" w:hAnsi="Arial"/>
          <w:sz w:val="16"/>
          <w:szCs w:val="16"/>
          <w:color w:val="auto"/>
        </w:rPr>
      </w:pPr>
      <w:r>
        <w:rPr>
          <w:rFonts w:ascii="Arial" w:cs="Arial" w:eastAsia="Arial" w:hAnsi="Arial"/>
          <w:sz w:val="18"/>
          <w:szCs w:val="18"/>
          <w:color w:val="auto"/>
        </w:rPr>
        <w:t>offered;</w:t>
      </w:r>
    </w:p>
    <w:p>
      <w:pPr>
        <w:spacing w:after="0" w:line="210" w:lineRule="exact"/>
        <w:rPr>
          <w:rFonts w:ascii="Arial" w:cs="Arial" w:eastAsia="Arial" w:hAnsi="Arial"/>
          <w:sz w:val="16"/>
          <w:szCs w:val="16"/>
          <w:color w:val="auto"/>
        </w:rPr>
      </w:pPr>
    </w:p>
    <w:p>
      <w:pPr>
        <w:ind w:left="2" w:firstLine="485"/>
        <w:spacing w:after="0" w:line="342" w:lineRule="auto"/>
        <w:tabs>
          <w:tab w:leader="none" w:pos="70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 or</w:t>
      </w:r>
    </w:p>
    <w:p>
      <w:pPr>
        <w:spacing w:after="0" w:line="123" w:lineRule="exact"/>
        <w:rPr>
          <w:rFonts w:ascii="Arial" w:cs="Arial" w:eastAsia="Arial" w:hAnsi="Arial"/>
          <w:sz w:val="16"/>
          <w:szCs w:val="16"/>
          <w:color w:val="auto"/>
        </w:rPr>
      </w:pPr>
    </w:p>
    <w:p>
      <w:pPr>
        <w:ind w:left="2" w:firstLine="485"/>
        <w:spacing w:after="0" w:line="277"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exercise or conversion of any security, if all securities received remain subject to the lock-up restriction in this Section 4(a) for the remainder of the time period.</w:t>
      </w:r>
    </w:p>
    <w:p>
      <w:pPr>
        <w:spacing w:after="0" w:line="170" w:lineRule="exact"/>
        <w:rPr>
          <w:sz w:val="20"/>
          <w:szCs w:val="20"/>
          <w:color w:val="auto"/>
        </w:rPr>
      </w:pPr>
    </w:p>
    <w:p>
      <w:pPr>
        <w:jc w:val="both"/>
        <w:ind w:left="2" w:firstLine="486"/>
        <w:spacing w:after="0" w:line="283" w:lineRule="auto"/>
        <w:rPr>
          <w:sz w:val="20"/>
          <w:szCs w:val="20"/>
          <w:color w:val="auto"/>
        </w:rPr>
      </w:pPr>
      <w:r>
        <w:rPr>
          <w:rFonts w:ascii="Arial" w:cs="Arial" w:eastAsia="Arial" w:hAnsi="Arial"/>
          <w:sz w:val="16"/>
          <w:szCs w:val="16"/>
          <w:color w:val="auto"/>
        </w:rPr>
        <w:t>Subject to the foregoing restriction and subject to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w:t>
      </w:r>
    </w:p>
    <w:p>
      <w:pPr>
        <w:spacing w:after="0" w:line="7" w:lineRule="exact"/>
        <w:rPr>
          <w:sz w:val="20"/>
          <w:szCs w:val="20"/>
          <w:color w:val="auto"/>
        </w:rPr>
      </w:pPr>
    </w:p>
    <w:p>
      <w:pPr>
        <w:jc w:val="both"/>
        <w:ind w:left="2" w:hanging="2"/>
        <w:spacing w:after="0" w:line="255" w:lineRule="auto"/>
        <w:tabs>
          <w:tab w:leader="none" w:pos="2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0" w:lineRule="exact"/>
        <w:rPr>
          <w:rFonts w:ascii="Arial" w:cs="Arial" w:eastAsia="Arial" w:hAnsi="Arial"/>
          <w:sz w:val="18"/>
          <w:szCs w:val="18"/>
          <w:color w:val="auto"/>
        </w:rPr>
      </w:pPr>
    </w:p>
    <w:p>
      <w:pPr>
        <w:jc w:val="both"/>
        <w:ind w:left="-158" w:firstLine="645"/>
        <w:spacing w:after="0" w:line="255" w:lineRule="auto"/>
        <w:tabs>
          <w:tab w:leader="none" w:pos="698"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New Warrants</w:t>
      </w:r>
      <w:r>
        <w:rPr>
          <w:rFonts w:ascii="Arial" w:cs="Arial" w:eastAsia="Arial" w:hAnsi="Arial"/>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193" w:lineRule="exact"/>
        <w:rPr>
          <w:rFonts w:ascii="Arial" w:cs="Arial" w:eastAsia="Arial" w:hAnsi="Arial"/>
          <w:sz w:val="18"/>
          <w:szCs w:val="18"/>
          <w:color w:val="auto"/>
        </w:rPr>
      </w:pPr>
    </w:p>
    <w:p>
      <w:pPr>
        <w:jc w:val="both"/>
        <w:ind w:left="-158" w:firstLine="645"/>
        <w:spacing w:after="0" w:line="259" w:lineRule="auto"/>
        <w:tabs>
          <w:tab w:leader="none" w:pos="702"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register this Warrant, upon records to be maintained by the Company for that purpose (the “</w:t>
      </w:r>
      <w:r>
        <w:rPr>
          <w:rFonts w:ascii="Arial" w:cs="Arial" w:eastAsia="Arial" w:hAnsi="Arial"/>
          <w:sz w:val="18"/>
          <w:szCs w:val="18"/>
          <w:u w:val="single" w:color="auto"/>
          <w:color w:val="auto"/>
        </w:rPr>
        <w:t>Warrant 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7" w:lineRule="exact"/>
        <w:rPr>
          <w:sz w:val="20"/>
          <w:szCs w:val="20"/>
          <w:color w:val="auto"/>
        </w:rPr>
      </w:pPr>
    </w:p>
    <w:p>
      <w:pPr>
        <w:ind w:left="4822"/>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2"/>
          </w:cols>
          <w:pgMar w:left="1058" w:top="665" w:right="239" w:bottom="1440" w:gutter="0" w:footer="0" w:header="0"/>
        </w:sectPr>
      </w:pPr>
    </w:p>
    <w:bookmarkStart w:id="17" w:name="page18"/>
    <w:bookmarkEnd w:id="17"/>
    <w:p>
      <w:pPr>
        <w:jc w:val="both"/>
        <w:ind w:firstLine="645"/>
        <w:spacing w:after="0" w:line="257" w:lineRule="auto"/>
        <w:tabs>
          <w:tab w:leader="none" w:pos="843"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188" w:lineRule="exact"/>
        <w:rPr>
          <w:rFonts w:ascii="Arial" w:cs="Arial" w:eastAsia="Arial" w:hAnsi="Arial"/>
          <w:sz w:val="18"/>
          <w:szCs w:val="18"/>
          <w:color w:val="auto"/>
        </w:rPr>
      </w:pPr>
    </w:p>
    <w:p>
      <w:pPr>
        <w:jc w:val="both"/>
        <w:ind w:firstLine="645"/>
        <w:spacing w:after="0" w:line="291" w:lineRule="auto"/>
        <w:tabs>
          <w:tab w:leader="none" w:pos="833"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Representation by the Holder</w:t>
      </w:r>
      <w:r>
        <w:rPr>
          <w:rFonts w:ascii="Arial" w:cs="Arial" w:eastAsia="Arial" w:hAnsi="Arial"/>
          <w:sz w:val="16"/>
          <w:szCs w:val="16"/>
          <w:color w:val="auto"/>
        </w:rPr>
        <w:t>. The Holder, by the acceptance hereof, represents and warrants that (i)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 and (ii) it is not purchasing the Securities as a result of any advertisement, article, notice, electronic mail, website or other communication regarding this Warrant or the underlying securities published in any newspaper, magazine, internet platform or similar media or broadcast over television or radio or presented at any seminar or, to the knowledge of the Holder, any other general solicitation or general advertisement. The Holder has a pre-existing, substantive relationship with the Company at the time it was first offered the Warrant.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279" w:lineRule="auto"/>
        <w:tabs>
          <w:tab w:leader="none" w:pos="833"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No Rights as Stockholder Until Exercise; No Settlement in Cash</w:t>
      </w:r>
      <w:r>
        <w:rPr>
          <w:rFonts w:ascii="Arial" w:cs="Arial" w:eastAsia="Arial" w:hAnsi="Arial"/>
          <w:sz w:val="17"/>
          <w:szCs w:val="17"/>
          <w:color w:val="auto"/>
        </w:rPr>
        <w:t>. This Warrant does not entitle the Holder to any voting rights, dividends or other rights as a stockholder of the Company prior to the exercise hereof as set forth in Section 2(d)(i), except as expressly set forth in Section 3. Without limiting the rights of a Holder to receive Warrant Shares on a “cashless exercise,” and to receive the cash payments contemplated pursuant to Sections 2(d)(i) and 2(d)(iv), in no event will the Company be required to net cash settle a Warrant exercise.</w:t>
      </w:r>
    </w:p>
    <w:p>
      <w:pPr>
        <w:spacing w:after="0" w:line="171" w:lineRule="exact"/>
        <w:rPr>
          <w:rFonts w:ascii="Arial" w:cs="Arial" w:eastAsia="Arial" w:hAnsi="Arial"/>
          <w:sz w:val="17"/>
          <w:szCs w:val="17"/>
          <w:color w:val="auto"/>
        </w:rPr>
      </w:pPr>
    </w:p>
    <w:p>
      <w:pPr>
        <w:jc w:val="both"/>
        <w:ind w:firstLine="645"/>
        <w:spacing w:after="0" w:line="276" w:lineRule="auto"/>
        <w:tabs>
          <w:tab w:leader="none" w:pos="857"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Loss, Theft, Destruction or Mutilation of Warrant</w:t>
      </w:r>
      <w:r>
        <w:rPr>
          <w:rFonts w:ascii="Arial" w:cs="Arial" w:eastAsia="Arial" w:hAnsi="Arial"/>
          <w:sz w:val="17"/>
          <w:szCs w:val="17"/>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72" w:lineRule="exact"/>
        <w:rPr>
          <w:rFonts w:ascii="Arial" w:cs="Arial" w:eastAsia="Arial" w:hAnsi="Arial"/>
          <w:sz w:val="17"/>
          <w:szCs w:val="17"/>
          <w:color w:val="auto"/>
        </w:rPr>
      </w:pPr>
    </w:p>
    <w:p>
      <w:pPr>
        <w:ind w:right="20" w:firstLine="645"/>
        <w:spacing w:after="0" w:line="342" w:lineRule="auto"/>
        <w:tabs>
          <w:tab w:leader="none" w:pos="846"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2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18" w:name="page19"/>
    <w:bookmarkEnd w:id="18"/>
    <w:p>
      <w:pPr>
        <w:ind w:left="300" w:hanging="195"/>
        <w:spacing w:after="0"/>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sz w:val="20"/>
          <w:szCs w:val="20"/>
          <w:color w:val="auto"/>
        </w:rPr>
      </w:pPr>
    </w:p>
    <w:p>
      <w:pPr>
        <w:jc w:val="both"/>
        <w:ind w:left="100" w:firstLine="1296"/>
        <w:spacing w:after="0" w:line="288" w:lineRule="auto"/>
        <w:rPr>
          <w:sz w:val="20"/>
          <w:szCs w:val="20"/>
          <w:color w:val="auto"/>
        </w:rPr>
      </w:pPr>
      <w:r>
        <w:rPr>
          <w:rFonts w:ascii="Arial" w:cs="Arial" w:eastAsia="Arial" w:hAnsi="Arial"/>
          <w:sz w:val="16"/>
          <w:szCs w:val="16"/>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69" w:lineRule="exact"/>
        <w:rPr>
          <w:sz w:val="20"/>
          <w:szCs w:val="20"/>
          <w:color w:val="auto"/>
        </w:rPr>
      </w:pPr>
    </w:p>
    <w:p>
      <w:pPr>
        <w:jc w:val="both"/>
        <w:ind w:left="100" w:firstLine="648"/>
        <w:spacing w:after="0" w:line="270" w:lineRule="auto"/>
        <w:rPr>
          <w:sz w:val="20"/>
          <w:szCs w:val="20"/>
          <w:color w:val="auto"/>
        </w:rPr>
      </w:pPr>
      <w:r>
        <w:rPr>
          <w:rFonts w:ascii="Arial" w:cs="Arial" w:eastAsia="Arial" w:hAnsi="Arial"/>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78" w:lineRule="exact"/>
        <w:rPr>
          <w:sz w:val="20"/>
          <w:szCs w:val="20"/>
          <w:color w:val="auto"/>
        </w:rPr>
      </w:pPr>
    </w:p>
    <w:p>
      <w:pPr>
        <w:jc w:val="both"/>
        <w:ind w:left="100" w:firstLine="648"/>
        <w:spacing w:after="0" w:line="264"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19" w:name="page20"/>
    <w:bookmarkEnd w:id="19"/>
    <w:p>
      <w:pPr>
        <w:jc w:val="both"/>
        <w:ind w:left="-540" w:firstLine="645"/>
        <w:spacing w:after="0" w:line="268" w:lineRule="auto"/>
        <w:tabs>
          <w:tab w:leader="none" w:pos="293"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Jurisdiction</w:t>
      </w:r>
      <w:r>
        <w:rPr>
          <w:rFonts w:ascii="Arial" w:cs="Arial" w:eastAsia="Arial" w:hAnsi="Arial"/>
          <w:sz w:val="17"/>
          <w:szCs w:val="17"/>
          <w:color w:val="auto"/>
        </w:rPr>
        <w:t>. All questions concerning the construction, validity, enforcement and interpretation of this Warrant shall be governed by and construed and enforced in accordance with the internal laws of the State of New York, without regard to the principles of conflict of laws thereof. Each party agrees that all legal proceedings concerning the interpretation, enforcement and defense of this Warrant shall be commenced in the state and federal courts sitting in the City of New York, Borough of Manhattan (the “</w:t>
      </w:r>
      <w:r>
        <w:rPr>
          <w:rFonts w:ascii="Arial" w:cs="Arial" w:eastAsia="Arial" w:hAnsi="Arial"/>
          <w:sz w:val="17"/>
          <w:szCs w:val="17"/>
          <w:u w:val="single" w:color="auto"/>
          <w:color w:val="auto"/>
        </w:rPr>
        <w:t>New York Courts</w:t>
      </w:r>
      <w:r>
        <w:rPr>
          <w:rFonts w:ascii="Arial" w:cs="Arial" w:eastAsia="Arial" w:hAnsi="Arial"/>
          <w:sz w:val="17"/>
          <w:szCs w:val="17"/>
          <w:color w:val="auto"/>
        </w:rPr>
        <w:t>”). Each party hereto hereby irrevocably submits to the exclusive jurisdiction of the New York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87" w:lineRule="exact"/>
        <w:rPr>
          <w:rFonts w:ascii="Arial" w:cs="Arial" w:eastAsia="Arial" w:hAnsi="Arial"/>
          <w:sz w:val="17"/>
          <w:szCs w:val="17"/>
          <w:color w:val="auto"/>
        </w:rPr>
      </w:pPr>
    </w:p>
    <w:p>
      <w:pPr>
        <w:ind w:left="-540" w:firstLine="645"/>
        <w:spacing w:after="0" w:line="277" w:lineRule="auto"/>
        <w:tabs>
          <w:tab w:leader="none" w:pos="287"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70" w:lineRule="exact"/>
        <w:rPr>
          <w:rFonts w:ascii="Arial" w:cs="Arial" w:eastAsia="Arial" w:hAnsi="Arial"/>
          <w:sz w:val="18"/>
          <w:szCs w:val="18"/>
          <w:color w:val="auto"/>
        </w:rPr>
      </w:pPr>
    </w:p>
    <w:p>
      <w:pPr>
        <w:jc w:val="both"/>
        <w:ind w:left="-540" w:firstLine="645"/>
        <w:spacing w:after="0" w:line="273" w:lineRule="auto"/>
        <w:tabs>
          <w:tab w:leader="none" w:pos="303"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Nonwaiver and Expenses</w:t>
      </w:r>
      <w:r>
        <w:rPr>
          <w:rFonts w:ascii="Arial" w:cs="Arial" w:eastAsia="Arial" w:hAnsi="Arial"/>
          <w:sz w:val="17"/>
          <w:szCs w:val="17"/>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78" w:lineRule="exact"/>
        <w:rPr>
          <w:rFonts w:ascii="Arial" w:cs="Arial" w:eastAsia="Arial" w:hAnsi="Arial"/>
          <w:sz w:val="17"/>
          <w:szCs w:val="17"/>
          <w:color w:val="auto"/>
        </w:rPr>
      </w:pPr>
    </w:p>
    <w:p>
      <w:pPr>
        <w:jc w:val="both"/>
        <w:ind w:left="-540" w:firstLine="645"/>
        <w:spacing w:after="0" w:line="268" w:lineRule="auto"/>
        <w:tabs>
          <w:tab w:leader="none" w:pos="344"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and all notices or other communications or deliveries to be provided by the Holders hereunder including, without limitation, any Notice of Exercise, shall be in writing and delivered personally, by facsimile or e-mail, or sent by a nationally recognized overnight courier service, addressed to the Company, at the address set forth above Attention: Chief Executive Officer, facsimile number 781-556-5347, email address info@microbotmedical.com, or such other facsimile number, email address or address as the Company may specify for such purposes by notice to the Holders. Any and all notices or other communications or deliveries to be provided by the Company hereunder shall be in writing and delivered personally, by facsimile or email, or sent by a nationally recognized overnight courier service addressed to each Holder at the facsimile number, email address or address of such Holder appearing on the books of the Company. Any notice or other communication or deliveries hereunder shall be deemed given and effective on the earliest of (i) the time of transmission, if such notice or communication is delivered via facsimile or email at the facsimile number or email address set forth in this Section prior to 5:30 p.m. (New York City time) on any date, (ii) the next Trading Day after the time of transmission, if such notice or communication is delivered via facsimile or email at the facsimile number or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18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20" w:name="page21"/>
    <w:bookmarkEnd w:id="20"/>
    <w:p>
      <w:pPr>
        <w:jc w:val="both"/>
        <w:ind w:firstLine="645"/>
        <w:spacing w:after="0" w:line="312" w:lineRule="auto"/>
        <w:tabs>
          <w:tab w:leader="none" w:pos="803"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46" w:lineRule="exact"/>
        <w:rPr>
          <w:rFonts w:ascii="Arial" w:cs="Arial" w:eastAsia="Arial" w:hAnsi="Arial"/>
          <w:sz w:val="16"/>
          <w:szCs w:val="16"/>
          <w:color w:val="auto"/>
        </w:rPr>
      </w:pPr>
    </w:p>
    <w:p>
      <w:pPr>
        <w:jc w:val="both"/>
        <w:ind w:firstLine="645"/>
        <w:spacing w:after="0" w:line="259" w:lineRule="auto"/>
        <w:tabs>
          <w:tab w:leader="none" w:pos="803"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6" w:lineRule="exact"/>
        <w:rPr>
          <w:rFonts w:ascii="Arial" w:cs="Arial" w:eastAsia="Arial" w:hAnsi="Arial"/>
          <w:sz w:val="18"/>
          <w:szCs w:val="18"/>
          <w:color w:val="auto"/>
        </w:rPr>
      </w:pPr>
    </w:p>
    <w:p>
      <w:pPr>
        <w:jc w:val="both"/>
        <w:ind w:firstLine="645"/>
        <w:spacing w:after="0" w:line="259" w:lineRule="auto"/>
        <w:tabs>
          <w:tab w:leader="none" w:pos="843"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6" w:lineRule="exact"/>
        <w:rPr>
          <w:rFonts w:ascii="Arial" w:cs="Arial" w:eastAsia="Arial" w:hAnsi="Arial"/>
          <w:sz w:val="18"/>
          <w:szCs w:val="18"/>
          <w:color w:val="auto"/>
        </w:rPr>
      </w:pPr>
    </w:p>
    <w:p>
      <w:pPr>
        <w:ind w:left="800" w:hanging="155"/>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Warrant may be modified or amended or the provisions hereof waived with the written consent of the Company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Holder.</w:t>
      </w:r>
    </w:p>
    <w:p>
      <w:pPr>
        <w:spacing w:after="0" w:line="210" w:lineRule="exact"/>
        <w:rPr>
          <w:rFonts w:ascii="Arial" w:cs="Arial" w:eastAsia="Arial" w:hAnsi="Arial"/>
          <w:sz w:val="16"/>
          <w:szCs w:val="16"/>
          <w:color w:val="auto"/>
        </w:rPr>
      </w:pPr>
    </w:p>
    <w:p>
      <w:pPr>
        <w:jc w:val="both"/>
        <w:ind w:firstLine="645"/>
        <w:spacing w:after="0" w:line="312" w:lineRule="auto"/>
        <w:tabs>
          <w:tab w:leader="none" w:pos="907"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46" w:lineRule="exact"/>
        <w:rPr>
          <w:rFonts w:ascii="Arial" w:cs="Arial" w:eastAsia="Arial" w:hAnsi="Arial"/>
          <w:sz w:val="16"/>
          <w:szCs w:val="16"/>
          <w:color w:val="auto"/>
        </w:rPr>
      </w:pPr>
    </w:p>
    <w:p>
      <w:pPr>
        <w:jc w:val="both"/>
        <w:ind w:firstLine="645"/>
        <w:spacing w:after="0" w:line="286" w:lineRule="auto"/>
        <w:tabs>
          <w:tab w:leader="none" w:pos="843"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used in this Warrant are for the convenience of reference only and shall not, for any purpose, be deemed a part of this Warrant. A signed copy of this Warrant delivered by facsimile, e-mail or other means of electronic transmission (to which a .pdf copy is attached) shall be deemed to have the same legal effect as delivery of an original signed copy of this Agreement.</w:t>
      </w:r>
    </w:p>
    <w:p>
      <w:pPr>
        <w:spacing w:after="0" w:line="16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IN WITNESS WHEREOF, the Company has caused this Warrant to be executed by its officer thereunto duly authorized as of the date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indicated.</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NOTICE OF EXERCISE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MICROBOT MEDICAL INC.</w:t>
      </w:r>
    </w:p>
    <w:p>
      <w:pPr>
        <w:spacing w:after="0" w:line="225" w:lineRule="exact"/>
        <w:rPr>
          <w:sz w:val="20"/>
          <w:szCs w:val="20"/>
          <w:color w:val="auto"/>
        </w:rPr>
      </w:pPr>
    </w:p>
    <w:p>
      <w:pPr>
        <w:ind w:firstLine="1305"/>
        <w:spacing w:after="0" w:line="308" w:lineRule="auto"/>
        <w:tabs>
          <w:tab w:leader="none" w:pos="156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46" w:lineRule="exact"/>
        <w:rPr>
          <w:rFonts w:ascii="Arial" w:cs="Arial" w:eastAsia="Arial" w:hAnsi="Arial"/>
          <w:sz w:val="17"/>
          <w:szCs w:val="17"/>
          <w:color w:val="auto"/>
        </w:rPr>
      </w:pPr>
    </w:p>
    <w:p>
      <w:pPr>
        <w:ind w:left="1560" w:hanging="255"/>
        <w:spacing w:after="0"/>
        <w:tabs>
          <w:tab w:leader="none" w:pos="1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 in lawful money of the United States; or</w:t>
      </w:r>
    </w:p>
    <w:p>
      <w:pPr>
        <w:spacing w:after="0" w:line="225" w:lineRule="exact"/>
        <w:rPr>
          <w:sz w:val="20"/>
          <w:szCs w:val="20"/>
          <w:color w:val="auto"/>
        </w:rPr>
      </w:pPr>
    </w:p>
    <w:p>
      <w:pPr>
        <w:jc w:val="both"/>
        <w:ind w:left="1960" w:hanging="7"/>
        <w:spacing w:after="0" w:line="264" w:lineRule="auto"/>
        <w:tabs>
          <w:tab w:leader="none" w:pos="2148" w:val="left"/>
        </w:tabs>
        <w:numPr>
          <w:ilvl w:val="1"/>
          <w:numId w:val="24"/>
        </w:numPr>
        <w:rPr>
          <w:rFonts w:ascii="Arial" w:cs="Arial" w:eastAsia="Arial" w:hAnsi="Arial"/>
          <w:sz w:val="18"/>
          <w:szCs w:val="18"/>
          <w:color w:val="auto"/>
        </w:rPr>
      </w:pPr>
      <w:r>
        <w:rPr>
          <w:rFonts w:ascii="Arial" w:cs="Arial" w:eastAsia="Arial" w:hAnsi="Arial"/>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81" w:lineRule="exact"/>
        <w:rPr>
          <w:rFonts w:ascii="Arial" w:cs="Arial" w:eastAsia="Arial" w:hAnsi="Arial"/>
          <w:sz w:val="18"/>
          <w:szCs w:val="18"/>
          <w:color w:val="auto"/>
        </w:rPr>
      </w:pPr>
    </w:p>
    <w:p>
      <w:pPr>
        <w:ind w:left="1560" w:hanging="255"/>
        <w:spacing w:after="0"/>
        <w:tabs>
          <w:tab w:leader="none" w:pos="1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289560</wp:posOffset>
            </wp:positionV>
            <wp:extent cx="45707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707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872490</wp:posOffset>
            </wp:positionV>
            <wp:extent cx="457073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70730" cy="1714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581025</wp:posOffset>
            </wp:positionV>
            <wp:extent cx="457073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70730" cy="1714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289560</wp:posOffset>
            </wp:positionV>
            <wp:extent cx="45707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707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560" w:hanging="255"/>
        <w:spacing w:after="0"/>
        <w:tabs>
          <w:tab w:leader="none" w:pos="1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Accredited Investor. The undersigned is an “accredited investor” as defined in Regulation D promulgated under the Securities Act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1933,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 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 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left="200" w:right="2080"/>
        <w:spacing w:after="0" w:line="530" w:lineRule="auto"/>
        <w:rPr>
          <w:sz w:val="20"/>
          <w:szCs w:val="20"/>
          <w:color w:val="auto"/>
        </w:rPr>
      </w:pPr>
      <w:r>
        <w:rPr>
          <w:rFonts w:ascii="Arial" w:cs="Arial" w:eastAsia="Arial" w:hAnsi="Arial"/>
          <w:sz w:val="17"/>
          <w:szCs w:val="17"/>
          <w:i w:val="1"/>
          <w:iCs w:val="1"/>
          <w:color w:val="auto"/>
        </w:rPr>
        <w:t xml:space="preserve">(To assign the foregoing Warrant, execute this form and supply required information. Do not use this form to purchase shares.) </w:t>
      </w:r>
      <w:r>
        <w:rPr>
          <w:rFonts w:ascii="Arial" w:cs="Arial" w:eastAsia="Arial" w:hAnsi="Arial"/>
          <w:sz w:val="17"/>
          <w:szCs w:val="17"/>
          <w:color w:val="auto"/>
        </w:rPr>
        <w:t>FOR VALUE RECEIVED, the foregoing Warrant and all rights evidenced thereby are hereby assigned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6350</wp:posOffset>
            </wp:positionV>
            <wp:extent cx="36188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(Please Print)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(Please Print)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14605</wp:posOffset>
            </wp:positionV>
            <wp:extent cx="123507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3507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14605</wp:posOffset>
            </wp:positionV>
            <wp:extent cx="123507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350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-121920</wp:posOffset>
            </wp:positionV>
            <wp:extent cx="780415" cy="9779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80415" cy="97790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Boston, MA 02111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617-542-6000</w:t>
      </w:r>
    </w:p>
    <w:p>
      <w:pPr>
        <w:spacing w:after="0" w:line="9" w:lineRule="exact"/>
        <w:rPr>
          <w:sz w:val="20"/>
          <w:szCs w:val="20"/>
          <w:color w:val="auto"/>
        </w:rPr>
      </w:pPr>
    </w:p>
    <w:p>
      <w:pPr>
        <w:ind w:left="10120"/>
        <w:spacing w:after="0"/>
        <w:rPr>
          <w:sz w:val="20"/>
          <w:szCs w:val="20"/>
          <w:color w:val="auto"/>
        </w:rPr>
      </w:pPr>
      <w:r>
        <w:rPr>
          <w:rFonts w:ascii="Arial" w:cs="Arial" w:eastAsia="Arial" w:hAnsi="Arial"/>
          <w:sz w:val="16"/>
          <w:szCs w:val="16"/>
          <w:color w:val="auto"/>
        </w:rPr>
        <w:t>617-542-2241 fax</w:t>
      </w:r>
    </w:p>
    <w:p>
      <w:pPr>
        <w:spacing w:after="0" w:line="32"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www.mintz.com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9360"/>
        <w:spacing w:after="0"/>
        <w:rPr>
          <w:sz w:val="20"/>
          <w:szCs w:val="20"/>
          <w:color w:val="auto"/>
        </w:rPr>
      </w:pPr>
      <w:r>
        <w:rPr>
          <w:rFonts w:ascii="Arial" w:cs="Arial" w:eastAsia="Arial" w:hAnsi="Arial"/>
          <w:sz w:val="18"/>
          <w:szCs w:val="18"/>
          <w:color w:val="auto"/>
        </w:rPr>
        <w:t>December 26,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Microbot Medical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Recreation Park Drive, Unit 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Hingham, Massachusetts 02043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We have acted as legal counsel to Microbot Medical Inc., a Delaware corporation (the “Company”), in connection with the preparation and filing with the Securities and Exchange Commission (the “Commission”) of a Prospectus Supplement, dated December 25, 2019 (the “Prospectus Supplement”), to a Registration Statement (File No.: 333-217076) on Form S-3 (the “Registration Statement”), filed by the Company with the Commission under the Securities Act of 1933, as amended (the “Securities Act”). The Prospectus Supplement relates to the issuance and sale of shares (the “Shares”) of the Company’s common stock, $0.01 par value per share (the “Common Stock”) pursuant to a Securities Purchase Agreement, dated December 25, 2019, between the Company and the purchasers named therein (the “Purchase Agreement”). The Purchase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Purchase Agreement.</w:t>
      </w:r>
    </w:p>
    <w:p>
      <w:pPr>
        <w:spacing w:after="0" w:line="197"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In connection with this opinion, we have examined originals or copies, certified or otherwise identified to our satisfaction, of (i) the Registration Statement, including the Prospectus Supplement, (ii) the Purchase Agreement, (iii) the Restated Certificate of Incorporation of the Company, as amended, as currently in effect, (iv) the Amended and Restated Bylaws of the Company, as currently in effect, and (v) certain resolutions adopted by the Board of Directors of the Company and committees thereof with respect to the Purchase Agreement and the issuance of the Shares. We have also examined originals or copies, certified or otherwise identified to our satisfaction, of such records of the Company and such agreements, certificates of public officials, certificates of officers or other representatives of the Company and others, and such other documents, certificates and records, as we have deemed necessary or appropriate as a basis for the opinion set forth herein.</w:t>
      </w:r>
    </w:p>
    <w:p>
      <w:pPr>
        <w:spacing w:after="0" w:line="18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certified or photostatic copies and the authenticity of the originals of such copies. We have relied, without independent verification, on certificates of public officials and, as to matters of fact material to the opinions set forth below, on certificates of officers of the Company.</w:t>
      </w:r>
    </w:p>
    <w:p>
      <w:pPr>
        <w:spacing w:after="0" w:line="18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Our opinion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spacing w:after="0" w:line="181" w:lineRule="exact"/>
        <w:rPr>
          <w:sz w:val="20"/>
          <w:szCs w:val="20"/>
          <w:color w:val="auto"/>
        </w:rPr>
      </w:pPr>
    </w:p>
    <w:p>
      <w:pPr>
        <w:jc w:val="both"/>
        <w:ind w:right="20" w:firstLine="441"/>
        <w:spacing w:after="0" w:line="286" w:lineRule="auto"/>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114300</wp:posOffset>
            </wp:positionV>
            <wp:extent cx="5746115" cy="342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46115" cy="34290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25"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Based upon, subject to and limited by the foregoing, as of the date hereof, we are of the opinion that the Shares, when issued and sold in accordance with the Purchase Agreement and in the manner contemplated by the Registration Statement and the Prospectus Supplement, will be validly issued, fully paid and non-assessable.</w:t>
      </w:r>
    </w:p>
    <w:p>
      <w:pPr>
        <w:spacing w:after="0" w:line="181" w:lineRule="exact"/>
        <w:rPr>
          <w:sz w:val="20"/>
          <w:szCs w:val="20"/>
          <w:color w:val="auto"/>
        </w:rPr>
      </w:pPr>
    </w:p>
    <w:p>
      <w:pPr>
        <w:jc w:val="both"/>
        <w:ind w:firstLine="441"/>
        <w:spacing w:after="0" w:line="302" w:lineRule="auto"/>
        <w:rPr>
          <w:sz w:val="20"/>
          <w:szCs w:val="20"/>
          <w:color w:val="auto"/>
        </w:rPr>
      </w:pPr>
      <w:r>
        <w:rPr>
          <w:rFonts w:ascii="Arial" w:cs="Arial" w:eastAsia="Arial" w:hAnsi="Arial"/>
          <w:sz w:val="16"/>
          <w:szCs w:val="16"/>
          <w:color w:val="auto"/>
        </w:rPr>
        <w:t>We understand that you wish to file this opinion with the Commission as an exhibit to a Current Report on Form 8-K and the Registration Statement in accordance with the requirements of Item 601(b)(5) of Regulation S-K promulgated under the Securities Act and to reference the firm’s name under the caption “Legal Matters” in the Prospectus Supplement,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1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ind w:left="1028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SECURITIES PURCHASE AGREEMENT</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December 25, 2019, between Microbot Medical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purchaser identified on the signature pages hereto (each, including its successors and assigns,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subject to the terms and conditions set forth in this Agreement and pursuant to an effective registration statement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the Company desires to issue and sell to each Purchaser, and each Purchaser, severally and not jointly, desires to purchase from the Company, securities of the Company as more fully described in this Agreement.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set forth in this Section 1.1: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left="6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Shares pursuant to Section 2.1.</w:t>
      </w:r>
    </w:p>
    <w:p>
      <w:pPr>
        <w:spacing w:after="0" w:line="225"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Shares, in each case, have been satisfied or waived, but in no event later than the second (2nd) Trading Day following the date hereof.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other class of securities into which such securities may hereafter be reclassified or changed.</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Counsel</w:t>
      </w:r>
      <w:r>
        <w:rPr>
          <w:rFonts w:ascii="Arial" w:cs="Arial" w:eastAsia="Arial" w:hAnsi="Arial"/>
          <w:sz w:val="16"/>
          <w:szCs w:val="16"/>
          <w:color w:val="auto"/>
        </w:rPr>
        <w:t>” means Mintz, Levin, Cohn, Ferris, Glovsky and Popeo, P.C., with offices located at One Financial Center, Boston, MA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02111.</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means the Disclosure Schedules of the Company delivered concurrently herewith.</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Time</w:t>
      </w:r>
      <w:r>
        <w:rPr>
          <w:rFonts w:ascii="Arial" w:cs="Arial" w:eastAsia="Arial" w:hAnsi="Arial"/>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Evaluation Date</w:t>
      </w:r>
      <w:r>
        <w:rPr>
          <w:rFonts w:ascii="Arial" w:cs="Arial" w:eastAsia="Arial" w:hAnsi="Arial"/>
          <w:sz w:val="18"/>
          <w:szCs w:val="18"/>
          <w:color w:val="auto"/>
        </w:rPr>
        <w:t>” shall have the meaning ascribed to such term in Section 3.1(s).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FDCA</w:t>
      </w:r>
      <w:r>
        <w:rPr>
          <w:rFonts w:ascii="Arial" w:cs="Arial" w:eastAsia="Arial" w:hAnsi="Arial"/>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Liens</w:t>
      </w:r>
      <w:r>
        <w:rPr>
          <w:rFonts w:ascii="Arial" w:cs="Arial" w:eastAsia="Arial" w:hAnsi="Arial"/>
          <w:sz w:val="17"/>
          <w:szCs w:val="17"/>
          <w:color w:val="auto"/>
        </w:rPr>
        <w:t>” means a material lien, charge, pledge, security interest, encumbrance, right of first refusal, preemptive right or other restriction.</w:t>
      </w:r>
    </w:p>
    <w:p>
      <w:pPr>
        <w:spacing w:after="0" w:line="23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30" w:name="page31"/>
    <w:bookmarkEnd w:id="30"/>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shall have the meaning ascribed to such term in Section 3.1(n).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Purchase Price</w:t>
      </w:r>
      <w:r>
        <w:rPr>
          <w:rFonts w:ascii="Arial" w:cs="Arial" w:eastAsia="Arial" w:hAnsi="Arial"/>
          <w:sz w:val="18"/>
          <w:szCs w:val="18"/>
          <w:color w:val="auto"/>
        </w:rPr>
        <w:t>” equals $10.50, subject to adjustment for reverse and forward stock splits, stock dividends, stock combinations and other similar transactions of the Common Stock that occur after the date of this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Pharmaceutical Product</w:t>
      </w:r>
      <w:r>
        <w:rPr>
          <w:rFonts w:ascii="Arial" w:cs="Arial" w:eastAsia="Arial" w:hAnsi="Arial"/>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Agent</w:t>
      </w:r>
      <w:r>
        <w:rPr>
          <w:rFonts w:ascii="Arial" w:cs="Arial" w:eastAsia="Arial" w:hAnsi="Arial"/>
          <w:sz w:val="18"/>
          <w:szCs w:val="18"/>
          <w:color w:val="auto"/>
        </w:rPr>
        <w:t>” means H.C. Wainwright &amp; Co., LLC.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final base prospectus filed for the Registration Statement.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means the supplement to the Prospectus complying with Rule 424(b) of the Securities Act that is filed with the Commission and delivered by the Company to each Purchaser at the Closing.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Party</w:t>
      </w:r>
      <w:r>
        <w:rPr>
          <w:rFonts w:ascii="Arial" w:cs="Arial" w:eastAsia="Arial" w:hAnsi="Arial"/>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effective registration statement with Commission file No. 333-217076 which registers the sale of the Shares to the Purchasers.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31" w:name="page32"/>
    <w:bookmarkEnd w:id="31"/>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locating and/or borrowing shares of Common Stock).</w:t>
      </w:r>
    </w:p>
    <w:p>
      <w:pPr>
        <w:spacing w:after="0" w:line="170"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Amount</w:t>
      </w:r>
      <w:r>
        <w:rPr>
          <w:rFonts w:ascii="Arial" w:cs="Arial" w:eastAsia="Arial" w:hAnsi="Arial"/>
          <w:sz w:val="18"/>
          <w:szCs w:val="18"/>
          <w:color w:val="auto"/>
        </w:rPr>
        <w:t>” means, as to each Purchaser, the aggregate amount to be paid for Shares purchased hereunder as specified below such Purchaser’s name on the signature page of this Agreement and next to the heading “Subscription Amount,” in United States dollars and in immediately available funds.</w:t>
      </w:r>
    </w:p>
    <w:p>
      <w:pPr>
        <w:spacing w:after="0" w:line="181"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means any subsidiary of the Company as set forth on </w:t>
      </w:r>
      <w:r>
        <w:rPr>
          <w:rFonts w:ascii="Arial" w:cs="Arial" w:eastAsia="Arial" w:hAnsi="Arial"/>
          <w:sz w:val="18"/>
          <w:szCs w:val="18"/>
          <w:u w:val="single" w:color="auto"/>
          <w:color w:val="auto"/>
        </w:rPr>
        <w:t>Schedule 3.1(a)</w:t>
      </w:r>
      <w:r>
        <w:rPr>
          <w:rFonts w:ascii="Arial" w:cs="Arial" w:eastAsia="Arial" w:hAnsi="Arial"/>
          <w:sz w:val="18"/>
          <w:szCs w:val="18"/>
          <w:color w:val="auto"/>
        </w:rPr>
        <w:t>, and shall, where applicable, also include any direct or indirect subsidiary of the Company formed or acquired after the date hereof.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225"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1"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all exhibits and schedules thereto and hereto and any other documents or agreements executed in connection with the transactions contemplated hereunder.</w:t>
      </w:r>
    </w:p>
    <w:p>
      <w:pPr>
        <w:spacing w:after="0" w:line="170"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Computershare Trust Company, with offices located at Meidinger Tower, 462 South 4th Street, Louisville, KY 40202, and any successor transfer agent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AND SALE</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Closing</w:t>
      </w:r>
      <w:r>
        <w:rPr>
          <w:rFonts w:ascii="Arial" w:cs="Arial" w:eastAsia="Arial" w:hAnsi="Arial"/>
          <w:sz w:val="16"/>
          <w:szCs w:val="16"/>
          <w:color w:val="auto"/>
        </w:rPr>
        <w:t>. On the Closing Date, upon the terms and subject to the conditions set forth herein, the Company agrees to sell, and the Purchasers, severally and not jointly, agree to purchase, up to an aggregate of approximately $9.58 million of Shares. Each Purchaser’s Subscription Amount as set forth on the signature page hereto executed by such Purchaser shall be made available for “Delivery Versus Payment” settlement with the Company or its designees. The Company shall deliver to each Purchaser its respective Shares as determined pursuant to Section 2.2(a), and the Company and each Purchaser shall deliver the other items set forth in Section 2.2 deliverable at the Closing. Upon satisfaction of the covenants and conditions set forth in Sections 2.2 and 2.3, the Closing shall occur at the offices of the Placement Agent or such other location as the parties shall mutually agree. Unless otherwise directed by the Placement Agent, settlement of the Shares shall occur via “Delivery Versus Payment” (“</w:t>
      </w:r>
      <w:r>
        <w:rPr>
          <w:rFonts w:ascii="Arial" w:cs="Arial" w:eastAsia="Arial" w:hAnsi="Arial"/>
          <w:sz w:val="16"/>
          <w:szCs w:val="16"/>
          <w:u w:val="single" w:color="auto"/>
          <w:color w:val="auto"/>
        </w:rPr>
        <w:t>DVP</w:t>
      </w:r>
      <w:r>
        <w:rPr>
          <w:rFonts w:ascii="Arial" w:cs="Arial" w:eastAsia="Arial" w:hAnsi="Arial"/>
          <w:sz w:val="16"/>
          <w:szCs w:val="16"/>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Deliveries</w:t>
      </w:r>
      <w:r>
        <w:rPr>
          <w:rFonts w:ascii="Arial" w:cs="Arial" w:eastAsia="Arial" w:hAnsi="Arial"/>
          <w:sz w:val="18"/>
          <w:szCs w:val="18"/>
          <w:color w:val="auto"/>
        </w:rPr>
        <w:t>.</w:t>
      </w:r>
    </w:p>
    <w:p>
      <w:pPr>
        <w:spacing w:after="0" w:line="225" w:lineRule="exact"/>
        <w:rPr>
          <w:sz w:val="20"/>
          <w:szCs w:val="20"/>
          <w:color w:val="auto"/>
        </w:rPr>
      </w:pPr>
    </w:p>
    <w:p>
      <w:pPr>
        <w:ind w:left="880" w:hanging="235"/>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or prior to the Closing Date, the Company shall deliver or cause to be delivered to each Purchaser the following:</w:t>
      </w:r>
    </w:p>
    <w:p>
      <w:pPr>
        <w:spacing w:after="0" w:line="225" w:lineRule="exact"/>
        <w:rPr>
          <w:rFonts w:ascii="Arial" w:cs="Arial" w:eastAsia="Arial" w:hAnsi="Arial"/>
          <w:sz w:val="18"/>
          <w:szCs w:val="18"/>
          <w:color w:val="auto"/>
        </w:rPr>
      </w:pPr>
    </w:p>
    <w:p>
      <w:pPr>
        <w:ind w:left="1500" w:hanging="207"/>
        <w:spacing w:after="0"/>
        <w:tabs>
          <w:tab w:leader="none" w:pos="15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225" w:lineRule="exact"/>
        <w:rPr>
          <w:rFonts w:ascii="Arial" w:cs="Arial" w:eastAsia="Arial" w:hAnsi="Arial"/>
          <w:sz w:val="18"/>
          <w:szCs w:val="18"/>
          <w:color w:val="auto"/>
        </w:rPr>
      </w:pPr>
    </w:p>
    <w:p>
      <w:pPr>
        <w:ind w:left="1560" w:hanging="267"/>
        <w:spacing w:after="0"/>
        <w:tabs>
          <w:tab w:leader="none" w:pos="15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legal opinion of Company Counsel, in a form reasonably acceptable to the Placement Agent and Purchasers;</w:t>
      </w:r>
    </w:p>
    <w:p>
      <w:pPr>
        <w:spacing w:after="0" w:line="225" w:lineRule="exact"/>
        <w:rPr>
          <w:rFonts w:ascii="Arial" w:cs="Arial" w:eastAsia="Arial" w:hAnsi="Arial"/>
          <w:sz w:val="18"/>
          <w:szCs w:val="18"/>
          <w:color w:val="auto"/>
        </w:rPr>
      </w:pPr>
    </w:p>
    <w:p>
      <w:pPr>
        <w:ind w:left="1640" w:hanging="347"/>
        <w:spacing w:after="0"/>
        <w:tabs>
          <w:tab w:leader="none" w:pos="16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Company’s wire instructions, on Company letterhead and executed by the Chief Executive Officer or Chief Financial</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Officer;</w:t>
      </w:r>
    </w:p>
    <w:p>
      <w:pPr>
        <w:spacing w:after="0" w:line="210" w:lineRule="exact"/>
        <w:rPr>
          <w:rFonts w:ascii="Arial" w:cs="Arial" w:eastAsia="Arial" w:hAnsi="Arial"/>
          <w:sz w:val="17"/>
          <w:szCs w:val="17"/>
          <w:color w:val="auto"/>
        </w:rPr>
      </w:pPr>
    </w:p>
    <w:p>
      <w:pPr>
        <w:jc w:val="both"/>
        <w:ind w:left="640" w:firstLine="653"/>
        <w:spacing w:after="0" w:line="312" w:lineRule="auto"/>
        <w:tabs>
          <w:tab w:leader="none" w:pos="1598" w:val="left"/>
        </w:tabs>
        <w:numPr>
          <w:ilvl w:val="1"/>
          <w:numId w:val="26"/>
        </w:numPr>
        <w:rPr>
          <w:rFonts w:ascii="Arial" w:cs="Arial" w:eastAsia="Arial" w:hAnsi="Arial"/>
          <w:sz w:val="16"/>
          <w:szCs w:val="16"/>
          <w:color w:val="auto"/>
        </w:rPr>
      </w:pPr>
      <w:r>
        <w:rPr>
          <w:rFonts w:ascii="Arial" w:cs="Arial" w:eastAsia="Arial" w:hAnsi="Arial"/>
          <w:sz w:val="16"/>
          <w:szCs w:val="16"/>
          <w:color w:val="auto"/>
        </w:rPr>
        <w:t>subject to the last sentence of Section 2.1, a copy of the irrevocable instructions to the Transfer Agent instructing the Transfer Agent to deliver on an expedited basis via The Depository Trust Company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Shares equal to such Purchaser’s Subscription Amount divided by the Per Share Purchase Price, registered in the name of such Purchaser; and</w:t>
      </w:r>
    </w:p>
    <w:p>
      <w:pPr>
        <w:spacing w:after="0" w:line="146" w:lineRule="exact"/>
        <w:rPr>
          <w:rFonts w:ascii="Arial" w:cs="Arial" w:eastAsia="Arial" w:hAnsi="Arial"/>
          <w:sz w:val="16"/>
          <w:szCs w:val="16"/>
          <w:color w:val="auto"/>
        </w:rPr>
      </w:pPr>
    </w:p>
    <w:p>
      <w:pPr>
        <w:ind w:left="1540" w:hanging="247"/>
        <w:spacing w:after="0"/>
        <w:tabs>
          <w:tab w:leader="none" w:pos="15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Prospectus and Prospectus Supplement (which may be delivered in accordance with Rule 172 under the Securities Act).</w:t>
      </w:r>
    </w:p>
    <w:p>
      <w:pPr>
        <w:spacing w:after="0" w:line="248" w:lineRule="exact"/>
        <w:rPr>
          <w:rFonts w:ascii="Arial" w:cs="Arial" w:eastAsia="Arial" w:hAnsi="Arial"/>
          <w:sz w:val="16"/>
          <w:szCs w:val="16"/>
          <w:color w:val="auto"/>
        </w:rPr>
      </w:pPr>
    </w:p>
    <w:p>
      <w:pPr>
        <w:ind w:left="900" w:hanging="25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or prior to the Closing Date, each Purchaser shall deliver or cause to be delivered to the Company the following:</w:t>
      </w:r>
    </w:p>
    <w:p>
      <w:pPr>
        <w:spacing w:after="0" w:line="225" w:lineRule="exact"/>
        <w:rPr>
          <w:rFonts w:ascii="Arial" w:cs="Arial" w:eastAsia="Arial" w:hAnsi="Arial"/>
          <w:sz w:val="18"/>
          <w:szCs w:val="18"/>
          <w:color w:val="auto"/>
        </w:rPr>
      </w:pPr>
    </w:p>
    <w:p>
      <w:pPr>
        <w:ind w:left="1500" w:hanging="207"/>
        <w:spacing w:after="0"/>
        <w:tabs>
          <w:tab w:leader="none" w:pos="15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this Agreement duly executed by such Purchaser; and</w:t>
      </w:r>
    </w:p>
    <w:p>
      <w:pPr>
        <w:spacing w:after="0" w:line="225" w:lineRule="exact"/>
        <w:rPr>
          <w:rFonts w:ascii="Arial" w:cs="Arial" w:eastAsia="Arial" w:hAnsi="Arial"/>
          <w:sz w:val="18"/>
          <w:szCs w:val="18"/>
          <w:color w:val="auto"/>
        </w:rPr>
      </w:pPr>
    </w:p>
    <w:p>
      <w:pPr>
        <w:ind w:left="640" w:firstLine="653"/>
        <w:spacing w:after="0" w:line="277" w:lineRule="auto"/>
        <w:tabs>
          <w:tab w:leader="none" w:pos="15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such Purchaser’s Subscription Amount, which shall be made available for “Delivery Versus Payment” settlement with the Company or its designees.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Closing Conditions</w:t>
      </w:r>
      <w:r>
        <w:rPr>
          <w:rFonts w:ascii="Arial" w:cs="Arial" w:eastAsia="Arial" w:hAnsi="Arial"/>
          <w:sz w:val="18"/>
          <w:szCs w:val="18"/>
          <w:color w:val="auto"/>
        </w:rPr>
        <w:t>.</w:t>
      </w:r>
    </w:p>
    <w:p>
      <w:pPr>
        <w:spacing w:after="0" w:line="225" w:lineRule="exact"/>
        <w:rPr>
          <w:sz w:val="20"/>
          <w:szCs w:val="20"/>
          <w:color w:val="auto"/>
        </w:rPr>
      </w:pPr>
    </w:p>
    <w:p>
      <w:pPr>
        <w:ind w:left="880" w:hanging="235"/>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obligations of the Company hereunder in connection with the Closing are subject to the following conditions being met:</w:t>
      </w:r>
    </w:p>
    <w:p>
      <w:pPr>
        <w:spacing w:after="0" w:line="225" w:lineRule="exact"/>
        <w:rPr>
          <w:rFonts w:ascii="Arial" w:cs="Arial" w:eastAsia="Arial" w:hAnsi="Arial"/>
          <w:sz w:val="18"/>
          <w:szCs w:val="18"/>
          <w:color w:val="auto"/>
        </w:rPr>
      </w:pPr>
    </w:p>
    <w:p>
      <w:pPr>
        <w:jc w:val="both"/>
        <w:ind w:left="640" w:firstLine="653"/>
        <w:spacing w:after="0" w:line="264" w:lineRule="auto"/>
        <w:tabs>
          <w:tab w:leader="none" w:pos="1528"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33" w:name="page34"/>
    <w:bookmarkEnd w:id="33"/>
    <w:p>
      <w:pPr>
        <w:ind w:left="100" w:firstLine="653"/>
        <w:spacing w:after="0" w:line="277" w:lineRule="auto"/>
        <w:tabs>
          <w:tab w:leader="none" w:pos="1016"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obligations, covenants and agreements of each Purchaser required to be performed at or prior to the Closing Date shall have been performed; and</w:t>
      </w:r>
    </w:p>
    <w:p>
      <w:pPr>
        <w:spacing w:after="0" w:line="170" w:lineRule="exact"/>
        <w:rPr>
          <w:rFonts w:ascii="Arial" w:cs="Arial" w:eastAsia="Arial" w:hAnsi="Arial"/>
          <w:sz w:val="18"/>
          <w:szCs w:val="18"/>
          <w:color w:val="auto"/>
        </w:rPr>
      </w:pPr>
    </w:p>
    <w:p>
      <w:pPr>
        <w:ind w:left="1060" w:hanging="307"/>
        <w:spacing w:after="0"/>
        <w:tabs>
          <w:tab w:leader="none" w:pos="10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delivery by each Purchaser of the items set forth in Section 2.2(b) of this Agreement.</w:t>
      </w:r>
    </w:p>
    <w:p>
      <w:pPr>
        <w:spacing w:after="0" w:line="225" w:lineRule="exact"/>
        <w:rPr>
          <w:rFonts w:ascii="Arial" w:cs="Arial" w:eastAsia="Arial" w:hAnsi="Arial"/>
          <w:sz w:val="18"/>
          <w:szCs w:val="18"/>
          <w:color w:val="auto"/>
        </w:rPr>
      </w:pPr>
    </w:p>
    <w:p>
      <w:pPr>
        <w:ind w:left="360" w:hanging="255"/>
        <w:spacing w:after="0"/>
        <w:tabs>
          <w:tab w:leader="none" w:pos="3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respective obligations of the Purchasers hereunder in connection with the Closing are subject to the following conditions being met:</w:t>
      </w:r>
    </w:p>
    <w:p>
      <w:pPr>
        <w:spacing w:after="0" w:line="248" w:lineRule="exact"/>
        <w:rPr>
          <w:rFonts w:ascii="Arial" w:cs="Arial" w:eastAsia="Arial" w:hAnsi="Arial"/>
          <w:sz w:val="16"/>
          <w:szCs w:val="16"/>
          <w:color w:val="auto"/>
        </w:rPr>
      </w:pPr>
    </w:p>
    <w:p>
      <w:pPr>
        <w:jc w:val="both"/>
        <w:ind w:left="100" w:firstLine="653"/>
        <w:spacing w:after="0" w:line="264" w:lineRule="auto"/>
        <w:tabs>
          <w:tab w:leader="none" w:pos="988"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81" w:lineRule="exact"/>
        <w:rPr>
          <w:rFonts w:ascii="Arial" w:cs="Arial" w:eastAsia="Arial" w:hAnsi="Arial"/>
          <w:sz w:val="18"/>
          <w:szCs w:val="18"/>
          <w:color w:val="auto"/>
        </w:rPr>
      </w:pPr>
    </w:p>
    <w:p>
      <w:pPr>
        <w:ind w:left="100" w:firstLine="653"/>
        <w:spacing w:after="0" w:line="277" w:lineRule="auto"/>
        <w:tabs>
          <w:tab w:leader="none" w:pos="1021"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obligations, covenants and agreements of the Company required to be performed at or prior to the Closing Date shall have been performed;</w:t>
      </w:r>
    </w:p>
    <w:p>
      <w:pPr>
        <w:spacing w:after="0" w:line="170" w:lineRule="exact"/>
        <w:rPr>
          <w:rFonts w:ascii="Arial" w:cs="Arial" w:eastAsia="Arial" w:hAnsi="Arial"/>
          <w:sz w:val="18"/>
          <w:szCs w:val="18"/>
          <w:color w:val="auto"/>
        </w:rPr>
      </w:pPr>
    </w:p>
    <w:p>
      <w:pPr>
        <w:ind w:left="1060" w:hanging="307"/>
        <w:spacing w:after="0"/>
        <w:tabs>
          <w:tab w:leader="none" w:pos="10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2.2(a) of this Agreement;</w:t>
      </w:r>
    </w:p>
    <w:p>
      <w:pPr>
        <w:spacing w:after="0" w:line="225" w:lineRule="exact"/>
        <w:rPr>
          <w:rFonts w:ascii="Arial" w:cs="Arial" w:eastAsia="Arial" w:hAnsi="Arial"/>
          <w:sz w:val="18"/>
          <w:szCs w:val="18"/>
          <w:color w:val="auto"/>
        </w:rPr>
      </w:pPr>
    </w:p>
    <w:p>
      <w:pPr>
        <w:ind w:left="1060" w:hanging="307"/>
        <w:spacing w:after="0"/>
        <w:tabs>
          <w:tab w:leader="none" w:pos="10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 since the date hereof; and</w:t>
      </w:r>
    </w:p>
    <w:p>
      <w:pPr>
        <w:spacing w:after="0" w:line="225" w:lineRule="exact"/>
        <w:rPr>
          <w:rFonts w:ascii="Arial" w:cs="Arial" w:eastAsia="Arial" w:hAnsi="Arial"/>
          <w:sz w:val="18"/>
          <w:szCs w:val="18"/>
          <w:color w:val="auto"/>
        </w:rPr>
      </w:pPr>
    </w:p>
    <w:p>
      <w:pPr>
        <w:jc w:val="both"/>
        <w:ind w:left="100" w:firstLine="653"/>
        <w:spacing w:after="0" w:line="291" w:lineRule="auto"/>
        <w:tabs>
          <w:tab w:leader="none" w:pos="1013" w:val="left"/>
        </w:tabs>
        <w:numPr>
          <w:ilvl w:val="1"/>
          <w:numId w:val="29"/>
        </w:numPr>
        <w:rPr>
          <w:rFonts w:ascii="Arial" w:cs="Arial" w:eastAsia="Arial" w:hAnsi="Arial"/>
          <w:sz w:val="16"/>
          <w:szCs w:val="16"/>
          <w:color w:val="auto"/>
        </w:rPr>
      </w:pPr>
      <w:r>
        <w:rPr>
          <w:rFonts w:ascii="Arial" w:cs="Arial" w:eastAsia="Arial" w:hAnsi="Arial"/>
          <w:sz w:val="16"/>
          <w:szCs w:val="16"/>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Shares at the Closing.</w:t>
      </w:r>
    </w:p>
    <w:p>
      <w:pPr>
        <w:spacing w:after="0" w:line="16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Representations and Warranties of the Company</w:t>
      </w:r>
      <w:r>
        <w:rPr>
          <w:rFonts w:ascii="Arial" w:cs="Arial" w:eastAsia="Arial" w:hAnsi="Arial"/>
          <w:sz w:val="17"/>
          <w:szCs w:val="17"/>
          <w:color w:val="auto"/>
        </w:rPr>
        <w:t>. Except as set forth in the SEC Reports or on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spacing w:after="0" w:line="166" w:lineRule="exact"/>
        <w:rPr>
          <w:sz w:val="20"/>
          <w:szCs w:val="20"/>
          <w:color w:val="auto"/>
        </w:rPr>
      </w:pPr>
    </w:p>
    <w:p>
      <w:pPr>
        <w:jc w:val="both"/>
        <w:ind w:left="660" w:firstLine="645"/>
        <w:spacing w:after="0" w:line="257" w:lineRule="auto"/>
        <w:tabs>
          <w:tab w:leader="none" w:pos="1553"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All of the direct and indirect subsidiaries of the Company are set forth on </w:t>
      </w:r>
      <w:r>
        <w:rPr>
          <w:rFonts w:ascii="Arial" w:cs="Arial" w:eastAsia="Arial" w:hAnsi="Arial"/>
          <w:sz w:val="18"/>
          <w:szCs w:val="18"/>
          <w:u w:val="single" w:color="auto"/>
          <w:color w:val="auto"/>
        </w:rPr>
        <w:t>Schedule 3.1(a)</w:t>
      </w:r>
      <w:r>
        <w:rPr>
          <w:rFonts w:ascii="Arial" w:cs="Arial" w:eastAsia="Arial" w:hAnsi="Arial"/>
          <w:sz w:val="18"/>
          <w:szCs w:val="18"/>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88" w:lineRule="exact"/>
        <w:rPr>
          <w:rFonts w:ascii="Arial" w:cs="Arial" w:eastAsia="Arial" w:hAnsi="Arial"/>
          <w:sz w:val="18"/>
          <w:szCs w:val="18"/>
          <w:color w:val="auto"/>
        </w:rPr>
      </w:pPr>
    </w:p>
    <w:p>
      <w:pPr>
        <w:jc w:val="both"/>
        <w:ind w:left="660" w:firstLine="645"/>
        <w:spacing w:after="0" w:line="269" w:lineRule="auto"/>
        <w:tabs>
          <w:tab w:leader="none" w:pos="1563"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Arial" w:cs="Arial" w:eastAsia="Arial" w:hAnsi="Arial"/>
          <w:sz w:val="17"/>
          <w:szCs w:val="17"/>
          <w:u w:val="single" w:color="auto"/>
          <w:color w:val="auto"/>
        </w:rPr>
        <w:t>Material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Adverse Effect</w:t>
      </w:r>
      <w:r>
        <w:rPr>
          <w:rFonts w:ascii="Arial" w:cs="Arial" w:eastAsia="Arial" w:hAnsi="Arial"/>
          <w:sz w:val="17"/>
          <w:szCs w:val="17"/>
          <w:color w:val="auto"/>
        </w:rPr>
        <w:t>”) and no Proceeding has been instituted in any such jurisdiction revoking, limiting or curtailing or seeking to revoke, limit or curtail such power and authority or qualification.</w:t>
      </w:r>
    </w:p>
    <w:p>
      <w:pPr>
        <w:spacing w:after="0" w:line="179" w:lineRule="exact"/>
        <w:rPr>
          <w:rFonts w:ascii="Arial" w:cs="Arial" w:eastAsia="Arial" w:hAnsi="Arial"/>
          <w:sz w:val="17"/>
          <w:szCs w:val="17"/>
          <w:color w:val="auto"/>
        </w:rPr>
      </w:pPr>
    </w:p>
    <w:p>
      <w:pPr>
        <w:jc w:val="both"/>
        <w:ind w:left="660" w:firstLine="645"/>
        <w:spacing w:after="0" w:line="269" w:lineRule="auto"/>
        <w:tabs>
          <w:tab w:leader="none" w:pos="158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Authorization; Enforcement</w:t>
      </w:r>
      <w:r>
        <w:rPr>
          <w:rFonts w:ascii="Arial" w:cs="Arial" w:eastAsia="Arial" w:hAnsi="Arial"/>
          <w:sz w:val="17"/>
          <w:szCs w:val="17"/>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5" w:name="page36"/>
    <w:bookmarkEnd w:id="35"/>
    <w:p>
      <w:pPr>
        <w:jc w:val="both"/>
        <w:ind w:left="-540" w:firstLine="645"/>
        <w:spacing w:after="0" w:line="269" w:lineRule="auto"/>
        <w:tabs>
          <w:tab w:leader="none" w:pos="377"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by the Company of this Agreement and the other Transaction Documents to which it is a party, the issuance and sale of the Shares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79" w:lineRule="exact"/>
        <w:rPr>
          <w:rFonts w:ascii="Arial" w:cs="Arial" w:eastAsia="Arial" w:hAnsi="Arial"/>
          <w:sz w:val="17"/>
          <w:szCs w:val="17"/>
          <w:color w:val="auto"/>
        </w:rPr>
      </w:pPr>
    </w:p>
    <w:p>
      <w:pPr>
        <w:jc w:val="both"/>
        <w:ind w:left="-540" w:firstLine="645"/>
        <w:spacing w:after="0" w:line="255" w:lineRule="auto"/>
        <w:tabs>
          <w:tab w:leader="none" w:pos="353"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Filings, Consents and Approvals</w:t>
      </w:r>
      <w:r>
        <w:rPr>
          <w:rFonts w:ascii="Arial" w:cs="Arial" w:eastAsia="Arial" w:hAnsi="Arial"/>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for trading thereon in the time and manner required thereby, and (iv) such filings as are required to be made under applicable state securities laws (collectively, the “</w:t>
      </w:r>
      <w:r>
        <w:rPr>
          <w:rFonts w:ascii="Arial" w:cs="Arial" w:eastAsia="Arial" w:hAnsi="Arial"/>
          <w:sz w:val="18"/>
          <w:szCs w:val="18"/>
          <w:u w:val="single" w:color="auto"/>
          <w:color w:val="auto"/>
        </w:rPr>
        <w:t>Required Approvals</w:t>
      </w:r>
      <w:r>
        <w:rPr>
          <w:rFonts w:ascii="Arial" w:cs="Arial" w:eastAsia="Arial" w:hAnsi="Arial"/>
          <w:sz w:val="18"/>
          <w:szCs w:val="18"/>
          <w:color w:val="auto"/>
        </w:rPr>
        <w:t>”).</w:t>
      </w:r>
    </w:p>
    <w:p>
      <w:pPr>
        <w:spacing w:after="0" w:line="19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36" w:name="page37"/>
    <w:bookmarkEnd w:id="36"/>
    <w:p>
      <w:pPr>
        <w:jc w:val="both"/>
        <w:ind w:left="-540" w:firstLine="645"/>
        <w:spacing w:after="0" w:line="285" w:lineRule="auto"/>
        <w:tabs>
          <w:tab w:leader="none" w:pos="347"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Issuance of the Shares; Registration</w:t>
      </w:r>
      <w:r>
        <w:rPr>
          <w:rFonts w:ascii="Arial" w:cs="Arial" w:eastAsia="Arial" w:hAnsi="Arial"/>
          <w:sz w:val="16"/>
          <w:szCs w:val="16"/>
          <w:color w:val="auto"/>
        </w:rPr>
        <w:t>. The Shares are duly authorized and, when issued and paid for in accordance with the applicable Transaction Documents, will be duly and validly issued, fully paid and nonassessable, free and clear of all Liens imposed by the Company. The Company has reserved from its duly authorized capital stock the maximum number of shares of Common Stock issuable pursuant to this Agreement. The Company has prepared and filed the Registration Statement in conformity with the requirements of the Securities Act, which became effective on April 14, 2017 (the “</w:t>
      </w:r>
      <w:r>
        <w:rPr>
          <w:rFonts w:ascii="Arial" w:cs="Arial" w:eastAsia="Arial" w:hAnsi="Arial"/>
          <w:sz w:val="16"/>
          <w:szCs w:val="16"/>
          <w:u w:val="single" w:color="auto"/>
          <w:color w:val="auto"/>
        </w:rPr>
        <w:t>Effective Date</w:t>
      </w:r>
      <w:r>
        <w:rPr>
          <w:rFonts w:ascii="Arial" w:cs="Arial" w:eastAsia="Arial" w:hAnsi="Arial"/>
          <w:sz w:val="16"/>
          <w:szCs w:val="16"/>
          <w:color w:val="auto"/>
        </w:rPr>
        <w:t>”), including the Prospectus, and such amendments and supplements thereto as may have been required to the date of this Agreement.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calendar months prior to this offering, as set forth in General Instruction I.B.6 of Form S-3.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w:t>
      </w:r>
    </w:p>
    <w:p>
      <w:pPr>
        <w:spacing w:after="0" w:line="170" w:lineRule="exact"/>
        <w:rPr>
          <w:rFonts w:ascii="Arial" w:cs="Arial" w:eastAsia="Arial" w:hAnsi="Arial"/>
          <w:sz w:val="16"/>
          <w:szCs w:val="16"/>
          <w:color w:val="auto"/>
        </w:rPr>
      </w:pPr>
    </w:p>
    <w:p>
      <w:pPr>
        <w:jc w:val="both"/>
        <w:ind w:left="-540" w:firstLine="645"/>
        <w:spacing w:after="0" w:line="284" w:lineRule="auto"/>
        <w:tabs>
          <w:tab w:leader="none" w:pos="363"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Shares,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Shares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18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37" w:name="page38"/>
    <w:bookmarkEnd w:id="37"/>
    <w:p>
      <w:pPr>
        <w:jc w:val="both"/>
        <w:ind w:left="-540" w:firstLine="645"/>
        <w:spacing w:after="0" w:line="285" w:lineRule="auto"/>
        <w:tabs>
          <w:tab w:leader="none" w:pos="363"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Arial" w:cs="Arial" w:eastAsia="Arial" w:hAnsi="Arial"/>
          <w:sz w:val="16"/>
          <w:szCs w:val="16"/>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6"/>
          <w:szCs w:val="16"/>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77" w:lineRule="exact"/>
        <w:rPr>
          <w:rFonts w:ascii="Arial" w:cs="Arial" w:eastAsia="Arial" w:hAnsi="Arial"/>
          <w:sz w:val="16"/>
          <w:szCs w:val="16"/>
          <w:color w:val="auto"/>
        </w:rPr>
      </w:pPr>
    </w:p>
    <w:p>
      <w:pPr>
        <w:jc w:val="both"/>
        <w:ind w:left="-540" w:firstLine="645"/>
        <w:spacing w:after="0" w:line="268" w:lineRule="auto"/>
        <w:tabs>
          <w:tab w:leader="none" w:pos="337"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Material Changes; Undisclosed Events, Liabilities or Developments</w:t>
      </w:r>
      <w:r>
        <w:rPr>
          <w:rFonts w:ascii="Arial" w:cs="Arial" w:eastAsia="Arial" w:hAnsi="Arial"/>
          <w:sz w:val="17"/>
          <w:szCs w:val="17"/>
          <w:color w:val="auto"/>
        </w:rPr>
        <w:t xml:space="preserve">. Since the date of the latest audited financial statements included within the SEC Reports, except as disclosed in an SEC Report filed prior to the date hereof or as set forth on </w:t>
      </w:r>
      <w:r>
        <w:rPr>
          <w:rFonts w:ascii="Arial" w:cs="Arial" w:eastAsia="Arial" w:hAnsi="Arial"/>
          <w:sz w:val="17"/>
          <w:szCs w:val="17"/>
          <w:u w:val="single" w:color="auto"/>
          <w:color w:val="auto"/>
        </w:rPr>
        <w:t>Schedule 3.1(i)</w:t>
      </w:r>
      <w:r>
        <w:rPr>
          <w:rFonts w:ascii="Arial" w:cs="Arial" w:eastAsia="Arial" w:hAnsi="Arial"/>
          <w:sz w:val="17"/>
          <w:szCs w:val="17"/>
          <w:color w:val="auto"/>
        </w:rPr>
        <w:t xml:space="preserve">,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Shares contemplated by this Agreement or as set forth on </w:t>
      </w:r>
      <w:r>
        <w:rPr>
          <w:rFonts w:ascii="Arial" w:cs="Arial" w:eastAsia="Arial" w:hAnsi="Arial"/>
          <w:sz w:val="17"/>
          <w:szCs w:val="17"/>
          <w:u w:val="single" w:color="auto"/>
          <w:color w:val="auto"/>
        </w:rPr>
        <w:t>Schedule 3.1(i)</w:t>
      </w:r>
      <w:r>
        <w:rPr>
          <w:rFonts w:ascii="Arial" w:cs="Arial" w:eastAsia="Arial" w:hAnsi="Arial"/>
          <w:sz w:val="17"/>
          <w:szCs w:val="17"/>
          <w:color w:val="auto"/>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8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38" w:name="page39"/>
    <w:bookmarkEnd w:id="38"/>
    <w:p>
      <w:pPr>
        <w:jc w:val="both"/>
        <w:ind w:left="-540" w:firstLine="645"/>
        <w:spacing w:after="0" w:line="270" w:lineRule="auto"/>
        <w:tabs>
          <w:tab w:leader="none" w:pos="337"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Except as disclosed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7"/>
          <w:szCs w:val="17"/>
          <w:u w:val="single" w:color="auto"/>
          <w:color w:val="auto"/>
        </w:rPr>
        <w:t>Action</w:t>
      </w:r>
      <w:r>
        <w:rPr>
          <w:rFonts w:ascii="Arial" w:cs="Arial" w:eastAsia="Arial" w:hAnsi="Arial"/>
          <w:sz w:val="17"/>
          <w:szCs w:val="17"/>
          <w:color w:val="auto"/>
        </w:rPr>
        <w:t>”) which (i) adversely affects or challenges the legality, validity or enforceability of any of the Transaction Documents or the Shares or (ii) could, if there were an unfavorable decision, have or reasonably be expected to result in a Material Adverse Effect. Neither the Company nor any Subsidiary, nor any current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77" w:lineRule="exact"/>
        <w:rPr>
          <w:rFonts w:ascii="Arial" w:cs="Arial" w:eastAsia="Arial" w:hAnsi="Arial"/>
          <w:sz w:val="17"/>
          <w:szCs w:val="17"/>
          <w:color w:val="auto"/>
        </w:rPr>
      </w:pPr>
    </w:p>
    <w:p>
      <w:pPr>
        <w:jc w:val="both"/>
        <w:ind w:left="-540" w:firstLine="645"/>
        <w:spacing w:after="0" w:line="269" w:lineRule="auto"/>
        <w:tabs>
          <w:tab w:leader="none" w:pos="363"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Labor Relations</w:t>
      </w:r>
      <w:r>
        <w:rPr>
          <w:rFonts w:ascii="Arial" w:cs="Arial" w:eastAsia="Arial" w:hAnsi="Arial"/>
          <w:sz w:val="17"/>
          <w:szCs w:val="17"/>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8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39" w:name="page40"/>
    <w:bookmarkEnd w:id="39"/>
    <w:p>
      <w:pPr>
        <w:jc w:val="both"/>
        <w:ind w:left="-540" w:firstLine="645"/>
        <w:spacing w:after="0" w:line="271" w:lineRule="auto"/>
        <w:tabs>
          <w:tab w:leader="none" w:pos="323"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178" w:lineRule="exact"/>
        <w:rPr>
          <w:rFonts w:ascii="Arial" w:cs="Arial" w:eastAsia="Arial" w:hAnsi="Arial"/>
          <w:sz w:val="17"/>
          <w:szCs w:val="17"/>
          <w:color w:val="auto"/>
        </w:rPr>
      </w:pPr>
    </w:p>
    <w:p>
      <w:pPr>
        <w:jc w:val="both"/>
        <w:ind w:left="-540" w:firstLine="645"/>
        <w:spacing w:after="0" w:line="253" w:lineRule="auto"/>
        <w:tabs>
          <w:tab w:leader="none" w:pos="413"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Environmental Laws</w:t>
      </w:r>
      <w:r>
        <w:rPr>
          <w:rFonts w:ascii="Arial" w:cs="Arial" w:eastAsia="Arial" w:hAnsi="Arial"/>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8"/>
          <w:szCs w:val="18"/>
          <w:u w:val="single" w:color="auto"/>
          <w:color w:val="auto"/>
        </w:rPr>
        <w:t>Hazardous Materials</w:t>
      </w:r>
      <w:r>
        <w:rPr>
          <w:rFonts w:ascii="Arial" w:cs="Arial" w:eastAsia="Arial" w:hAnsi="Arial"/>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8"/>
          <w:szCs w:val="18"/>
          <w:u w:val="single" w:color="auto"/>
          <w:color w:val="auto"/>
        </w:rPr>
        <w:t>Environmental Laws</w:t>
      </w:r>
      <w:r>
        <w:rPr>
          <w:rFonts w:ascii="Arial" w:cs="Arial" w:eastAsia="Arial" w:hAnsi="Arial"/>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194" w:lineRule="exact"/>
        <w:rPr>
          <w:rFonts w:ascii="Arial" w:cs="Arial" w:eastAsia="Arial" w:hAnsi="Arial"/>
          <w:sz w:val="18"/>
          <w:szCs w:val="18"/>
          <w:color w:val="auto"/>
        </w:rPr>
      </w:pPr>
    </w:p>
    <w:p>
      <w:pPr>
        <w:jc w:val="both"/>
        <w:ind w:left="-540" w:firstLine="645"/>
        <w:spacing w:after="0" w:line="302" w:lineRule="auto"/>
        <w:tabs>
          <w:tab w:leader="none" w:pos="377"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Regulatory Permits</w:t>
      </w:r>
      <w:r>
        <w:rPr>
          <w:rFonts w:ascii="Arial" w:cs="Arial" w:eastAsia="Arial" w:hAnsi="Arial"/>
          <w:sz w:val="16"/>
          <w:szCs w:val="16"/>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Arial" w:cs="Arial" w:eastAsia="Arial" w:hAnsi="Arial"/>
          <w:sz w:val="16"/>
          <w:szCs w:val="16"/>
          <w:u w:val="single" w:color="auto"/>
          <w:color w:val="auto"/>
        </w:rPr>
        <w:t>Material Permits</w:t>
      </w:r>
      <w:r>
        <w:rPr>
          <w:rFonts w:ascii="Arial" w:cs="Arial" w:eastAsia="Arial" w:hAnsi="Arial"/>
          <w:sz w:val="16"/>
          <w:szCs w:val="16"/>
          <w:color w:val="auto"/>
        </w:rPr>
        <w:t>”), and neither the Company nor any Subsidiary has received any notice of proceedings relating to the revocation or modification of any Material Permit.</w:t>
      </w:r>
    </w:p>
    <w:p>
      <w:pPr>
        <w:spacing w:after="0" w:line="15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40" w:name="page41"/>
    <w:bookmarkEnd w:id="40"/>
    <w:p>
      <w:pPr>
        <w:jc w:val="both"/>
        <w:ind w:left="-540" w:firstLine="645"/>
        <w:spacing w:after="0" w:line="272" w:lineRule="auto"/>
        <w:tabs>
          <w:tab w:leader="none" w:pos="363"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Title to Assets</w:t>
      </w:r>
      <w:r>
        <w:rPr>
          <w:rFonts w:ascii="Arial" w:cs="Arial" w:eastAsia="Arial" w:hAnsi="Arial"/>
          <w:sz w:val="17"/>
          <w:szCs w:val="17"/>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77" w:lineRule="exact"/>
        <w:rPr>
          <w:rFonts w:ascii="Arial" w:cs="Arial" w:eastAsia="Arial" w:hAnsi="Arial"/>
          <w:sz w:val="17"/>
          <w:szCs w:val="17"/>
          <w:color w:val="auto"/>
        </w:rPr>
      </w:pPr>
    </w:p>
    <w:p>
      <w:pPr>
        <w:jc w:val="both"/>
        <w:ind w:left="-540" w:firstLine="645"/>
        <w:spacing w:after="0" w:line="268" w:lineRule="auto"/>
        <w:tabs>
          <w:tab w:leader="none" w:pos="377"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To the Company’s knowledge,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be reasonably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w:t>
      </w:r>
    </w:p>
    <w:p>
      <w:pPr>
        <w:spacing w:after="0" w:line="187" w:lineRule="exact"/>
        <w:rPr>
          <w:rFonts w:ascii="Arial" w:cs="Arial" w:eastAsia="Arial" w:hAnsi="Arial"/>
          <w:sz w:val="17"/>
          <w:szCs w:val="17"/>
          <w:color w:val="auto"/>
        </w:rPr>
      </w:pPr>
    </w:p>
    <w:p>
      <w:pPr>
        <w:jc w:val="both"/>
        <w:ind w:left="-540" w:firstLine="645"/>
        <w:spacing w:after="0" w:line="257" w:lineRule="auto"/>
        <w:tabs>
          <w:tab w:leader="none" w:pos="363"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been advised that it will not be able to renew its existing insurance coverage as and when such coverage expires or to obtain similar coverage from similar insurers as may be necessary to continue its business without a significant increase in cost.</w:t>
      </w:r>
    </w:p>
    <w:p>
      <w:pPr>
        <w:spacing w:after="0" w:line="188" w:lineRule="exact"/>
        <w:rPr>
          <w:rFonts w:ascii="Arial" w:cs="Arial" w:eastAsia="Arial" w:hAnsi="Arial"/>
          <w:sz w:val="18"/>
          <w:szCs w:val="18"/>
          <w:color w:val="auto"/>
        </w:rPr>
      </w:pPr>
    </w:p>
    <w:p>
      <w:pPr>
        <w:jc w:val="both"/>
        <w:ind w:left="-540" w:firstLine="645"/>
        <w:spacing w:after="0" w:line="290" w:lineRule="auto"/>
        <w:tabs>
          <w:tab w:leader="none" w:pos="333"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Transactions With Affiliates and Employees</w:t>
      </w:r>
      <w:r>
        <w:rPr>
          <w:rFonts w:ascii="Arial" w:cs="Arial" w:eastAsia="Arial" w:hAnsi="Arial"/>
          <w:sz w:val="16"/>
          <w:szCs w:val="16"/>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6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41" w:name="page42"/>
    <w:bookmarkEnd w:id="41"/>
    <w:p>
      <w:pPr>
        <w:jc w:val="both"/>
        <w:ind w:left="-540" w:firstLine="645"/>
        <w:spacing w:after="0" w:line="267" w:lineRule="auto"/>
        <w:tabs>
          <w:tab w:leader="none" w:pos="357"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Sarbanes-Oxley; Internal Accounting Controls</w:t>
      </w:r>
      <w:r>
        <w:rPr>
          <w:rFonts w:ascii="Arial" w:cs="Arial" w:eastAsia="Arial" w:hAnsi="Arial"/>
          <w:sz w:val="17"/>
          <w:szCs w:val="17"/>
          <w:color w:val="auto"/>
        </w:rPr>
        <w:t>. The Company and the Subsidiaries are in compliance in all material respects with any and all applicable requirements of the Sarbanes-Oxley Act of 2002 that are effective as of the date hereof, and any and all applicable rules and regulations promulgated by the Commission thereunder that are effective as of the date hereof and as of the Closing Date. Except as disclosed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SEC Reports,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Arial" w:cs="Arial" w:eastAsia="Arial" w:hAnsi="Arial"/>
          <w:sz w:val="17"/>
          <w:szCs w:val="17"/>
          <w:u w:val="single" w:color="auto"/>
          <w:color w:val="auto"/>
        </w:rPr>
        <w:t>Evaluation Date</w:t>
      </w:r>
      <w:r>
        <w:rPr>
          <w:rFonts w:ascii="Arial" w:cs="Arial" w:eastAsia="Arial" w:hAnsi="Arial"/>
          <w:sz w:val="17"/>
          <w:szCs w:val="17"/>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1" w:lineRule="exact"/>
        <w:rPr>
          <w:rFonts w:ascii="Arial" w:cs="Arial" w:eastAsia="Arial" w:hAnsi="Arial"/>
          <w:sz w:val="17"/>
          <w:szCs w:val="17"/>
          <w:color w:val="auto"/>
        </w:rPr>
      </w:pPr>
    </w:p>
    <w:p>
      <w:pPr>
        <w:jc w:val="both"/>
        <w:ind w:left="-540" w:firstLine="645"/>
        <w:spacing w:after="0" w:line="257" w:lineRule="auto"/>
        <w:tabs>
          <w:tab w:leader="none" w:pos="32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Except as set forth in the Prospectus Supplement,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42" w:name="page43"/>
    <w:bookmarkEnd w:id="42"/>
    <w:p>
      <w:pPr>
        <w:jc w:val="both"/>
        <w:ind w:left="-540" w:firstLine="645"/>
        <w:spacing w:after="0" w:line="259" w:lineRule="auto"/>
        <w:tabs>
          <w:tab w:leader="none" w:pos="36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is not an Affiliate of, and immediately after receipt of payment for the Shares,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86" w:lineRule="exact"/>
        <w:rPr>
          <w:rFonts w:ascii="Arial" w:cs="Arial" w:eastAsia="Arial" w:hAnsi="Arial"/>
          <w:sz w:val="18"/>
          <w:szCs w:val="18"/>
          <w:color w:val="auto"/>
        </w:rPr>
      </w:pPr>
    </w:p>
    <w:p>
      <w:pPr>
        <w:ind w:left="-540" w:right="20" w:firstLine="645"/>
        <w:spacing w:after="0" w:line="277" w:lineRule="auto"/>
        <w:tabs>
          <w:tab w:leader="none" w:pos="36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No Person has any right to cause the Company or any Subsidiary to effect the registration under the Securities Act of any securities of the Company or any Subsidiary.</w:t>
      </w:r>
    </w:p>
    <w:p>
      <w:pPr>
        <w:spacing w:after="0" w:line="170" w:lineRule="exact"/>
        <w:rPr>
          <w:rFonts w:ascii="Arial" w:cs="Arial" w:eastAsia="Arial" w:hAnsi="Arial"/>
          <w:sz w:val="18"/>
          <w:szCs w:val="18"/>
          <w:color w:val="auto"/>
        </w:rPr>
      </w:pPr>
    </w:p>
    <w:p>
      <w:pPr>
        <w:jc w:val="both"/>
        <w:ind w:left="-540" w:firstLine="645"/>
        <w:spacing w:after="0" w:line="270" w:lineRule="auto"/>
        <w:tabs>
          <w:tab w:leader="none" w:pos="403"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Listing and Maintenance Requirements</w:t>
      </w:r>
      <w:r>
        <w:rPr>
          <w:rFonts w:ascii="Arial" w:cs="Arial" w:eastAsia="Arial" w:hAnsi="Arial"/>
          <w:sz w:val="17"/>
          <w:szCs w:val="17"/>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disclosed in the SEC Report,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1" w:lineRule="exact"/>
        <w:rPr>
          <w:rFonts w:ascii="Arial" w:cs="Arial" w:eastAsia="Arial" w:hAnsi="Arial"/>
          <w:sz w:val="17"/>
          <w:szCs w:val="17"/>
          <w:color w:val="auto"/>
        </w:rPr>
      </w:pPr>
    </w:p>
    <w:p>
      <w:pPr>
        <w:jc w:val="both"/>
        <w:ind w:left="-540" w:firstLine="645"/>
        <w:spacing w:after="0" w:line="255" w:lineRule="auto"/>
        <w:tabs>
          <w:tab w:leader="none" w:pos="36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Shares and the Purchasers’ ownership of the Shares.</w:t>
      </w:r>
    </w:p>
    <w:p>
      <w:pPr>
        <w:spacing w:after="0" w:line="193" w:lineRule="exact"/>
        <w:rPr>
          <w:rFonts w:ascii="Arial" w:cs="Arial" w:eastAsia="Arial" w:hAnsi="Arial"/>
          <w:sz w:val="18"/>
          <w:szCs w:val="18"/>
          <w:color w:val="auto"/>
        </w:rPr>
      </w:pPr>
    </w:p>
    <w:p>
      <w:pPr>
        <w:jc w:val="both"/>
        <w:ind w:left="-540" w:firstLine="645"/>
        <w:spacing w:after="0" w:line="270" w:lineRule="auto"/>
        <w:tabs>
          <w:tab w:leader="none" w:pos="363"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in all material respects as of the date made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43" w:name="page44"/>
    <w:bookmarkEnd w:id="43"/>
    <w:p>
      <w:pPr>
        <w:jc w:val="both"/>
        <w:ind w:left="-540" w:firstLine="645"/>
        <w:spacing w:after="0" w:line="257" w:lineRule="auto"/>
        <w:tabs>
          <w:tab w:leader="none" w:pos="366"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 Integrated Offering</w:t>
      </w:r>
      <w:r>
        <w:rPr>
          <w:rFonts w:ascii="Arial" w:cs="Arial" w:eastAsia="Arial" w:hAnsi="Arial"/>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any applicable shareholder approval provisions of any Trading Market on which any of the securities of the Company are listed or designated.</w:t>
      </w:r>
    </w:p>
    <w:p>
      <w:pPr>
        <w:spacing w:after="0" w:line="188" w:lineRule="exact"/>
        <w:rPr>
          <w:sz w:val="20"/>
          <w:szCs w:val="20"/>
          <w:color w:val="auto"/>
        </w:rPr>
      </w:pPr>
    </w:p>
    <w:p>
      <w:pPr>
        <w:jc w:val="both"/>
        <w:ind w:left="-540" w:firstLine="645"/>
        <w:spacing w:after="0" w:line="267" w:lineRule="auto"/>
        <w:tabs>
          <w:tab w:leader="none" w:pos="433"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Solvency</w:t>
      </w:r>
      <w:r>
        <w:rPr>
          <w:rFonts w:ascii="Arial" w:cs="Arial" w:eastAsia="Arial" w:hAnsi="Arial"/>
          <w:sz w:val="17"/>
          <w:szCs w:val="17"/>
          <w:color w:val="auto"/>
        </w:rPr>
        <w:t>. Based on the consolidated financial condition of the Company as of the Closing Date, after giving effect to the receipt by the Company of the proceeds from the sale of the Shares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Neither the Company nor any Subsidiary is in default with respect to any Indebtedness. For the purposes of this Agreement, “</w:t>
      </w:r>
      <w:r>
        <w:rPr>
          <w:rFonts w:ascii="Arial" w:cs="Arial" w:eastAsia="Arial" w:hAnsi="Arial"/>
          <w:sz w:val="17"/>
          <w:szCs w:val="17"/>
          <w:u w:val="single" w:color="auto"/>
          <w:color w:val="auto"/>
        </w:rPr>
        <w:t>Indebtedness</w:t>
      </w:r>
      <w:r>
        <w:rPr>
          <w:rFonts w:ascii="Arial" w:cs="Arial" w:eastAsia="Arial" w:hAnsi="Arial"/>
          <w:sz w:val="17"/>
          <w:szCs w:val="17"/>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w:t>
      </w:r>
    </w:p>
    <w:p>
      <w:pPr>
        <w:spacing w:after="0" w:line="1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44" w:name="page45"/>
    <w:bookmarkEnd w:id="44"/>
    <w:p>
      <w:pPr>
        <w:jc w:val="both"/>
        <w:ind w:left="-540" w:firstLine="645"/>
        <w:spacing w:after="0" w:line="272" w:lineRule="auto"/>
        <w:tabs>
          <w:tab w:leader="none" w:pos="453"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Tax Status</w:t>
      </w:r>
      <w:r>
        <w:rPr>
          <w:rFonts w:ascii="Arial" w:cs="Arial" w:eastAsia="Arial" w:hAnsi="Arial"/>
          <w:sz w:val="17"/>
          <w:szCs w:val="17"/>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77" w:lineRule="exact"/>
        <w:rPr>
          <w:rFonts w:ascii="Arial" w:cs="Arial" w:eastAsia="Arial" w:hAnsi="Arial"/>
          <w:sz w:val="17"/>
          <w:szCs w:val="17"/>
          <w:color w:val="auto"/>
        </w:rPr>
      </w:pPr>
    </w:p>
    <w:p>
      <w:pPr>
        <w:jc w:val="both"/>
        <w:ind w:left="-540" w:firstLine="645"/>
        <w:spacing w:after="0" w:line="273" w:lineRule="auto"/>
        <w:tabs>
          <w:tab w:leader="none" w:pos="446"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w:t>
      </w:r>
      <w:r>
        <w:rPr>
          <w:rFonts w:ascii="Arial" w:cs="Arial" w:eastAsia="Arial" w:hAnsi="Arial"/>
          <w:sz w:val="17"/>
          <w:szCs w:val="17"/>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78" w:lineRule="exact"/>
        <w:rPr>
          <w:rFonts w:ascii="Arial" w:cs="Arial" w:eastAsia="Arial" w:hAnsi="Arial"/>
          <w:sz w:val="17"/>
          <w:szCs w:val="17"/>
          <w:color w:val="auto"/>
        </w:rPr>
      </w:pPr>
    </w:p>
    <w:p>
      <w:pPr>
        <w:jc w:val="both"/>
        <w:ind w:left="-540" w:firstLine="645"/>
        <w:spacing w:after="0" w:line="259" w:lineRule="auto"/>
        <w:tabs>
          <w:tab w:leader="none" w:pos="45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Accountants</w:t>
      </w:r>
      <w:r>
        <w:rPr>
          <w:rFonts w:ascii="Arial" w:cs="Arial" w:eastAsia="Arial" w:hAnsi="Arial"/>
          <w:sz w:val="18"/>
          <w:szCs w:val="18"/>
          <w:color w:val="auto"/>
        </w:rPr>
        <w:t>. The Company’s independent registered public accounting firm is Brightman Almagor Zohar &amp; Co., a Member of Deloitte Touche Tohmatsu Limited.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2019.</w:t>
      </w:r>
    </w:p>
    <w:p>
      <w:pPr>
        <w:spacing w:after="0" w:line="186" w:lineRule="exact"/>
        <w:rPr>
          <w:rFonts w:ascii="Arial" w:cs="Arial" w:eastAsia="Arial" w:hAnsi="Arial"/>
          <w:sz w:val="18"/>
          <w:szCs w:val="18"/>
          <w:color w:val="auto"/>
        </w:rPr>
      </w:pPr>
    </w:p>
    <w:p>
      <w:pPr>
        <w:jc w:val="both"/>
        <w:ind w:left="-540" w:firstLine="645"/>
        <w:spacing w:after="0" w:line="254" w:lineRule="auto"/>
        <w:tabs>
          <w:tab w:leader="none" w:pos="446"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Acknowledgment Regarding Purchasers’ Purchase of Shares</w:t>
      </w:r>
      <w:r>
        <w:rPr>
          <w:rFonts w:ascii="Arial" w:cs="Arial" w:eastAsia="Arial" w:hAnsi="Arial"/>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Shares.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45" w:name="page46"/>
    <w:bookmarkEnd w:id="45"/>
    <w:p>
      <w:pPr>
        <w:jc w:val="both"/>
        <w:ind w:left="-540" w:firstLine="645"/>
        <w:spacing w:after="0" w:line="287" w:lineRule="auto"/>
        <w:tabs>
          <w:tab w:leader="none" w:pos="444"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Acknowledgment Regarding Purchaser’s Trading Activity</w:t>
      </w:r>
      <w:r>
        <w:rPr>
          <w:rFonts w:ascii="Arial" w:cs="Arial" w:eastAsia="Arial" w:hAnsi="Arial"/>
          <w:sz w:val="16"/>
          <w:szCs w:val="16"/>
          <w:color w:val="auto"/>
        </w:rPr>
        <w:t>. Anything in this Agreement or elsewhere herein to the contrary notwithstanding (except for Sections 3.2(e)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Shares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Shares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68" w:lineRule="exact"/>
        <w:rPr>
          <w:rFonts w:ascii="Arial" w:cs="Arial" w:eastAsia="Arial" w:hAnsi="Arial"/>
          <w:sz w:val="16"/>
          <w:szCs w:val="16"/>
          <w:color w:val="auto"/>
        </w:rPr>
      </w:pPr>
    </w:p>
    <w:p>
      <w:pPr>
        <w:jc w:val="both"/>
        <w:ind w:left="-540" w:firstLine="645"/>
        <w:spacing w:after="0" w:line="276" w:lineRule="auto"/>
        <w:tabs>
          <w:tab w:leader="none" w:pos="453"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Regulation M Compliance</w:t>
      </w:r>
      <w:r>
        <w:rPr>
          <w:rFonts w:ascii="Arial" w:cs="Arial" w:eastAsia="Arial" w:hAnsi="Arial"/>
          <w:sz w:val="17"/>
          <w:szCs w:val="17"/>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other than, in the case of clauses (ii) and (iii), compensation paid to the Company’s placement agent in connection with the placement of the Shares.</w:t>
      </w:r>
    </w:p>
    <w:p>
      <w:pPr>
        <w:spacing w:after="0" w:line="172" w:lineRule="exact"/>
        <w:rPr>
          <w:rFonts w:ascii="Arial" w:cs="Arial" w:eastAsia="Arial" w:hAnsi="Arial"/>
          <w:sz w:val="17"/>
          <w:szCs w:val="17"/>
          <w:color w:val="auto"/>
        </w:rPr>
      </w:pPr>
    </w:p>
    <w:p>
      <w:pPr>
        <w:jc w:val="both"/>
        <w:ind w:left="-540" w:firstLine="645"/>
        <w:spacing w:after="0" w:line="285" w:lineRule="auto"/>
        <w:tabs>
          <w:tab w:leader="none" w:pos="453"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FDA</w:t>
      </w:r>
      <w:r>
        <w:rPr>
          <w:rFonts w:ascii="Arial" w:cs="Arial" w:eastAsia="Arial" w:hAnsi="Arial"/>
          <w:sz w:val="16"/>
          <w:szCs w:val="16"/>
          <w:color w:val="auto"/>
        </w:rPr>
        <w:t>. As to each product subject to the jurisdiction of the U.S. Food and Drug Administration (“</w:t>
      </w:r>
      <w:r>
        <w:rPr>
          <w:rFonts w:ascii="Arial" w:cs="Arial" w:eastAsia="Arial" w:hAnsi="Arial"/>
          <w:sz w:val="16"/>
          <w:szCs w:val="16"/>
          <w:u w:val="single" w:color="auto"/>
          <w:color w:val="auto"/>
        </w:rPr>
        <w:t>FDA</w:t>
      </w:r>
      <w:r>
        <w:rPr>
          <w:rFonts w:ascii="Arial" w:cs="Arial" w:eastAsia="Arial" w:hAnsi="Arial"/>
          <w:sz w:val="16"/>
          <w:szCs w:val="16"/>
          <w:color w:val="auto"/>
        </w:rPr>
        <w:t>”) under the Federal Food, Drug and Cosmetic Act, as amended, and the regulations thereunder (“</w:t>
      </w:r>
      <w:r>
        <w:rPr>
          <w:rFonts w:ascii="Arial" w:cs="Arial" w:eastAsia="Arial" w:hAnsi="Arial"/>
          <w:sz w:val="16"/>
          <w:szCs w:val="16"/>
          <w:u w:val="single" w:color="auto"/>
          <w:color w:val="auto"/>
        </w:rPr>
        <w:t>FDCA</w:t>
      </w:r>
      <w:r>
        <w:rPr>
          <w:rFonts w:ascii="Arial" w:cs="Arial" w:eastAsia="Arial" w:hAnsi="Arial"/>
          <w:sz w:val="16"/>
          <w:szCs w:val="16"/>
          <w:color w:val="auto"/>
        </w:rPr>
        <w:t>”) that is manufactured, packaged, labeled, tested, distributed, sold, and/or marketed by the Company or any of its Subsidiaries (each such product, a “</w:t>
      </w:r>
      <w:r>
        <w:rPr>
          <w:rFonts w:ascii="Arial" w:cs="Arial" w:eastAsia="Arial" w:hAnsi="Arial"/>
          <w:sz w:val="16"/>
          <w:szCs w:val="16"/>
          <w:u w:val="single" w:color="auto"/>
          <w:color w:val="auto"/>
        </w:rPr>
        <w:t>Pharmaceutical Product</w:t>
      </w:r>
      <w:r>
        <w:rPr>
          <w:rFonts w:ascii="Arial" w:cs="Arial" w:eastAsia="Arial" w:hAnsi="Arial"/>
          <w:sz w:val="16"/>
          <w:szCs w:val="16"/>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16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46" w:name="page47"/>
    <w:bookmarkEnd w:id="46"/>
    <w:p>
      <w:pPr>
        <w:jc w:val="both"/>
        <w:ind w:left="-540" w:firstLine="645"/>
        <w:spacing w:after="0" w:line="273" w:lineRule="auto"/>
        <w:tabs>
          <w:tab w:leader="none" w:pos="373"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Stock Option Plans</w:t>
      </w:r>
      <w:r>
        <w:rPr>
          <w:rFonts w:ascii="Arial" w:cs="Arial" w:eastAsia="Arial" w:hAnsi="Arial"/>
          <w:sz w:val="17"/>
          <w:szCs w:val="17"/>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78" w:lineRule="exact"/>
        <w:rPr>
          <w:rFonts w:ascii="Arial" w:cs="Arial" w:eastAsia="Arial" w:hAnsi="Arial"/>
          <w:sz w:val="17"/>
          <w:szCs w:val="17"/>
          <w:color w:val="auto"/>
        </w:rPr>
      </w:pPr>
    </w:p>
    <w:p>
      <w:pPr>
        <w:jc w:val="both"/>
        <w:ind w:left="-540" w:firstLine="645"/>
        <w:spacing w:after="0" w:line="264" w:lineRule="auto"/>
        <w:tabs>
          <w:tab w:leader="none" w:pos="387"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540" w:right="20" w:firstLine="645"/>
        <w:spacing w:after="0" w:line="308" w:lineRule="auto"/>
        <w:tabs>
          <w:tab w:leader="none" w:pos="453"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U.S. Real Property Holding Corporation</w:t>
      </w:r>
      <w:r>
        <w:rPr>
          <w:rFonts w:ascii="Arial" w:cs="Arial" w:eastAsia="Arial" w:hAnsi="Arial"/>
          <w:sz w:val="17"/>
          <w:szCs w:val="17"/>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46" w:lineRule="exact"/>
        <w:rPr>
          <w:rFonts w:ascii="Arial" w:cs="Arial" w:eastAsia="Arial" w:hAnsi="Arial"/>
          <w:sz w:val="17"/>
          <w:szCs w:val="17"/>
          <w:color w:val="auto"/>
        </w:rPr>
      </w:pPr>
    </w:p>
    <w:p>
      <w:pPr>
        <w:jc w:val="both"/>
        <w:ind w:left="-540" w:right="20" w:firstLine="645"/>
        <w:spacing w:after="0" w:line="273" w:lineRule="auto"/>
        <w:tabs>
          <w:tab w:leader="none" w:pos="373"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Bank Holding Company Act</w:t>
      </w:r>
      <w:r>
        <w:rPr>
          <w:rFonts w:ascii="Arial" w:cs="Arial" w:eastAsia="Arial" w:hAnsi="Arial"/>
          <w:sz w:val="17"/>
          <w:szCs w:val="17"/>
          <w:color w:val="auto"/>
        </w:rPr>
        <w:t>. Neither the Company nor any of its Subsidiaries or Affiliates is subject to the Bank Holding Company Act of 1956, as amended (the “</w:t>
      </w:r>
      <w:r>
        <w:rPr>
          <w:rFonts w:ascii="Arial" w:cs="Arial" w:eastAsia="Arial" w:hAnsi="Arial"/>
          <w:sz w:val="17"/>
          <w:szCs w:val="17"/>
          <w:u w:val="single" w:color="auto"/>
          <w:color w:val="auto"/>
        </w:rPr>
        <w:t>BHCA</w:t>
      </w:r>
      <w:r>
        <w:rPr>
          <w:rFonts w:ascii="Arial" w:cs="Arial" w:eastAsia="Arial" w:hAnsi="Arial"/>
          <w:sz w:val="17"/>
          <w:szCs w:val="17"/>
          <w:color w:val="auto"/>
        </w:rPr>
        <w:t>”) and to regulation by the Board of Governors of the Federal Reserve System (the “</w:t>
      </w:r>
      <w:r>
        <w:rPr>
          <w:rFonts w:ascii="Arial" w:cs="Arial" w:eastAsia="Arial" w:hAnsi="Arial"/>
          <w:sz w:val="17"/>
          <w:szCs w:val="17"/>
          <w:u w:val="single" w:color="auto"/>
          <w:color w:val="auto"/>
        </w:rPr>
        <w:t>Federal Reserve</w:t>
      </w:r>
      <w:r>
        <w:rPr>
          <w:rFonts w:ascii="Arial" w:cs="Arial" w:eastAsia="Arial" w:hAnsi="Arial"/>
          <w:sz w:val="17"/>
          <w:szCs w:val="17"/>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47" w:name="page48"/>
    <w:bookmarkEnd w:id="47"/>
    <w:p>
      <w:pPr>
        <w:jc w:val="both"/>
        <w:ind w:left="660" w:firstLine="645"/>
        <w:spacing w:after="0" w:line="276" w:lineRule="auto"/>
        <w:tabs>
          <w:tab w:leader="none" w:pos="1753"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Money Laundering</w:t>
      </w:r>
      <w:r>
        <w:rPr>
          <w:rFonts w:ascii="Arial" w:cs="Arial" w:eastAsia="Arial" w:hAnsi="Arial"/>
          <w:sz w:val="17"/>
          <w:szCs w:val="17"/>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73"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Representations and Warranties of the Purchasers</w:t>
      </w:r>
      <w:r>
        <w:rPr>
          <w:rFonts w:ascii="Arial" w:cs="Arial" w:eastAsia="Arial" w:hAnsi="Arial"/>
          <w:sz w:val="16"/>
          <w:szCs w:val="16"/>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24" w:lineRule="exact"/>
        <w:rPr>
          <w:sz w:val="20"/>
          <w:szCs w:val="20"/>
          <w:color w:val="auto"/>
        </w:rPr>
      </w:pPr>
    </w:p>
    <w:p>
      <w:pPr>
        <w:jc w:val="both"/>
        <w:ind w:left="380" w:firstLine="925"/>
        <w:spacing w:after="0" w:line="269" w:lineRule="auto"/>
        <w:tabs>
          <w:tab w:leader="none" w:pos="1556"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2" w:lineRule="exact"/>
        <w:rPr>
          <w:rFonts w:ascii="Arial" w:cs="Arial" w:eastAsia="Arial" w:hAnsi="Arial"/>
          <w:sz w:val="17"/>
          <w:szCs w:val="17"/>
          <w:color w:val="auto"/>
        </w:rPr>
      </w:pPr>
    </w:p>
    <w:p>
      <w:pPr>
        <w:jc w:val="both"/>
        <w:ind w:left="380" w:firstLine="654"/>
        <w:spacing w:after="0" w:line="289" w:lineRule="auto"/>
        <w:tabs>
          <w:tab w:leader="none" w:pos="1296"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Understandings or Arrangements</w:t>
      </w:r>
      <w:r>
        <w:rPr>
          <w:rFonts w:ascii="Arial" w:cs="Arial" w:eastAsia="Arial" w:hAnsi="Arial"/>
          <w:sz w:val="16"/>
          <w:szCs w:val="16"/>
          <w:color w:val="auto"/>
        </w:rPr>
        <w:t>. Such Purchaser is acquiring the Shares as principal for its own account and has no direct or indirect arrangement or understandings with any other persons to distribute or regarding the distribution of such Shares (this representation and warranty not limiting such Purchaser’s right to sell the Shares pursuant to the Registration Statement or otherwise in compliance with applicable federal and state securities laws). Such Purchaser is acquiring the Shares hereunder in the ordinary course of its business. Such Purchaser is acquiring such Shares as principal for his, her or its own account and not with a view to or for distributing or reselling such Shares or any part thereof in violation of the Securities Act or any applicable state securities law, has no present intention of distributing any of such Shares in violation of the Securities Act or any applicable state securities law and has no direct or indirect arrangement or understandings with any other persons to distribute or regarding the distribution of such Shares in violation of the Securities Act or any applicable state securities law (this representation and warranty not limiting such Purchaser’s right to sell such Shares pursuant to a registration statement or otherwise in compliance with applicable federal and state securities laws).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8" w:name="page49"/>
    <w:bookmarkEnd w:id="48"/>
    <w:p>
      <w:pPr>
        <w:jc w:val="both"/>
        <w:ind w:firstLine="925"/>
        <w:spacing w:after="0" w:line="264" w:lineRule="auto"/>
        <w:tabs>
          <w:tab w:leader="none" w:pos="117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Purchaser Status</w:t>
      </w:r>
      <w:r>
        <w:rPr>
          <w:rFonts w:ascii="Arial" w:cs="Arial" w:eastAsia="Arial" w:hAnsi="Arial"/>
          <w:sz w:val="18"/>
          <w:szCs w:val="18"/>
          <w:color w:val="auto"/>
        </w:rPr>
        <w:t>. At the time such Purchaser was offered the Shares, it was, and as of the date hereof it is either: (i) an “accredited investor” as defined in Rule 501(a)(1), (a)(2), (a)(3), (a)(7) or (a)(8) under the Securities Act or (ii) a “qualified institutional buyer” as defined in Rule 144A(a) under the Securities Act.</w:t>
      </w:r>
    </w:p>
    <w:p>
      <w:pPr>
        <w:spacing w:after="0" w:line="181" w:lineRule="exact"/>
        <w:rPr>
          <w:rFonts w:ascii="Arial" w:cs="Arial" w:eastAsia="Arial" w:hAnsi="Arial"/>
          <w:sz w:val="18"/>
          <w:szCs w:val="18"/>
          <w:color w:val="auto"/>
        </w:rPr>
      </w:pPr>
    </w:p>
    <w:p>
      <w:pPr>
        <w:jc w:val="both"/>
        <w:ind w:firstLine="925"/>
        <w:spacing w:after="0" w:line="259" w:lineRule="auto"/>
        <w:tabs>
          <w:tab w:leader="none" w:pos="1173"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Such Purchaser is able to bear the economic risk of an investment in the Shares and, at the present time, is able to afford a complete loss of such investment.</w:t>
      </w:r>
    </w:p>
    <w:p>
      <w:pPr>
        <w:spacing w:after="0" w:line="186" w:lineRule="exact"/>
        <w:rPr>
          <w:rFonts w:ascii="Arial" w:cs="Arial" w:eastAsia="Arial" w:hAnsi="Arial"/>
          <w:sz w:val="18"/>
          <w:szCs w:val="18"/>
          <w:color w:val="auto"/>
        </w:rPr>
      </w:pPr>
    </w:p>
    <w:p>
      <w:pPr>
        <w:jc w:val="both"/>
        <w:ind w:firstLine="925"/>
        <w:spacing w:after="0" w:line="287" w:lineRule="auto"/>
        <w:tabs>
          <w:tab w:leader="none" w:pos="1163"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Access to Information</w:t>
      </w:r>
      <w:r>
        <w:rPr>
          <w:rFonts w:ascii="Arial" w:cs="Arial" w:eastAsia="Arial" w:hAnsi="Arial"/>
          <w:sz w:val="16"/>
          <w:szCs w:val="16"/>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Shares nor is such information or advice necessary or desired. Neither the Placement Agent nor any Affiliate has made or makes any representation as to the Company or the quality of the Shares and the Placement Agent and any Affiliate may have acquired non-public information with respect to the Company which such Purchaser agrees need not be provided to it. In connection with the issuance of the Shares to such Purchaser, neither the Placement Agent nor any of its Affiliates has acted as a financial advisor or fiduciary to such Purchaser.</w:t>
      </w:r>
    </w:p>
    <w:p>
      <w:pPr>
        <w:spacing w:after="0" w:line="17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620" w:top="692" w:right="239" w:bottom="1440" w:gutter="0" w:footer="0" w:header="0"/>
        </w:sectPr>
      </w:pPr>
    </w:p>
    <w:bookmarkStart w:id="49" w:name="page50"/>
    <w:bookmarkEnd w:id="49"/>
    <w:p>
      <w:pPr>
        <w:jc w:val="both"/>
        <w:ind w:left="380" w:firstLine="925"/>
        <w:spacing w:after="0" w:line="268" w:lineRule="auto"/>
        <w:tabs>
          <w:tab w:leader="none" w:pos="1537"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Certain Transactions and Confidentiality</w:t>
      </w:r>
      <w:r>
        <w:rPr>
          <w:rFonts w:ascii="Arial" w:cs="Arial" w:eastAsia="Arial" w:hAnsi="Arial"/>
          <w:sz w:val="17"/>
          <w:szCs w:val="17"/>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Shares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8" w:lineRule="exact"/>
        <w:rPr>
          <w:sz w:val="20"/>
          <w:szCs w:val="20"/>
          <w:color w:val="auto"/>
        </w:rPr>
      </w:pPr>
    </w:p>
    <w:p>
      <w:pPr>
        <w:jc w:val="both"/>
        <w:ind w:firstLine="378"/>
        <w:spacing w:after="0" w:line="276" w:lineRule="auto"/>
        <w:rPr>
          <w:sz w:val="20"/>
          <w:szCs w:val="20"/>
          <w:color w:val="auto"/>
        </w:rPr>
      </w:pPr>
      <w:r>
        <w:rPr>
          <w:rFonts w:ascii="Arial" w:cs="Arial" w:eastAsia="Arial" w:hAnsi="Arial"/>
          <w:sz w:val="17"/>
          <w:szCs w:val="17"/>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OTHER AGREEMENTS OF THE PARTIES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Removed.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Furnishing of Information</w:t>
      </w:r>
      <w:r>
        <w:rPr>
          <w:rFonts w:ascii="Arial" w:cs="Arial" w:eastAsia="Arial" w:hAnsi="Arial"/>
          <w:sz w:val="18"/>
          <w:szCs w:val="18"/>
          <w:color w:val="auto"/>
        </w:rPr>
        <w:t>. Until the time that no Purchaser owns Shares,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Integration</w:t>
      </w:r>
      <w:r>
        <w:rPr>
          <w:rFonts w:ascii="Arial" w:cs="Arial" w:eastAsia="Arial" w:hAnsi="Arial"/>
          <w:sz w:val="18"/>
          <w:szCs w:val="18"/>
          <w:color w:val="auto"/>
        </w:rPr>
        <w:t>. The Company shall not sell, offer for sale or solicit offers to buy or otherwise negotiate in respect of any security (as defined in Section 2 of the Securities Act) that would be integrated with the offer or sale of the Shares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0" w:name="page51"/>
    <w:bookmarkEnd w:id="50"/>
    <w:p>
      <w:pPr>
        <w:jc w:val="both"/>
        <w:ind w:firstLine="648"/>
        <w:spacing w:after="0" w:line="267"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Securities Laws Disclosure; Publicity</w:t>
      </w:r>
      <w:r>
        <w:rPr>
          <w:rFonts w:ascii="Arial" w:cs="Arial" w:eastAsia="Arial" w:hAnsi="Arial"/>
          <w:sz w:val="17"/>
          <w:szCs w:val="17"/>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Shareholder Rights Plan</w:t>
      </w:r>
      <w:r>
        <w:rPr>
          <w:rFonts w:ascii="Arial" w:cs="Arial" w:eastAsia="Arial" w:hAnsi="Arial"/>
          <w:sz w:val="18"/>
          <w:szCs w:val="18"/>
          <w:color w:val="auto"/>
        </w:rPr>
        <w:t>. No claim will be made or enforced by the Company or, with the consent of the Company, any other Person, that any Purchaser is an “</w:t>
      </w:r>
      <w:r>
        <w:rPr>
          <w:rFonts w:ascii="Arial" w:cs="Arial" w:eastAsia="Arial" w:hAnsi="Arial"/>
          <w:sz w:val="18"/>
          <w:szCs w:val="18"/>
          <w:u w:val="single" w:color="auto"/>
          <w:color w:val="auto"/>
        </w:rPr>
        <w:t>Acquiring Person</w:t>
      </w:r>
      <w:r>
        <w:rPr>
          <w:rFonts w:ascii="Arial" w:cs="Arial" w:eastAsia="Arial" w:hAnsi="Arial"/>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Shares under the Transaction Documents or under any other agreement between the Company and the Purchasers.</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Non-Public Information</w:t>
      </w:r>
      <w:r>
        <w:rPr>
          <w:rFonts w:ascii="Arial" w:cs="Arial" w:eastAsia="Arial" w:hAnsi="Arial"/>
          <w:sz w:val="17"/>
          <w:szCs w:val="17"/>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 The Company understands and confirms that each Purchaser shall be relying on the foregoing covenant in effecting transactions in securities of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1" w:name="page52"/>
    <w:bookmarkEnd w:id="51"/>
    <w:p>
      <w:pPr>
        <w:jc w:val="both"/>
        <w:ind w:right="20" w:firstLine="648"/>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shall use the net proceeds from the sale of the Shares hereunder for the purposes described in the Prospectus Supplement.</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Indemnification of Purchasers</w:t>
      </w:r>
      <w:r>
        <w:rPr>
          <w:rFonts w:ascii="Arial" w:cs="Arial" w:eastAsia="Arial" w:hAnsi="Arial"/>
          <w:sz w:val="16"/>
          <w:szCs w:val="16"/>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Arial" w:cs="Arial" w:eastAsia="Arial" w:hAnsi="Arial"/>
          <w:sz w:val="16"/>
          <w:szCs w:val="16"/>
          <w:u w:val="single" w:color="auto"/>
          <w:color w:val="auto"/>
        </w:rPr>
        <w:t>Purchaser Party</w:t>
      </w:r>
      <w:r>
        <w:rPr>
          <w:rFonts w:ascii="Arial" w:cs="Arial" w:eastAsia="Arial" w:hAnsi="Arial"/>
          <w:sz w:val="16"/>
          <w:szCs w:val="16"/>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provided that the Indemnified Party executes an undertaking to reimburse amounts paid if indemnification is unavailable hereunder. The indemnity agreements contained herein shall be in addition to any cause of action or similar right of any Purchaser Party against the Company or others and any liabilities the Company may be subject to pursuant to law.</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2" w:name="page53"/>
    <w:bookmarkEnd w:id="52"/>
    <w:p>
      <w:pPr>
        <w:jc w:val="both"/>
        <w:ind w:firstLine="648"/>
        <w:spacing w:after="0" w:line="264"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Reservation of Common Stock</w:t>
      </w:r>
      <w:r>
        <w:rPr>
          <w:rFonts w:ascii="Arial" w:cs="Arial" w:eastAsia="Arial" w:hAnsi="Arial"/>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Listing of Common Stock</w:t>
      </w:r>
      <w:r>
        <w:rPr>
          <w:rFonts w:ascii="Arial" w:cs="Arial" w:eastAsia="Arial" w:hAnsi="Arial"/>
          <w:sz w:val="17"/>
          <w:szCs w:val="17"/>
          <w:color w:val="auto"/>
        </w:rPr>
        <w:t>. The Company hereby agrees to use best efforts to maintain the listing or quotation of the Common Stock on the Trading Market on which it is currently listed, and concurrently with the Closing, the Company shall apply to list or quote all of the Shares on such Trading Market and promptly secure the listing of all of the Shares on such Trading Market. The Company further agrees, if the Company applies to have the Common Stock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Reserved.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Equal Treatment of Purchasers</w:t>
      </w:r>
      <w:r>
        <w:rPr>
          <w:rFonts w:ascii="Arial" w:cs="Arial" w:eastAsia="Arial" w:hAnsi="Arial"/>
          <w:sz w:val="17"/>
          <w:szCs w:val="17"/>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such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spacing w:after="0" w:line="17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Shares covered by this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w:t>
      </w:r>
    </w:p>
    <w:p>
      <w:pPr>
        <w:jc w:val="both"/>
        <w:ind w:right="20"/>
        <w:spacing w:after="0" w:line="205" w:lineRule="auto"/>
        <w:rPr>
          <w:sz w:val="20"/>
          <w:szCs w:val="20"/>
          <w:color w:val="auto"/>
        </w:rPr>
      </w:pPr>
      <w:r>
        <w:rPr>
          <w:rFonts w:ascii="Arial" w:cs="Arial" w:eastAsia="Arial" w:hAnsi="Arial"/>
          <w:sz w:val="18"/>
          <w:szCs w:val="18"/>
          <w:color w:val="auto"/>
        </w:rPr>
        <w:t>on or before the fifth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Trading Day following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termination will affect the right of any party to sue for any breach by any other party (or parties).</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Shares to the Purchasers.</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4" w:name="page55"/>
    <w:bookmarkEnd w:id="54"/>
    <w:p>
      <w:pPr>
        <w:jc w:val="both"/>
        <w:ind w:firstLine="648"/>
        <w:spacing w:after="0" w:line="26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second (2</w:t>
      </w:r>
      <w:r>
        <w:rPr>
          <w:rFonts w:ascii="Arial" w:cs="Arial" w:eastAsia="Arial" w:hAnsi="Arial"/>
          <w:sz w:val="26"/>
          <w:szCs w:val="26"/>
          <w:color w:val="auto"/>
          <w:vertAlign w:val="superscript"/>
        </w:rPr>
        <w:t>nd</w:t>
      </w:r>
      <w:r>
        <w:rPr>
          <w:rFonts w:ascii="Arial" w:cs="Arial" w:eastAsia="Arial" w:hAnsi="Arial"/>
          <w:sz w:val="16"/>
          <w:szCs w:val="16"/>
          <w:color w:val="auto"/>
        </w:rPr>
        <w:t>)Trading Day following the date of mailing, if sent by U.S. nationally recognized overnight courier service or</w:t>
      </w:r>
    </w:p>
    <w:p>
      <w:pPr>
        <w:spacing w:after="0" w:line="2" w:lineRule="exact"/>
        <w:rPr>
          <w:sz w:val="20"/>
          <w:szCs w:val="20"/>
          <w:color w:val="auto"/>
        </w:rPr>
      </w:pPr>
    </w:p>
    <w:p>
      <w:pPr>
        <w:jc w:val="both"/>
        <w:ind w:firstLine="8"/>
        <w:spacing w:after="0" w:line="253" w:lineRule="auto"/>
        <w:tabs>
          <w:tab w:leader="none" w:pos="2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Amendments; Waivers</w:t>
      </w:r>
      <w:r>
        <w:rPr>
          <w:rFonts w:ascii="Arial" w:cs="Arial" w:eastAsia="Arial" w:hAnsi="Arial"/>
          <w:sz w:val="17"/>
          <w:szCs w:val="17"/>
          <w:color w:val="auto"/>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Shares and the Company.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Shares, provided that such transferee agrees in writing to be bound, with respect to the transferred Shares, by the provisions of the Transaction Documents that apply to the “Purchasers.”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The Placement Agent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5" w:name="page56"/>
    <w:bookmarkEnd w:id="55"/>
    <w:p>
      <w:pPr>
        <w:jc w:val="both"/>
        <w:ind w:firstLine="648"/>
        <w:spacing w:after="0" w:line="26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contained herein shall survive the Closing and the delivery of the Shares.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6" w:name="page57"/>
    <w:bookmarkEnd w:id="56"/>
    <w:p>
      <w:pPr>
        <w:jc w:val="both"/>
        <w:ind w:firstLine="648"/>
        <w:spacing w:after="0" w:line="302"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Rescission and Withdrawal Right</w:t>
      </w:r>
      <w:r>
        <w:rPr>
          <w:rFonts w:ascii="Arial" w:cs="Arial" w:eastAsia="Arial" w:hAnsi="Arial"/>
          <w:sz w:val="16"/>
          <w:szCs w:val="16"/>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Replacement of Shares</w:t>
      </w:r>
      <w:r>
        <w:rPr>
          <w:rFonts w:ascii="Arial" w:cs="Arial" w:eastAsia="Arial" w:hAnsi="Arial"/>
          <w:sz w:val="18"/>
          <w:szCs w:val="18"/>
          <w:color w:val="auto"/>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Remedies</w:t>
      </w:r>
      <w:r>
        <w:rPr>
          <w:rFonts w:ascii="Arial" w:cs="Arial" w:eastAsia="Arial" w:hAnsi="Arial"/>
          <w:sz w:val="17"/>
          <w:szCs w:val="17"/>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7" w:name="page58"/>
    <w:bookmarkEnd w:id="57"/>
    <w:p>
      <w:pPr>
        <w:jc w:val="both"/>
        <w:ind w:firstLine="648"/>
        <w:spacing w:after="0" w:line="286"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of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7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5.18 </w:t>
      </w: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5.19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 ANY ACTION, SUIT, OR PROCEEDING IN ANY JURISDICTION BROUGHT BY ANY PARTY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8" w:name="page59"/>
    <w:bookmarkEnd w:id="58"/>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Securities Purchase Agreement to be duly executed by their respective authorized signatories as of the date first indicated above.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MICROBOT MEDICAL INC.</w:t>
            </w:r>
          </w:p>
        </w:tc>
        <w:tc>
          <w:tcPr>
            <w:tcW w:w="22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Address for Notice:</w:t>
            </w:r>
          </w:p>
        </w:tc>
      </w:tr>
      <w:tr>
        <w:trPr>
          <w:trHeight w:val="460"/>
        </w:trPr>
        <w:tc>
          <w:tcPr>
            <w:tcW w:w="5740" w:type="dxa"/>
            <w:vAlign w:val="bottom"/>
            <w:gridSpan w:val="2"/>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Fax:</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E-mail:</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color w:val="auto"/>
              </w:rPr>
              <w:t>With a copy to (which shall not constitute notice):</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8"/>
        </w:trPr>
        <w:tc>
          <w:tcPr>
            <w:tcW w:w="5740" w:type="dxa"/>
            <w:vAlign w:val="bottom"/>
            <w:gridSpan w:val="2"/>
          </w:tcPr>
          <w:p>
            <w:pPr>
              <w:spacing w:after="0"/>
              <w:rPr>
                <w:sz w:val="20"/>
                <w:szCs w:val="20"/>
                <w:color w:val="auto"/>
              </w:rPr>
            </w:pPr>
            <w:r>
              <w:rPr>
                <w:rFonts w:ascii="Arial" w:cs="Arial" w:eastAsia="Arial" w:hAnsi="Arial"/>
                <w:sz w:val="18"/>
                <w:szCs w:val="18"/>
                <w:color w:val="auto"/>
              </w:rPr>
              <w:t>Mintz, Levin, Cohn, Ferris, Glovsky and Popeo, P.C.</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One Financial Center</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Boston, MA 02111</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Attn: Marc D. Mantell, Esq.</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8"/>
        </w:trPr>
        <w:tc>
          <w:tcPr>
            <w:tcW w:w="5740" w:type="dxa"/>
            <w:vAlign w:val="bottom"/>
            <w:gridSpan w:val="2"/>
          </w:tcPr>
          <w:p>
            <w:pPr>
              <w:spacing w:after="0"/>
              <w:rPr>
                <w:sz w:val="20"/>
                <w:szCs w:val="20"/>
                <w:color w:val="auto"/>
              </w:rPr>
            </w:pPr>
            <w:r>
              <w:rPr>
                <w:rFonts w:ascii="Arial" w:cs="Arial" w:eastAsia="Arial" w:hAnsi="Arial"/>
                <w:sz w:val="18"/>
                <w:szCs w:val="18"/>
                <w:color w:val="auto"/>
              </w:rPr>
              <w:t>Ruskin Moscou Faltischek, P.C.</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0"/>
        </w:trPr>
        <w:tc>
          <w:tcPr>
            <w:tcW w:w="5740" w:type="dxa"/>
            <w:vAlign w:val="bottom"/>
            <w:gridSpan w:val="2"/>
          </w:tcPr>
          <w:p>
            <w:pPr>
              <w:spacing w:after="0"/>
              <w:rPr>
                <w:sz w:val="20"/>
                <w:szCs w:val="20"/>
                <w:color w:val="auto"/>
              </w:rPr>
            </w:pPr>
            <w:r>
              <w:rPr>
                <w:rFonts w:ascii="Arial" w:cs="Arial" w:eastAsia="Arial" w:hAnsi="Arial"/>
                <w:sz w:val="18"/>
                <w:szCs w:val="18"/>
                <w:color w:val="auto"/>
              </w:rPr>
              <w:t>1425 RXR Plaza</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3"/>
        </w:trPr>
        <w:tc>
          <w:tcPr>
            <w:tcW w:w="5740" w:type="dxa"/>
            <w:vAlign w:val="bottom"/>
            <w:gridSpan w:val="2"/>
          </w:tcPr>
          <w:p>
            <w:pPr>
              <w:spacing w:after="0" w:line="253" w:lineRule="exact"/>
              <w:rPr>
                <w:sz w:val="20"/>
                <w:szCs w:val="20"/>
                <w:color w:val="auto"/>
              </w:rPr>
            </w:pPr>
            <w:r>
              <w:rPr>
                <w:rFonts w:ascii="Arial" w:cs="Arial" w:eastAsia="Arial" w:hAnsi="Arial"/>
                <w:sz w:val="18"/>
                <w:szCs w:val="18"/>
                <w:color w:val="auto"/>
              </w:rPr>
              <w:t>East Tower,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Uniondale, New York 11556</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Attn: Stephen E. Fox, Esq.</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FOR PURCHASER FOLLOWS]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color w:val="auto"/>
        </w:rPr>
        <w:t>[PURCHASER SIGNATURE PAGES TO MBOT SECURITIES PURCHASE AGREEMENT]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 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Authorized Signatory:_________________________________________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of Authorized Signatory: 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Shares to Purchaser (if not same as address for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DWAC for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EIN Number: ____________________</w:t>
      </w:r>
    </w:p>
    <w:p>
      <w:pPr>
        <w:spacing w:after="0" w:line="225" w:lineRule="exact"/>
        <w:rPr>
          <w:sz w:val="20"/>
          <w:szCs w:val="20"/>
          <w:color w:val="auto"/>
        </w:rPr>
      </w:pPr>
    </w:p>
    <w:p>
      <w:pPr>
        <w:jc w:val="both"/>
        <w:ind w:firstLine="8"/>
        <w:spacing w:after="0" w:line="272" w:lineRule="auto"/>
        <w:tabs>
          <w:tab w:leader="none" w:pos="201" w:val="left"/>
        </w:tabs>
        <w:numPr>
          <w:ilvl w:val="0"/>
          <w:numId w:val="50"/>
        </w:numPr>
        <w:rPr>
          <w:rFonts w:ascii="Arial" w:cs="Arial" w:eastAsia="Arial" w:hAnsi="Arial"/>
          <w:sz w:val="17"/>
          <w:szCs w:val="17"/>
          <w:color w:val="auto"/>
        </w:rPr>
      </w:pPr>
      <w:r>
        <w:rPr>
          <w:rFonts w:ascii="Arial" w:cs="Arial" w:eastAsia="Arial" w:hAnsi="Arial"/>
          <w:sz w:val="17"/>
          <w:szCs w:val="17"/>
          <w:color w:val="auto"/>
        </w:rPr>
        <w:t>] 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by the second (2nd)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0" w:name="page61"/>
    <w:bookmarkEnd w:id="6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24,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STRICTLY CONFIDENTIAL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Microbot Medical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Recreation Park Drive, Unit 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Hingham, MA 02043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Harel Gadot, 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Gadot: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letter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constitutes the agreement between Microbot Medical Inc. (the “</w:t>
      </w:r>
      <w:r>
        <w:rPr>
          <w:rFonts w:ascii="Arial" w:cs="Arial" w:eastAsia="Arial" w:hAnsi="Arial"/>
          <w:sz w:val="17"/>
          <w:szCs w:val="17"/>
          <w:u w:val="single" w:color="auto"/>
          <w:color w:val="auto"/>
        </w:rPr>
        <w:t>Company</w:t>
      </w:r>
      <w:r>
        <w:rPr>
          <w:rFonts w:ascii="Arial" w:cs="Arial" w:eastAsia="Arial" w:hAnsi="Arial"/>
          <w:sz w:val="17"/>
          <w:szCs w:val="17"/>
          <w:color w:val="auto"/>
        </w:rPr>
        <w:t>”) and H.C. Wainwright &amp; Co., LLC (“</w:t>
      </w:r>
      <w:r>
        <w:rPr>
          <w:rFonts w:ascii="Arial" w:cs="Arial" w:eastAsia="Arial" w:hAnsi="Arial"/>
          <w:sz w:val="17"/>
          <w:szCs w:val="17"/>
          <w:u w:val="single" w:color="auto"/>
          <w:color w:val="auto"/>
        </w:rPr>
        <w:t>Wainwright</w:t>
      </w:r>
      <w:r>
        <w:rPr>
          <w:rFonts w:ascii="Arial" w:cs="Arial" w:eastAsia="Arial" w:hAnsi="Arial"/>
          <w:sz w:val="17"/>
          <w:szCs w:val="17"/>
          <w:color w:val="auto"/>
        </w:rPr>
        <w:t>”), that Wainwright shall serve as the exclusive agent, advisor or underwriter in an offering (the “</w:t>
      </w:r>
      <w:r>
        <w:rPr>
          <w:rFonts w:ascii="Arial" w:cs="Arial" w:eastAsia="Arial" w:hAnsi="Arial"/>
          <w:sz w:val="17"/>
          <w:szCs w:val="17"/>
          <w:u w:val="single" w:color="auto"/>
          <w:color w:val="auto"/>
        </w:rPr>
        <w:t>Offering</w:t>
      </w:r>
      <w:r>
        <w:rPr>
          <w:rFonts w:ascii="Arial" w:cs="Arial" w:eastAsia="Arial" w:hAnsi="Arial"/>
          <w:sz w:val="17"/>
          <w:szCs w:val="17"/>
          <w:color w:val="auto"/>
        </w:rPr>
        <w:t>”) of securities of the Company (the “</w:t>
      </w:r>
      <w:r>
        <w:rPr>
          <w:rFonts w:ascii="Arial" w:cs="Arial" w:eastAsia="Arial" w:hAnsi="Arial"/>
          <w:sz w:val="17"/>
          <w:szCs w:val="17"/>
          <w:u w:val="single" w:color="auto"/>
          <w:color w:val="auto"/>
        </w:rPr>
        <w:t>Securities</w:t>
      </w:r>
      <w:r>
        <w:rPr>
          <w:rFonts w:ascii="Arial" w:cs="Arial" w:eastAsia="Arial" w:hAnsi="Arial"/>
          <w:sz w:val="17"/>
          <w:szCs w:val="17"/>
          <w:color w:val="auto"/>
        </w:rPr>
        <w:t>”) during the Term (as hereinafter defined) of this Agreement. The terms of the Offering and the Securities issued in connection therewith shall be mutually agreed upon by the Company and Wainwright and nothing herein implies that Wainwright would have the power or authority to bind the Company and nothing herein implies that the Company shall have an obligation to issue any Securities. It is understood that Wainwright’s assistance in an Offering will be subject to the satisfactory completion of such investigation and inquiry into the affairs of the Company as Wainwright deems appropriate under the circumstances and to the receipt of all internal approvals of Wainwright in connection with the transaction. The Company expressly acknowledges and agrees that Wainwright’s involvement in an Offering is strictly on a reasonable best efforts basis and that the consummation of an Offering will be subject to, among other things, market conditions. The execution of this Agreement does not constitute a commitment by Wainwright to purchase the Securities and does not ensure a successful Offering of the Securities or the success of Wainwright with respect to securing any other financing on behalf of the Company. Wainwright may retain other brokers, dealers, agents or underwriters on its behalf in connection with an Offering comprised of broker-dealers who are members of FINRA.</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Compensation; Reimbursement</w:t>
      </w:r>
      <w:r>
        <w:rPr>
          <w:rFonts w:ascii="Arial" w:cs="Arial" w:eastAsia="Arial" w:hAnsi="Arial"/>
          <w:sz w:val="17"/>
          <w:szCs w:val="17"/>
          <w:color w:val="auto"/>
        </w:rPr>
        <w:t>. At the closing of the Offering (the “</w:t>
      </w:r>
      <w:r>
        <w:rPr>
          <w:rFonts w:ascii="Arial" w:cs="Arial" w:eastAsia="Arial" w:hAnsi="Arial"/>
          <w:sz w:val="17"/>
          <w:szCs w:val="17"/>
          <w:u w:val="single" w:color="auto"/>
          <w:color w:val="auto"/>
        </w:rPr>
        <w:t>Closing</w:t>
      </w:r>
      <w:r>
        <w:rPr>
          <w:rFonts w:ascii="Arial" w:cs="Arial" w:eastAsia="Arial" w:hAnsi="Arial"/>
          <w:sz w:val="17"/>
          <w:szCs w:val="17"/>
          <w:color w:val="auto"/>
        </w:rPr>
        <w:t>”), the Company shall compensate Wainwright as follows:</w:t>
      </w:r>
    </w:p>
    <w:p>
      <w:pPr>
        <w:spacing w:after="0" w:line="237" w:lineRule="exact"/>
        <w:rPr>
          <w:sz w:val="20"/>
          <w:szCs w:val="20"/>
          <w:color w:val="auto"/>
        </w:rPr>
      </w:pPr>
    </w:p>
    <w:p>
      <w:pPr>
        <w:ind w:left="920" w:hanging="264"/>
        <w:spacing w:after="0" w:line="308" w:lineRule="auto"/>
        <w:tabs>
          <w:tab w:leader="none" w:pos="92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Cash Fee</w:t>
      </w:r>
      <w:r>
        <w:rPr>
          <w:rFonts w:ascii="Arial" w:cs="Arial" w:eastAsia="Arial" w:hAnsi="Arial"/>
          <w:sz w:val="17"/>
          <w:szCs w:val="17"/>
          <w:color w:val="auto"/>
        </w:rPr>
        <w:t>. The Company shall pay to Wainwright a cash fee, or as to an underwritten Offering an underwriter discount, equal to 7.0% (or 3.5% in</w:t>
      </w:r>
      <w:r>
        <w:rPr>
          <w:rFonts w:ascii="Arial" w:cs="Arial" w:eastAsia="Arial" w:hAnsi="Arial"/>
          <w:sz w:val="17"/>
          <w:szCs w:val="17"/>
          <w:i w:val="1"/>
          <w:iCs w:val="1"/>
          <w:color w:val="auto"/>
        </w:rPr>
        <w:t xml:space="preserve"> </w:t>
      </w:r>
      <w:r>
        <w:rPr>
          <w:rFonts w:ascii="Arial" w:cs="Arial" w:eastAsia="Arial" w:hAnsi="Arial"/>
          <w:sz w:val="17"/>
          <w:szCs w:val="17"/>
          <w:color w:val="auto"/>
        </w:rPr>
        <w:t>the event of investments from Existing Relationships (as defined below) of the aggregate gross proceeds raised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762635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119380</wp:posOffset>
            </wp:positionV>
            <wp:extent cx="3430270" cy="3517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30270" cy="3517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2" w:name="page63"/>
    <w:bookmarkEnd w:id="62"/>
    <w:p>
      <w:pPr>
        <w:jc w:val="both"/>
        <w:ind w:left="323" w:hanging="323"/>
        <w:spacing w:after="0" w:line="268" w:lineRule="auto"/>
        <w:tabs>
          <w:tab w:leader="none" w:pos="323"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Warrant Coverage</w:t>
      </w:r>
      <w:r>
        <w:rPr>
          <w:rFonts w:ascii="Arial" w:cs="Arial" w:eastAsia="Arial" w:hAnsi="Arial"/>
          <w:sz w:val="17"/>
          <w:szCs w:val="17"/>
          <w:color w:val="auto"/>
        </w:rPr>
        <w:t>. The Company shall issue to Wainwright or its designees at each Closing, warrants (the “</w:t>
      </w:r>
      <w:r>
        <w:rPr>
          <w:rFonts w:ascii="Arial" w:cs="Arial" w:eastAsia="Arial" w:hAnsi="Arial"/>
          <w:sz w:val="17"/>
          <w:szCs w:val="17"/>
          <w:u w:val="single" w:color="auto"/>
          <w:color w:val="auto"/>
        </w:rPr>
        <w:t>Wainwright Warrants</w:t>
      </w:r>
      <w:r>
        <w:rPr>
          <w:rFonts w:ascii="Arial" w:cs="Arial" w:eastAsia="Arial" w:hAnsi="Arial"/>
          <w:sz w:val="17"/>
          <w:szCs w:val="17"/>
          <w:color w:val="auto"/>
        </w:rPr>
        <w:t>”) to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that number of shares of common stock of the Company equal to 5.0% of the aggregate number of shares of common stock placed in each Offering (and if an Offering includes a “greenshoe” or “additional investment” option component, such number of shares of common stock underlying such additional option component, with the Wainwright Warrants issuable upon the exercise of such option). If the Securities included in an Offering are convertible, the Wainwright Warrants shall be determined by dividing the gross proceeds raised in such Offering by the Offering Price (as defined hereunder). The Wainwright Warrants shall have the same terms as the warrants issued to investors in the applicable Offering, except that such Wainwright Warrants shall have an exercise price equal to 125% of the offering price per share (or unit, if applicable) in the applicable Offering and if such offering price is not available, the market price of the common stock on the date an Offering is commenced (such price, the “</w:t>
      </w:r>
      <w:r>
        <w:rPr>
          <w:rFonts w:ascii="Arial" w:cs="Arial" w:eastAsia="Arial" w:hAnsi="Arial"/>
          <w:sz w:val="17"/>
          <w:szCs w:val="17"/>
          <w:u w:val="single" w:color="auto"/>
          <w:color w:val="auto"/>
        </w:rPr>
        <w:t>Offering Price</w:t>
      </w:r>
      <w:r>
        <w:rPr>
          <w:rFonts w:ascii="Arial" w:cs="Arial" w:eastAsia="Arial" w:hAnsi="Arial"/>
          <w:sz w:val="17"/>
          <w:szCs w:val="17"/>
          <w:color w:val="auto"/>
        </w:rPr>
        <w:t>”). If no warrants are issued to investors in an Offering, the Wainwright Warrants shall be in a customary form reasonably acceptable to Wainwright and the Company, be exercisable from the 6-month anniversary of the issuance date for a term of three and one-half (3.5) years and at an exercise price equal to 125% of the Offering Price, shall not have any price-based anti-dilution protection, and neither the Wainwright Warrants or the shares underlying them shall be subject to registration except in the sole discretion of the Company.</w:t>
      </w:r>
    </w:p>
    <w:p>
      <w:pPr>
        <w:spacing w:after="0" w:line="187" w:lineRule="exact"/>
        <w:rPr>
          <w:rFonts w:ascii="Arial" w:cs="Arial" w:eastAsia="Arial" w:hAnsi="Arial"/>
          <w:sz w:val="17"/>
          <w:szCs w:val="17"/>
          <w:color w:val="auto"/>
        </w:rPr>
      </w:pPr>
    </w:p>
    <w:p>
      <w:pPr>
        <w:jc w:val="both"/>
        <w:ind w:left="323" w:hanging="323"/>
        <w:spacing w:after="0" w:line="291" w:lineRule="auto"/>
        <w:tabs>
          <w:tab w:leader="none" w:pos="323"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Expense Allowance</w:t>
      </w:r>
      <w:r>
        <w:rPr>
          <w:rFonts w:ascii="Arial" w:cs="Arial" w:eastAsia="Arial" w:hAnsi="Arial"/>
          <w:sz w:val="16"/>
          <w:szCs w:val="16"/>
          <w:color w:val="auto"/>
        </w:rPr>
        <w:t>. Out of the proceeds of the Closing, the Company also agrees to pay Wainwright (a) a management fee equal to 1.0% of the</w:t>
      </w:r>
      <w:r>
        <w:rPr>
          <w:rFonts w:ascii="Arial" w:cs="Arial" w:eastAsia="Arial" w:hAnsi="Arial"/>
          <w:sz w:val="16"/>
          <w:szCs w:val="16"/>
          <w:i w:val="1"/>
          <w:iCs w:val="1"/>
          <w:color w:val="auto"/>
        </w:rPr>
        <w:t xml:space="preserve"> </w:t>
      </w:r>
      <w:r>
        <w:rPr>
          <w:rFonts w:ascii="Arial" w:cs="Arial" w:eastAsia="Arial" w:hAnsi="Arial"/>
          <w:sz w:val="16"/>
          <w:szCs w:val="16"/>
          <w:color w:val="auto"/>
        </w:rPr>
        <w:t>gross proceeds raised in each Offering; (b) $35,000 for non-accountable expenses;(c) up to $125,000 for fees and expenses of legal counsel; plus the additional reimbursable amount payable by the Company pursuant to Paragraph D.3 hereunder; provided, however, that such reimbursement amount in no way limits or impairs the indemnification and contribution provisions of this Agreement. Upon the execution of this Agreement, the Company shall advance Wainwright the sum of $35,000 against fees and expenses of legal counsel anticipated to be incurred, subject to reimbursement by Wainwright to the Company if not actually incurred, in accordance with FINRA Rule 5110(f)(2)(C) and (f)(2)(D). Such sum shall be credited against the legal fees and expenses incurred by Wainwright in the case of a completed Offering.</w:t>
      </w:r>
    </w:p>
    <w:p>
      <w:pPr>
        <w:spacing w:after="0" w:line="167" w:lineRule="exact"/>
        <w:rPr>
          <w:rFonts w:ascii="Arial" w:cs="Arial" w:eastAsia="Arial" w:hAnsi="Arial"/>
          <w:sz w:val="16"/>
          <w:szCs w:val="16"/>
          <w:color w:val="auto"/>
        </w:rPr>
      </w:pPr>
    </w:p>
    <w:p>
      <w:pPr>
        <w:jc w:val="both"/>
        <w:ind w:left="323" w:hanging="323"/>
        <w:spacing w:after="0" w:line="257" w:lineRule="auto"/>
        <w:tabs>
          <w:tab w:leader="none" w:pos="323"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Tail</w:t>
      </w:r>
      <w:r>
        <w:rPr>
          <w:rFonts w:ascii="Arial" w:cs="Arial" w:eastAsia="Arial" w:hAnsi="Arial"/>
          <w:sz w:val="18"/>
          <w:szCs w:val="18"/>
          <w:color w:val="auto"/>
        </w:rPr>
        <w:t>. Wainwright shall be entitled to compensation under clauses (1) and (2) hereunder, calculated in the manner set forth therein,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any public or private offering or other financing or capital-raising transaction of any kind (“</w:t>
      </w:r>
      <w:r>
        <w:rPr>
          <w:rFonts w:ascii="Arial" w:cs="Arial" w:eastAsia="Arial" w:hAnsi="Arial"/>
          <w:sz w:val="18"/>
          <w:szCs w:val="18"/>
          <w:u w:val="single" w:color="auto"/>
          <w:color w:val="auto"/>
        </w:rPr>
        <w:t>Tail Financing</w:t>
      </w:r>
      <w:r>
        <w:rPr>
          <w:rFonts w:ascii="Arial" w:cs="Arial" w:eastAsia="Arial" w:hAnsi="Arial"/>
          <w:sz w:val="18"/>
          <w:szCs w:val="18"/>
          <w:color w:val="auto"/>
        </w:rPr>
        <w:t>”) to the extent that such financing or capital is provided to the Company by investors whom Wainwright had contacted during the Term or introduced to the Company during the Term (other than Existing Relationships), if such Tail Financing is consummated at any time within the 6-month period following the expiration or termination of this Agreement.</w:t>
      </w:r>
    </w:p>
    <w:p>
      <w:pPr>
        <w:spacing w:after="0" w:line="188" w:lineRule="exact"/>
        <w:rPr>
          <w:rFonts w:ascii="Arial" w:cs="Arial" w:eastAsia="Arial" w:hAnsi="Arial"/>
          <w:sz w:val="18"/>
          <w:szCs w:val="18"/>
          <w:color w:val="auto"/>
        </w:rPr>
      </w:pPr>
    </w:p>
    <w:p>
      <w:pPr>
        <w:jc w:val="both"/>
        <w:ind w:left="323" w:hanging="323"/>
        <w:spacing w:after="0" w:line="271" w:lineRule="auto"/>
        <w:tabs>
          <w:tab w:leader="none" w:pos="323"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Right of First Refusal</w:t>
      </w:r>
      <w:r>
        <w:rPr>
          <w:rFonts w:ascii="Arial" w:cs="Arial" w:eastAsia="Arial" w:hAnsi="Arial"/>
          <w:sz w:val="17"/>
          <w:szCs w:val="17"/>
          <w:color w:val="auto"/>
        </w:rPr>
        <w:t>. If, during the 12-month period following the consummation of the Offering (it being understood that for the purpose of</w:t>
      </w:r>
      <w:r>
        <w:rPr>
          <w:rFonts w:ascii="Arial" w:cs="Arial" w:eastAsia="Arial" w:hAnsi="Arial"/>
          <w:sz w:val="17"/>
          <w:szCs w:val="17"/>
          <w:i w:val="1"/>
          <w:iCs w:val="1"/>
          <w:color w:val="auto"/>
        </w:rPr>
        <w:t xml:space="preserve"> </w:t>
      </w:r>
      <w:r>
        <w:rPr>
          <w:rFonts w:ascii="Arial" w:cs="Arial" w:eastAsia="Arial" w:hAnsi="Arial"/>
          <w:sz w:val="17"/>
          <w:szCs w:val="17"/>
          <w:color w:val="auto"/>
        </w:rPr>
        <w:t>this paragraph the consummation of the Offering shall mean the initial Closing date of the Offering and not any subsequent closing dates for the exercise of Wainwright’s option to purchase additional securities), the Company or any of its subsidiaries decides to raise funds by means of a public offering or a private placement of equity or debt securities using an underwriter or placement agent, Wainwright (or any affiliate designated by Wainwright) shall have the right to act as sole book-running manager, sole underwriter or sole placement agent for such financing. If Wainwright or one of its affiliates decides to accept any such engagement, the agreement governing such engagement will contain, among other things, provisions for customary fees for transactions of similar size and nature and the provisions of this Agreement, including indemnification, which are appropriate to such a transaction.</w:t>
      </w:r>
    </w:p>
    <w:p>
      <w:pPr>
        <w:spacing w:after="0" w:line="179" w:lineRule="exact"/>
        <w:rPr>
          <w:sz w:val="20"/>
          <w:szCs w:val="20"/>
          <w:color w:val="auto"/>
        </w:rPr>
      </w:pPr>
    </w:p>
    <w:p>
      <w:pPr>
        <w:ind w:left="4923"/>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83"/>
          </w:cols>
          <w:pgMar w:left="977" w:top="692" w:right="239" w:bottom="1440" w:gutter="0" w:footer="0" w:header="0"/>
        </w:sectPr>
      </w:pPr>
    </w:p>
    <w:bookmarkStart w:id="63" w:name="page64"/>
    <w:bookmarkEnd w:id="63"/>
    <w:p>
      <w:pPr>
        <w:jc w:val="both"/>
        <w:ind w:firstLine="648"/>
        <w:spacing w:after="0" w:line="285"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Term and Termination of Engagement; Exclusivity</w:t>
      </w:r>
      <w:r>
        <w:rPr>
          <w:rFonts w:ascii="Arial" w:cs="Arial" w:eastAsia="Arial" w:hAnsi="Arial"/>
          <w:sz w:val="16"/>
          <w:szCs w:val="16"/>
          <w:color w:val="auto"/>
        </w:rPr>
        <w:t>. The term of Wainwright’s exclusive engagement will begin on the date hereof and end four (4) months thereafter (the “</w:t>
      </w:r>
      <w:r>
        <w:rPr>
          <w:rFonts w:ascii="Arial" w:cs="Arial" w:eastAsia="Arial" w:hAnsi="Arial"/>
          <w:sz w:val="16"/>
          <w:szCs w:val="16"/>
          <w:u w:val="single" w:color="auto"/>
          <w:color w:val="auto"/>
        </w:rPr>
        <w:t>Term</w:t>
      </w:r>
      <w:r>
        <w:rPr>
          <w:rFonts w:ascii="Arial" w:cs="Arial" w:eastAsia="Arial" w:hAnsi="Arial"/>
          <w:sz w:val="16"/>
          <w:szCs w:val="16"/>
          <w:color w:val="auto"/>
        </w:rPr>
        <w:t>”). Notwithstanding anything to the contrary contained herein, the Company agrees that the provisions relating to the payment of fees, reimbursement of expenses, right of first refusal, tail, indemnification and contribution, confidentiality, conflicts, independent contractor and waiver of the right to trial by jury will survive any termination or expiration of this Agreement in accordance with their respective terms. Notwithstanding anything to the contrary contained herein, the Company has the right to terminate the Agreement for cause in compliance with FINRA Rule 5110(f)(2)(D)(ii). The exercise of such right of termination for cause eliminates the Company’s obligations with respect to the provisions relating to the tail fees and right of first refusal. During Wainwright’s engagement hereunder: (i) the Company will not, and will not permit its representatives to, other than in coordination with Wainwright or with respect to the potential investors set forth on Schedule A hereto, which potential investors have a pre-existing substantive relationship with the Company (the “</w:t>
      </w:r>
      <w:r>
        <w:rPr>
          <w:rFonts w:ascii="Arial" w:cs="Arial" w:eastAsia="Arial" w:hAnsi="Arial"/>
          <w:sz w:val="16"/>
          <w:szCs w:val="16"/>
          <w:u w:val="single" w:color="auto"/>
          <w:color w:val="auto"/>
        </w:rPr>
        <w:t>Existing Relationships</w:t>
      </w:r>
      <w:r>
        <w:rPr>
          <w:rFonts w:ascii="Arial" w:cs="Arial" w:eastAsia="Arial" w:hAnsi="Arial"/>
          <w:sz w:val="16"/>
          <w:szCs w:val="16"/>
          <w:color w:val="auto"/>
        </w:rPr>
        <w:t>”), contact or solicit institutions, corporations or other entities or individuals as potential purchasers of the Securities and (ii) the Company will not pursue any financing transaction which would be in lieu of an Offering. Furthermore, the Company agrees that during Wainwright’s engagement hereunder, all inquiries, whether direct or indirect, from prospective investors will be referred to Wainwright and will be deemed to have been contacted by Wainwright in connection with an Offering; provided that investments in the Offering by any of the Existing Relationships shall be subject to a reduced cash fee pursuant to Paragraph A.1. above. Additionally, except as set forth hereunder, the Company represents, warrants and covenants that no brokerage or finder’s fees or commissions are or will be payable by the Company or any subsidiary of the Company to any broker, financial advisor or consultant, finder, placement agent, investment banker, bank or other third-party with respect to any Offering.</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Information; Reliance</w:t>
      </w:r>
      <w:r>
        <w:rPr>
          <w:rFonts w:ascii="Arial" w:cs="Arial" w:eastAsia="Arial" w:hAnsi="Arial"/>
          <w:sz w:val="17"/>
          <w:szCs w:val="17"/>
          <w:color w:val="auto"/>
        </w:rPr>
        <w:t>. The Company shall furnish, or cause to be furnished, to Wainwright all information requested by Wainwright for the purpose of rendering services hereunder and conducting due diligence (all such information being the “</w:t>
      </w:r>
      <w:r>
        <w:rPr>
          <w:rFonts w:ascii="Arial" w:cs="Arial" w:eastAsia="Arial" w:hAnsi="Arial"/>
          <w:sz w:val="17"/>
          <w:szCs w:val="17"/>
          <w:u w:val="single" w:color="auto"/>
          <w:color w:val="auto"/>
        </w:rPr>
        <w:t>Information</w:t>
      </w:r>
      <w:r>
        <w:rPr>
          <w:rFonts w:ascii="Arial" w:cs="Arial" w:eastAsia="Arial" w:hAnsi="Arial"/>
          <w:sz w:val="17"/>
          <w:szCs w:val="17"/>
          <w:color w:val="auto"/>
        </w:rPr>
        <w:t>”). In addition, the Company agrees to make available to Wainwright upon request from time to time the officers, directors, accountants, counsel and other advisors of the Company. The Company recognizes and confirms that Wainwright (a) will use and rely on the Information, including any documents provided to investors in the Offering (the “</w:t>
      </w:r>
      <w:r>
        <w:rPr>
          <w:rFonts w:ascii="Arial" w:cs="Arial" w:eastAsia="Arial" w:hAnsi="Arial"/>
          <w:sz w:val="17"/>
          <w:szCs w:val="17"/>
          <w:u w:val="single" w:color="auto"/>
          <w:color w:val="auto"/>
        </w:rPr>
        <w:t>Offering Documents</w:t>
      </w:r>
      <w:r>
        <w:rPr>
          <w:rFonts w:ascii="Arial" w:cs="Arial" w:eastAsia="Arial" w:hAnsi="Arial"/>
          <w:sz w:val="17"/>
          <w:szCs w:val="17"/>
          <w:color w:val="auto"/>
        </w:rPr>
        <w:t>”) which shall include any Purchase Agreement (as defined hereunder), and on information available from generally recognized public sources in performing the services contemplated by this Agreement without having independently verified the same; (b) does not assume responsibility for the accuracy or completeness of the Offering Documents or the Information and such other information; and (c) will not make an appraisal of any of the assets or liabilities of the Company. Upon reasonable request, the Company will meet with Wainwright or its representatives to discuss all information relevant for disclosure in the Offering Documents and will cooperate in any investigation undertaken by Wainwright thereof, including any document included or incorporated by reference therein. For the Offering, at the request of Wainwright, the Company shall deliver such legal letters (including, without limitation, negative assurance letters), opinions, comfort letters, officers’ and secretary certificates and good standing certificates, all in form and substance satisfactory to Wainwright and its counsel as is customary for such Offering. Wainwright shall be a third party beneficiary of any representations, warranties, covenants and closing conditions made by the Company in any Offering Documents, including representations, warranties, covenants and closing conditions made to any investor in an Offering.</w:t>
      </w:r>
    </w:p>
    <w:p>
      <w:pPr>
        <w:spacing w:after="0" w:line="18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64" w:name="page65"/>
    <w:bookmarkEnd w:id="64"/>
    <w:p>
      <w:pPr>
        <w:ind w:left="10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Related Agreements</w:t>
      </w:r>
      <w:r>
        <w:rPr>
          <w:rFonts w:ascii="Arial" w:cs="Arial" w:eastAsia="Arial" w:hAnsi="Arial"/>
          <w:sz w:val="18"/>
          <w:szCs w:val="18"/>
          <w:color w:val="auto"/>
        </w:rPr>
        <w:t>. For the Offering, the Company shall enter into the following additional agreements:</w:t>
      </w:r>
    </w:p>
    <w:p>
      <w:pPr>
        <w:spacing w:after="0" w:line="225" w:lineRule="exact"/>
        <w:rPr>
          <w:sz w:val="20"/>
          <w:szCs w:val="20"/>
          <w:color w:val="auto"/>
        </w:rPr>
      </w:pPr>
    </w:p>
    <w:p>
      <w:pPr>
        <w:ind w:left="680" w:hanging="251"/>
        <w:spacing w:after="0" w:line="277" w:lineRule="auto"/>
        <w:tabs>
          <w:tab w:leader="none" w:pos="680" w:val="left"/>
        </w:tabs>
        <w:numPr>
          <w:ilvl w:val="1"/>
          <w:numId w:val="53"/>
        </w:numPr>
        <w:rPr>
          <w:rFonts w:ascii="Arial" w:cs="Arial" w:eastAsia="Arial" w:hAnsi="Arial"/>
          <w:sz w:val="18"/>
          <w:szCs w:val="18"/>
          <w:color w:val="auto"/>
        </w:rPr>
      </w:pPr>
      <w:r>
        <w:rPr>
          <w:rFonts w:ascii="Arial" w:cs="Arial" w:eastAsia="Arial" w:hAnsi="Arial"/>
          <w:sz w:val="18"/>
          <w:szCs w:val="18"/>
          <w:i w:val="1"/>
          <w:iCs w:val="1"/>
          <w:color w:val="auto"/>
        </w:rPr>
        <w:t>Underwritten Offering</w:t>
      </w:r>
      <w:r>
        <w:rPr>
          <w:rFonts w:ascii="Arial" w:cs="Arial" w:eastAsia="Arial" w:hAnsi="Arial"/>
          <w:sz w:val="18"/>
          <w:szCs w:val="18"/>
          <w:color w:val="auto"/>
        </w:rPr>
        <w:t>. If an Offering is an underwritten Offering, the Company and Wainwright shall enter into a customary</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underwriting agreement in form and substance satisfactory to Wainwright and its counsel.</w:t>
      </w:r>
    </w:p>
    <w:p>
      <w:pPr>
        <w:spacing w:after="0" w:line="170" w:lineRule="exact"/>
        <w:rPr>
          <w:rFonts w:ascii="Arial" w:cs="Arial" w:eastAsia="Arial" w:hAnsi="Arial"/>
          <w:sz w:val="18"/>
          <w:szCs w:val="18"/>
          <w:color w:val="auto"/>
        </w:rPr>
      </w:pPr>
    </w:p>
    <w:p>
      <w:pPr>
        <w:jc w:val="both"/>
        <w:ind w:left="680" w:hanging="251"/>
        <w:spacing w:after="0" w:line="276" w:lineRule="auto"/>
        <w:tabs>
          <w:tab w:leader="none" w:pos="680" w:val="left"/>
        </w:tabs>
        <w:numPr>
          <w:ilvl w:val="1"/>
          <w:numId w:val="53"/>
        </w:numPr>
        <w:rPr>
          <w:rFonts w:ascii="Arial" w:cs="Arial" w:eastAsia="Arial" w:hAnsi="Arial"/>
          <w:sz w:val="17"/>
          <w:szCs w:val="17"/>
          <w:color w:val="auto"/>
        </w:rPr>
      </w:pPr>
      <w:r>
        <w:rPr>
          <w:rFonts w:ascii="Arial" w:cs="Arial" w:eastAsia="Arial" w:hAnsi="Arial"/>
          <w:sz w:val="17"/>
          <w:szCs w:val="17"/>
          <w:i w:val="1"/>
          <w:iCs w:val="1"/>
          <w:color w:val="auto"/>
        </w:rPr>
        <w:t>Best Efforts Offering</w:t>
      </w:r>
      <w:r>
        <w:rPr>
          <w:rFonts w:ascii="Arial" w:cs="Arial" w:eastAsia="Arial" w:hAnsi="Arial"/>
          <w:sz w:val="17"/>
          <w:szCs w:val="17"/>
          <w:color w:val="auto"/>
        </w:rPr>
        <w:t>. If an Offering is on a best efforts basis, the sale of Securities to the investors in the Offering will be evidenced</w:t>
      </w:r>
      <w:r>
        <w:rPr>
          <w:rFonts w:ascii="Arial" w:cs="Arial" w:eastAsia="Arial" w:hAnsi="Arial"/>
          <w:sz w:val="17"/>
          <w:szCs w:val="17"/>
          <w:i w:val="1"/>
          <w:iCs w:val="1"/>
          <w:color w:val="auto"/>
        </w:rPr>
        <w:t xml:space="preserve"> </w:t>
      </w:r>
      <w:r>
        <w:rPr>
          <w:rFonts w:ascii="Arial" w:cs="Arial" w:eastAsia="Arial" w:hAnsi="Arial"/>
          <w:sz w:val="17"/>
          <w:szCs w:val="17"/>
          <w:color w:val="auto"/>
        </w:rPr>
        <w:t>by a purchase agreement (“</w:t>
      </w:r>
      <w:r>
        <w:rPr>
          <w:rFonts w:ascii="Arial" w:cs="Arial" w:eastAsia="Arial" w:hAnsi="Arial"/>
          <w:sz w:val="17"/>
          <w:szCs w:val="17"/>
          <w:u w:val="single" w:color="auto"/>
          <w:color w:val="auto"/>
        </w:rPr>
        <w:t>Purchase Agreement</w:t>
      </w:r>
      <w:r>
        <w:rPr>
          <w:rFonts w:ascii="Arial" w:cs="Arial" w:eastAsia="Arial" w:hAnsi="Arial"/>
          <w:sz w:val="17"/>
          <w:szCs w:val="17"/>
          <w:color w:val="auto"/>
        </w:rPr>
        <w:t>”) between the Company and such investors in a form reasonably satisfactory to the Company and Wainwright. Wainwright shall be a third party beneficiary with respect to the representations and warranties included in the Purchase Agreement. Prior to the signing of any Purchase Agreement, officers of the Company with responsibility for financial affairs will be available to answer inquiries from prospective investors.</w:t>
      </w:r>
    </w:p>
    <w:p>
      <w:pPr>
        <w:spacing w:after="0" w:line="172" w:lineRule="exact"/>
        <w:rPr>
          <w:rFonts w:ascii="Arial" w:cs="Arial" w:eastAsia="Arial" w:hAnsi="Arial"/>
          <w:sz w:val="17"/>
          <w:szCs w:val="17"/>
          <w:color w:val="auto"/>
        </w:rPr>
      </w:pPr>
    </w:p>
    <w:p>
      <w:pPr>
        <w:jc w:val="both"/>
        <w:ind w:left="680" w:hanging="251"/>
        <w:spacing w:after="0" w:line="255" w:lineRule="auto"/>
        <w:tabs>
          <w:tab w:leader="none" w:pos="680" w:val="left"/>
        </w:tabs>
        <w:numPr>
          <w:ilvl w:val="1"/>
          <w:numId w:val="53"/>
        </w:numPr>
        <w:rPr>
          <w:rFonts w:ascii="Arial" w:cs="Arial" w:eastAsia="Arial" w:hAnsi="Arial"/>
          <w:sz w:val="18"/>
          <w:szCs w:val="18"/>
          <w:color w:val="auto"/>
        </w:rPr>
      </w:pPr>
      <w:r>
        <w:rPr>
          <w:rFonts w:ascii="Arial" w:cs="Arial" w:eastAsia="Arial" w:hAnsi="Arial"/>
          <w:sz w:val="18"/>
          <w:szCs w:val="18"/>
          <w:i w:val="1"/>
          <w:iCs w:val="1"/>
          <w:color w:val="auto"/>
        </w:rPr>
        <w:t>Escrow and Settlement</w:t>
      </w:r>
      <w:r>
        <w:rPr>
          <w:rFonts w:ascii="Arial" w:cs="Arial" w:eastAsia="Arial" w:hAnsi="Arial"/>
          <w:sz w:val="18"/>
          <w:szCs w:val="18"/>
          <w:color w:val="auto"/>
        </w:rPr>
        <w:t>. In respect of the Offering, the Company and Wainwright shall enter into an escrow agreement with a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party escrow agent, which may also be Wainwright’s clearing agent, pursuant to which Wainwright’s compensation and expenses shall be paid from the gross proceeds of the Securities sold. If the Offering is settled in whole or in part via delivery versus payment, Wainwright shall arrange for its clearing agent to provide the funds to facilitate such settlement. The Company shall bear the cost of the escrow agent and shall reimburse Wainwright for the actual out-of-pocket cost of such clearing agent settlement and financing, if any, which cost shall not exceed $10,000.</w:t>
      </w:r>
    </w:p>
    <w:p>
      <w:pPr>
        <w:spacing w:after="0" w:line="193" w:lineRule="exact"/>
        <w:rPr>
          <w:rFonts w:ascii="Arial" w:cs="Arial" w:eastAsia="Arial" w:hAnsi="Arial"/>
          <w:sz w:val="18"/>
          <w:szCs w:val="18"/>
          <w:color w:val="auto"/>
        </w:rPr>
      </w:pPr>
    </w:p>
    <w:p>
      <w:pPr>
        <w:jc w:val="both"/>
        <w:ind w:left="680" w:hanging="251"/>
        <w:spacing w:after="0" w:line="257" w:lineRule="auto"/>
        <w:tabs>
          <w:tab w:leader="none" w:pos="680" w:val="left"/>
        </w:tabs>
        <w:numPr>
          <w:ilvl w:val="1"/>
          <w:numId w:val="53"/>
        </w:numPr>
        <w:rPr>
          <w:rFonts w:ascii="Arial" w:cs="Arial" w:eastAsia="Arial" w:hAnsi="Arial"/>
          <w:sz w:val="18"/>
          <w:szCs w:val="18"/>
          <w:color w:val="auto"/>
        </w:rPr>
      </w:pPr>
      <w:r>
        <w:rPr>
          <w:rFonts w:ascii="Arial" w:cs="Arial" w:eastAsia="Arial" w:hAnsi="Arial"/>
          <w:sz w:val="18"/>
          <w:szCs w:val="18"/>
          <w:i w:val="1"/>
          <w:iCs w:val="1"/>
          <w:color w:val="auto"/>
        </w:rPr>
        <w:t>FINRA Amendments</w:t>
      </w:r>
      <w:r>
        <w:rPr>
          <w:rFonts w:ascii="Arial" w:cs="Arial" w:eastAsia="Arial" w:hAnsi="Arial"/>
          <w:sz w:val="18"/>
          <w:szCs w:val="18"/>
          <w:color w:val="auto"/>
        </w:rPr>
        <w:t>. Notwithstanding anything herein to the contrary, in the event that Wainwright determines that any of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for hereunder shall not comply with a FINRA rule, including but not limited to FINRA Rule 5110, then the Company shall agree to amend this Agreement (or include such revisions in the final underwriting agreement) in writing upon the request of Wainwright to comply with any such rules; provided that any such amendments shall not provide for terms that are less favorable to the Company than are reflected in this Agreement.</w:t>
      </w:r>
    </w:p>
    <w:p>
      <w:pPr>
        <w:spacing w:after="0" w:line="188" w:lineRule="exact"/>
        <w:rPr>
          <w:rFonts w:ascii="Arial" w:cs="Arial" w:eastAsia="Arial" w:hAnsi="Arial"/>
          <w:sz w:val="18"/>
          <w:szCs w:val="18"/>
          <w:color w:val="auto"/>
        </w:rPr>
      </w:pPr>
    </w:p>
    <w:p>
      <w:pPr>
        <w:jc w:val="both"/>
        <w:ind w:left="-540" w:firstLine="645"/>
        <w:spacing w:after="0" w:line="264" w:lineRule="auto"/>
        <w:tabs>
          <w:tab w:leader="none" w:pos="308"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In the event of the consummation or public announcement of any Offering, Wainwright shall have the right to disclose its participation in such Offering, including, without limitation, the Offering at its cost of “tombstone” advertisements in financial and other newspapers and journals.</w:t>
      </w:r>
    </w:p>
    <w:p>
      <w:pPr>
        <w:spacing w:after="0" w:line="18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65" w:name="page66"/>
    <w:bookmarkEnd w:id="65"/>
    <w:p>
      <w:pPr>
        <w:ind w:left="280" w:hanging="175"/>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80" w:hanging="251"/>
        <w:spacing w:after="0" w:line="268" w:lineRule="auto"/>
        <w:tabs>
          <w:tab w:leader="none" w:pos="680" w:val="left"/>
        </w:tabs>
        <w:numPr>
          <w:ilvl w:val="1"/>
          <w:numId w:val="55"/>
        </w:numPr>
        <w:rPr>
          <w:rFonts w:ascii="Arial" w:cs="Arial" w:eastAsia="Arial" w:hAnsi="Arial"/>
          <w:sz w:val="17"/>
          <w:szCs w:val="17"/>
          <w:color w:val="auto"/>
        </w:rPr>
      </w:pPr>
      <w:r>
        <w:rPr>
          <w:rFonts w:ascii="Arial" w:cs="Arial" w:eastAsia="Arial" w:hAnsi="Arial"/>
          <w:sz w:val="17"/>
          <w:szCs w:val="17"/>
          <w:color w:val="auto"/>
        </w:rPr>
        <w:t>In connection with the Company’s engagement of Wainwright hereunder, the Company hereby agrees to indemnify and hold harmless Wainwright and its affiliates, and the respective controlling persons, directors, officers, members, shareholders, agents and employees of any of the foregoing (collectively the “</w:t>
      </w:r>
      <w:r>
        <w:rPr>
          <w:rFonts w:ascii="Arial" w:cs="Arial" w:eastAsia="Arial" w:hAnsi="Arial"/>
          <w:sz w:val="17"/>
          <w:szCs w:val="17"/>
          <w:u w:val="single" w:color="auto"/>
          <w:color w:val="auto"/>
        </w:rPr>
        <w:t>Indemnified Persons</w:t>
      </w:r>
      <w:r>
        <w:rPr>
          <w:rFonts w:ascii="Arial" w:cs="Arial" w:eastAsia="Arial" w:hAnsi="Arial"/>
          <w:sz w:val="17"/>
          <w:szCs w:val="17"/>
          <w:color w:val="auto"/>
        </w:rPr>
        <w:t>”), from and against any and all claims, actions, suits, proceedings (including those of shareholders), damages, liabilities and expenses incurred by any of them (including the reasonable fees and expenses of counsel), as incurred, whether or not the Company is a party thereto (collectively a “</w:t>
      </w:r>
      <w:r>
        <w:rPr>
          <w:rFonts w:ascii="Arial" w:cs="Arial" w:eastAsia="Arial" w:hAnsi="Arial"/>
          <w:sz w:val="17"/>
          <w:szCs w:val="17"/>
          <w:u w:val="single" w:color="auto"/>
          <w:color w:val="auto"/>
        </w:rPr>
        <w:t>Claim</w:t>
      </w:r>
      <w:r>
        <w:rPr>
          <w:rFonts w:ascii="Arial" w:cs="Arial" w:eastAsia="Arial" w:hAnsi="Arial"/>
          <w:sz w:val="17"/>
          <w:szCs w:val="17"/>
          <w:color w:val="auto"/>
        </w:rPr>
        <w:t>”), that are (A) related to or arise out of (i) any actions taken or omitted to be taken (including any untrue statements made or any statements omitted to be made) by the Company, or (ii) any actions taken or omitted to be taken by any Indemnified Person in connection with the Company’s engagement of Wainwright, or (B) otherwise relate to or arise out of Wainwright’s activities on the Company’s behalf under Wainwright’s engagement, and the Company shall reimburse any Indemnified Person for all expenses (including the reasonable fees and expenses of counsel) as incurred by such Indemnified Person in connection with investigating, preparing or defending any such claim, action, suit or proceeding, whether or not in connection with pending or threatened litigation in which any Indemnified Person is a party. The Company will not, however, be responsible for any Claim that is finally judicially determined to have resulted from the fraud, gross negligence or willful misconduct of any person seeking indemnification for such Claim. The Company further agrees that no Indemnified Person shall have any liability to the Company for or in connection with the Company’s engagement of Wainwright except for any Claim incurred by the Company as a result of such Indemnified Person’s fraud, gross negligence or willful misconduct.</w:t>
      </w:r>
    </w:p>
    <w:p>
      <w:pPr>
        <w:spacing w:after="0" w:line="180" w:lineRule="exact"/>
        <w:rPr>
          <w:rFonts w:ascii="Arial" w:cs="Arial" w:eastAsia="Arial" w:hAnsi="Arial"/>
          <w:sz w:val="17"/>
          <w:szCs w:val="17"/>
          <w:color w:val="auto"/>
        </w:rPr>
      </w:pPr>
    </w:p>
    <w:p>
      <w:pPr>
        <w:jc w:val="both"/>
        <w:ind w:left="680" w:hanging="251"/>
        <w:spacing w:after="0" w:line="302" w:lineRule="auto"/>
        <w:tabs>
          <w:tab w:leader="none" w:pos="6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Company further agrees that it will not, without the prior written consent of Wainwright, settle, compromise or consent to the entry of any judgment in any pending or threatened Claim in respect of which indemnification may be sought hereunder (whether or not any Indemnified Person is an actual or potential party to such Claim), unless such settlement, compromise or consent includes an unconditional, irrevocable release of each Indemnified Person from any and all liability arising out of such Claim.</w:t>
      </w:r>
    </w:p>
    <w:p>
      <w:pPr>
        <w:spacing w:after="0" w:line="15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66" w:name="page67"/>
    <w:bookmarkEnd w:id="66"/>
    <w:p>
      <w:pPr>
        <w:jc w:val="both"/>
        <w:ind w:left="680" w:hanging="251"/>
        <w:spacing w:after="0" w:line="284" w:lineRule="auto"/>
        <w:tabs>
          <w:tab w:leader="none" w:pos="6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Promptly upon receipt by an Indemnified Person of notice of any complaint or the assertion or institution of any Claim with respect to which indemnification is being sought hereunder, such Indemnified Person shall notify the Company in writing of such complaint or of such assertion or institution but failure to so notify the Company shall not relieve the Company from any obligation it may have hereunder, except and only to the extent such failure results in the forfeiture by the Company of substantial rights and defenses. If the Company is requested by such Indemnified Person, the Company will assume the defense of such Claim, including the employment of counsel for such Indemnified Person and the payment of the fees and expenses of such counsel, provided, however, that such counsel shall be satisfactory to the Indemnified Person and provided further that if the legal counsel to such Indemnified Person reasonably determines that the use of counsel chosen by the Company to represent the Indemnified Person would present such counsel with a conflict of interest or if the defendant in, or target of, any such Claim, includes an Indemnified Person and the Company, and legal counsel to such Indemnified Person reasonably concludes that there may be legal defenses available to it or other Indemnified Persons different from or in addition to those available to the Company, such Indemnified Person will employ its own separate counsel (including local counsel, if necessary) to represent or defend him, her or it in any such Claim and the Company shall pay the reasonable fees and expenses of such counsel. If such Indemnified Person does not request that the Company assume the defense of such Claim, such Indemnified Person will employ its own separate counsel (including local counsel, if necessary) to represent or defend him, her or it in any such Claim and the Company shall pay the reasonable fees and expenses of such counsel. Notwithstanding anything herein to the contrary, if the Company fails timely or diligently to defend, contest, or otherwise protect against any Claim, the relevant Indemnified Person shall have the right, but not the obligation, to defend, contest, compromise, settle, assert crossclaims, or counterclaims or otherwise protect against the same, and shall be fully indemnified by the Company therefor, including without limitation, for the reasonable fees and expenses of its counsel and all amounts paid as a result of such Claim or the compromise or settlement thereof. In addition, with respect to any Claim in which the Company assumes the defense, the Indemnified Person shall have the right to participate in such Claim and to retain his, her or its own counsel therefor at his, her or its own expense.</w:t>
      </w:r>
    </w:p>
    <w:p>
      <w:pPr>
        <w:spacing w:after="0" w:line="397" w:lineRule="exact"/>
        <w:rPr>
          <w:rFonts w:ascii="Arial" w:cs="Arial" w:eastAsia="Arial" w:hAnsi="Arial"/>
          <w:sz w:val="16"/>
          <w:szCs w:val="16"/>
          <w:color w:val="auto"/>
        </w:rPr>
      </w:pPr>
    </w:p>
    <w:p>
      <w:pPr>
        <w:jc w:val="both"/>
        <w:ind w:left="680" w:hanging="251"/>
        <w:spacing w:after="0" w:line="270" w:lineRule="auto"/>
        <w:tabs>
          <w:tab w:leader="none" w:pos="6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Company agrees that if any indemnity that may be sought by an Indemnified Person hereunder is held by a court to be unavailable for any reason then (whether or not Wainwright is the Indemnified Person), the Company and Wainwright shall contribute to the Claim for which such indemnity is held unavailable in such proportion as is appropriate to reflect the relative benefits to the Company, on the one hand, and Wainwright on the other, in connection with Wainwright’s engagement referred to above, subject to the limitation that in no event shall the amount of Wainwright’s contribution to such Claim exceed the amount of fees actually received by Wainwright from the Company pursuant to Wainwright’s engagement. The Company hereby agrees that the relative benefits to the Company, on the one hand, and Wainwright on the other, with respect to Wainwright’s engagement shall be deemed to be in the same proportion as (a) the total value paid or proposed to be paid or received by the Company pursuant to the applicable Offering (whether or not consummated) for which Wainwright is engaged to render services bears to (b) the fee paid or proposed to be paid to Wainwright in connection with such engagement.</w:t>
      </w:r>
    </w:p>
    <w:p>
      <w:pPr>
        <w:spacing w:after="0" w:line="177" w:lineRule="exact"/>
        <w:rPr>
          <w:rFonts w:ascii="Arial" w:cs="Arial" w:eastAsia="Arial" w:hAnsi="Arial"/>
          <w:sz w:val="17"/>
          <w:szCs w:val="17"/>
          <w:color w:val="auto"/>
        </w:rPr>
      </w:pPr>
    </w:p>
    <w:p>
      <w:pPr>
        <w:jc w:val="both"/>
        <w:ind w:left="680" w:hanging="251"/>
        <w:spacing w:after="0" w:line="264" w:lineRule="auto"/>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Company’s indemnity, reimbursement and contribution obligations under this Agreement (a) shall be in addition to, and shall in no way limit or otherwise adversely affect any rights that any Indemnified Person may have at law or at equity and (b) shall be effective whether or not the Company is at fault in any way.</w:t>
      </w:r>
    </w:p>
    <w:p>
      <w:pPr>
        <w:spacing w:after="0" w:line="18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67" w:name="page68"/>
    <w:bookmarkEnd w:id="67"/>
    <w:p>
      <w:pPr>
        <w:jc w:val="both"/>
        <w:ind w:firstLine="648"/>
        <w:spacing w:after="0" w:line="287"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u w:val="single" w:color="auto"/>
          <w:color w:val="auto"/>
        </w:rPr>
        <w:t>Limitation of Engagement to the Company</w:t>
      </w:r>
      <w:r>
        <w:rPr>
          <w:rFonts w:ascii="Arial" w:cs="Arial" w:eastAsia="Arial" w:hAnsi="Arial"/>
          <w:sz w:val="16"/>
          <w:szCs w:val="16"/>
          <w:color w:val="auto"/>
        </w:rPr>
        <w:t>. The Company acknowledges that Wainwright has been retained only by the Company, that Wainwright is providing services hereunder as an independent contractor (and not in any fiduciary or agency capacity) and that the Company’s engagement of Wainwright is not deemed to be on behalf of, and is not intended to confer rights upon, any shareholder, owner or partner of the Company or any other person not a party hereto as against Wainwright or any of its affiliates, or any of its or their respective officers, directors, controlling persons (within the meaning of Section 15 of the Securities Act or Section 20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employees or agents. Unless otherwise expressly agreed in writing by Wainwright, no one other than the Company is authorized to rely upon this Agreement or any other statements or conduct of Wainwright, and no one other than the Company is intended to be a beneficiary of this Agreement. The Company acknowledges that any recommendation or advice, written or oral, given by Wainwright to the Company in connection with Wainwright’s engagement is intended solely for the benefit and use of the Company’s management and directors in considering a possible Offering, and any such recommendation or advice is not on behalf of, and shall not confer any rights or remedies upon, any other person or be used or relied upon for any other purpose. Wainwright shall not have the authority to make any commitment binding on the Company. The Company, in its sole discretion, shall have the right to reject any investor introduced to it by Wainwright.</w:t>
      </w:r>
    </w:p>
    <w:p>
      <w:pPr>
        <w:spacing w:after="0" w:line="16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H. </w:t>
      </w:r>
      <w:r>
        <w:rPr>
          <w:rFonts w:ascii="Arial" w:cs="Arial" w:eastAsia="Arial" w:hAnsi="Arial"/>
          <w:sz w:val="17"/>
          <w:szCs w:val="17"/>
          <w:u w:val="single" w:color="auto"/>
          <w:color w:val="auto"/>
        </w:rPr>
        <w:t>Limitation of Wainwright’s Liability to the Company</w:t>
      </w:r>
      <w:r>
        <w:rPr>
          <w:rFonts w:ascii="Arial" w:cs="Arial" w:eastAsia="Arial" w:hAnsi="Arial"/>
          <w:sz w:val="17"/>
          <w:szCs w:val="17"/>
          <w:color w:val="auto"/>
        </w:rPr>
        <w:t>. Wainwright and the Company further agree that neither Wainwright nor any of its affiliates or any of its their respective officers, directors, controlling persons (within the meaning of Section 15 of the Securities Act or Section 20 of the Exchange Act), employees or agents shall have any liability to the Company, its security holders or creditors, or any person asserting claims on behalf of or in the right of the Company (whether direct or indirect, in contract, tort, for an act of negligence or otherwise) for any losses, fees, damages, liabilities, costs, expenses or equitable relief arising out of or relating to this Agreement or the services rendered hereunder, except for losses, fees, damages, liabilities, costs or expenses that arise out of or are based on any action of or failure to act by Wainwright and that are finally judicially determined to have resulted solely from the gross negligence or willful misconduct of Wainwright.</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the State of New York applicable to agreements made and to be fully performed therein. Any disputes that arise under this Agreement, even after the termination of this Agreement, will be heard only in the state or federal courts located in the City of New York, State of New York. The parties hereto expressly agree to submit themselves to the jurisdiction of the foregoing courts in the City of New York, State of New York. The parties hereto expressly waive any rights they may have to contest the jurisdiction, venue or authority of any court sitting in the City and State of New York. In the event Wainwright or any Indemnified Person is successful in any action, or suit against the Company, arising out of or relating to this Agreement, the final judgment or award entered shall be entitled to have and recover from the Company the costs and expenses incurred in connection therewith, including its reasonable attorneys’ fees. Any rights to trial by jury with respect to any such action, proceeding or suit are hereby waived by Wainwright and the Company.</w:t>
      </w:r>
    </w:p>
    <w:p>
      <w:pPr>
        <w:spacing w:after="0" w:line="16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68" w:name="page69"/>
    <w:bookmarkEnd w:id="68"/>
    <w:p>
      <w:pPr>
        <w:jc w:val="both"/>
        <w:ind w:firstLine="648"/>
        <w:spacing w:after="0" w:line="273" w:lineRule="auto"/>
        <w:rPr>
          <w:sz w:val="20"/>
          <w:szCs w:val="20"/>
          <w:color w:val="auto"/>
        </w:rPr>
      </w:pPr>
      <w:r>
        <w:rPr>
          <w:rFonts w:ascii="Arial" w:cs="Arial" w:eastAsia="Arial" w:hAnsi="Arial"/>
          <w:sz w:val="17"/>
          <w:szCs w:val="17"/>
          <w:color w:val="auto"/>
        </w:rPr>
        <w:t xml:space="preserve">J.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hereunder will be in writing and sent by certified mail, hand delivery, overnight delivery, fax or e-mail, if sent to Wainwright, at the address set forth on the first page hereof, e-mail: notices@hcwco.com, Attention: Head of Investment Banking, and if sent to the Company, to the address set forth on the first page hereof, e-mail: harel@microbotmedical.com, Attention: Chief Executive Officer. Notices sent by certified mail shall be deemed received five days thereafter, notices sent by hand delivery or overnight delivery shall be deemed received on the date of the relevant written record of receipt, notices delivered by fax shall be deemed received as of the date and time printed thereon by the fax machine and notices sent by e-mail shall be deemed received as of the date and time they were sent.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u w:val="single" w:color="auto"/>
          <w:color w:val="auto"/>
        </w:rPr>
        <w:t>Conflicts</w:t>
      </w:r>
      <w:r>
        <w:rPr>
          <w:rFonts w:ascii="Arial" w:cs="Arial" w:eastAsia="Arial" w:hAnsi="Arial"/>
          <w:sz w:val="18"/>
          <w:szCs w:val="18"/>
          <w:color w:val="auto"/>
        </w:rPr>
        <w:t>. The Company acknowledges that Wainwright and its affiliates may have and may continue to have investment banking and other relationships with parties other than the Company pursuant to which Wainwright may acquire information of interest to the Company. Wainwright shall have no obligation to disclose such information to the Company or to use such information in connection with any contemplated transaction.</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L. </w:t>
      </w:r>
      <w:r>
        <w:rPr>
          <w:rFonts w:ascii="Arial" w:cs="Arial" w:eastAsia="Arial" w:hAnsi="Arial"/>
          <w:sz w:val="16"/>
          <w:szCs w:val="16"/>
          <w:u w:val="single" w:color="auto"/>
          <w:color w:val="auto"/>
        </w:rPr>
        <w:t>Anti-Money Laundering</w:t>
      </w:r>
      <w:r>
        <w:rPr>
          <w:rFonts w:ascii="Arial" w:cs="Arial" w:eastAsia="Arial" w:hAnsi="Arial"/>
          <w:sz w:val="16"/>
          <w:szCs w:val="16"/>
          <w:color w:val="auto"/>
        </w:rPr>
        <w:t>. To help the United States government fight the funding of terrorism and money laundering, the federal laws of the United States require all financial institutions to obtain, verify and record information that identifies each person with whom they do business. This means Wainwright must ask the Company for certain identifying information, including a government-issued identification number (e.g., a U.S. taxpayer identification number) and such other information or documents that Wainwright considers appropriate to verify the Company’s identity, such as certified articles of incorporation, a government-issued business license, a partnership agreement or a trust instrument.</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M. </w:t>
      </w:r>
      <w:r>
        <w:rPr>
          <w:rFonts w:ascii="Arial" w:cs="Arial" w:eastAsia="Arial" w:hAnsi="Arial"/>
          <w:sz w:val="17"/>
          <w:szCs w:val="17"/>
          <w:u w:val="single" w:color="auto"/>
          <w:color w:val="auto"/>
        </w:rPr>
        <w:t>Miscellaneous</w:t>
      </w:r>
      <w:r>
        <w:rPr>
          <w:rFonts w:ascii="Arial" w:cs="Arial" w:eastAsia="Arial" w:hAnsi="Arial"/>
          <w:sz w:val="17"/>
          <w:szCs w:val="17"/>
          <w:color w:val="auto"/>
        </w:rPr>
        <w:t>. The Company represents and warrants that it has all requisite power and authority to enter into and carry out the terms and provisions of this Agreement and the execution, delivery and performance of this Agreement does not breach or conflict with any agreement, document or instrument to which it is a party or bound. This Agreement shall not be modified or amended except in writing signed by Wainwright and the Company. This Agreement shall be binding upon and inure to the benefit of both Wainwright and the Company and their respective assigns, successors, and legal representatives. This Agreement constitutes the entire agreement of Wainwright and the Company with respect to the subject matter hereof and supersedes any prior agreements with respect to the subject matter hereof. If any provision of this Agreement is determined to be invalid or unenforceable in any respect, such determination will not affect such provision in any other respect, and the remainder of the Agreement shall remain in full force and effect. This Agreement may be executed in counterparts (including facsimile or electronic counterparts), each of which shall be deemed an original but all of which together shall constitute one and the same instrument.</w:t>
      </w:r>
    </w:p>
    <w:p>
      <w:pPr>
        <w:spacing w:after="0" w:line="182"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69" w:name="page70"/>
    <w:bookmarkEnd w:id="69"/>
    <w:p>
      <w:pPr>
        <w:ind w:firstLine="648"/>
        <w:spacing w:after="0" w:line="277" w:lineRule="auto"/>
        <w:rPr>
          <w:sz w:val="20"/>
          <w:szCs w:val="20"/>
          <w:color w:val="auto"/>
        </w:rPr>
      </w:pPr>
      <w:r>
        <w:rPr>
          <w:rFonts w:ascii="Arial" w:cs="Arial" w:eastAsia="Arial" w:hAnsi="Arial"/>
          <w:sz w:val="18"/>
          <w:szCs w:val="18"/>
          <w:color w:val="auto"/>
        </w:rPr>
        <w:t>In acknowledgment that the foregoing correctly sets forth the understanding reached by Wainwright and the Company, please sign in the space provided below, whereupon this letter shall constitute a binding Agreement as of the date indicated above.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H.C. WAINWRIGHT &amp; CO., LLC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Edward D. Silvera</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Edward D. Silvera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Operating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32588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CEO, President &amp; Chairman of the Board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0" w:name="page71"/>
    <w:bookmarkEnd w:id="7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1" w:name="page72"/>
    <w:bookmarkEnd w:id="71"/>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Inc. Announces $9.59 Million Registered Direct Offering Priced At-the-Market under Nasdaq Rules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HINGHAM, Mass., December 26, 2019 – Microbot Medical Inc. (Nasdaq: MBOT), a medical device company specializing in the design and development of transformational micro-robotic medical technologies, today announced that it has entered into definitive agreements with certain institutional investors for the purchase in a registered direct offering of 912,858 shares of its common stock, at a purchase price per share of $10.50, priced at-the-market under Nasdaq rules.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closing of the offering is expected to occur on or about December 27, 2019, subject to the satisfaction of customary closing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H.C. Wainwright &amp; Co. is acting as the exclusive placement agent for the offering.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gross proceeds to Microbot, before deducting placement agent fees and other offering expenses, are expected to be approximately $9.59 million. Microbot currently intends to use the net proceeds from this offering for the continuous development and regulatory activities for its SCS device for the treatment of hydrocephalus and NPH; continue the development of the Company’s LIBERTY robotic system, including its expansion through addition of complementary assets to it either through internal development, in-license or acquisitions; expand and develop additional applications deriving from its existing IP portfolio, either through internal development, in-license or acquisition; and for working capital and other general corporate purposes.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of common stock are being offered by Microbot pursuant to a “shelf” registration statement on Form S-3 that was originally filed on March 31, 2017 and declared effective by the Securities and Exchange Commission (“SEC”) on April 14, 2017 and the base prospectus contained therein (File No. 333-217076). The offering of the shares of common stock is being made only by means of a prospectus supplement that forms a part of the registration statement. A final prospectus supplement and accompanying base prospectus relating to the shares of common stock being offered will be filed with the SEC. Electronic copies of the final prospectus supplement and accompanying base prospectus may be obtained, when available, on the SEC’s website at http://www.sec.gov or by contacting H.C. Wainwright &amp; Co., LLC at 430 Park Avenue, 3rd Floor, New York, NY 10022, by phone at 646-975-6996 or e-mail at placements@hcwco.com.</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any of the securities described herein, nor shall there be any sale of these securities in any state or jurisdiction in which such an offer, solicitation or sale would be unlawful prior to registration or qualification under the securities laws of any such state or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Statements pertaining to the registered direct offering, timing, the amount and anticipated use of proceeds and 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and the satisfaction of customary closing conditions, risks inherent in the development and/or commercialization of potential products, including LIBERTY, the outcome of its studies to evaluate the SCS and other existing and future technologies, uncertainty in the results of pre-clinical and clinical trials or regulatory pathways and regulatory approvals,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and in the prospectus supplement related to the registered direct offering to be filed with the SEC, which are or will be available on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Microbot Medical disclaims any intent or obligation to update these forward-looking statements, except as required by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Erich Sandoval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Finn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erich.sandoval@finnpartners.com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212-867-1762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lowerLetter"/>
      <w:start w:val="1"/>
    </w:lvl>
  </w:abstractNum>
  <w:abstractNum w:abstractNumId="2">
    <w:nsid w:val="3A95F874"/>
    <w:multiLevelType w:val="hybridMultilevel"/>
    <w:lvl w:ilvl="0">
      <w:lvlJc w:val="left"/>
      <w:lvlText w:val="%1)"/>
      <w:numFmt w:val="lowerLetter"/>
      <w:start w:val="2"/>
    </w:lvl>
  </w:abstractNum>
  <w:abstractNum w:abstractNumId="3">
    <w:nsid w:val="8138641"/>
    <w:multiLevelType w:val="hybridMultilevel"/>
    <w:lvl w:ilvl="0">
      <w:lvlJc w:val="left"/>
      <w:lvlText w:val="(%1)"/>
      <w:numFmt w:val="upperLetter"/>
      <w:start w:val="1"/>
    </w:lvl>
  </w:abstractNum>
  <w:abstractNum w:abstractNumId="4">
    <w:nsid w:val="1E7FF521"/>
    <w:multiLevelType w:val="hybridMultilevel"/>
    <w:lvl w:ilvl="0">
      <w:lvlJc w:val="left"/>
      <w:lvlText w:val="(%1)"/>
      <w:numFmt w:val="upperLetter"/>
      <w:start w:val="24"/>
    </w:lvl>
  </w:abstractNum>
  <w:abstractNum w:abstractNumId="5">
    <w:nsid w:val="7C3DBD3D"/>
    <w:multiLevelType w:val="hybridMultilevel"/>
    <w:lvl w:ilvl="0">
      <w:lvlJc w:val="left"/>
      <w:lvlText w:val="%1)"/>
      <w:numFmt w:val="lowerLetter"/>
      <w:start w:val="4"/>
    </w:lvl>
    <w:lvl w:ilvl="1">
      <w:lvlJc w:val="left"/>
      <w:lvlText w:val="%2."/>
      <w:numFmt w:val="lowerRoman"/>
      <w:start w:val="1"/>
    </w:lvl>
  </w:abstractNum>
  <w:abstractNum w:abstractNumId="6">
    <w:nsid w:val="737B8DDC"/>
    <w:multiLevelType w:val="hybridMultilevel"/>
    <w:lvl w:ilvl="0">
      <w:lvlJc w:val="left"/>
      <w:lvlText w:val="%1"/>
      <w:numFmt w:val="decimal"/>
      <w:start w:val="1"/>
    </w:lvl>
    <w:lvl w:ilvl="1">
      <w:lvlJc w:val="left"/>
      <w:lvlText w:val="%2."/>
      <w:numFmt w:val="lowerRoman"/>
      <w:start w:val="2"/>
    </w:lvl>
  </w:abstractNum>
  <w:abstractNum w:abstractNumId="7">
    <w:nsid w:val="6CEAF087"/>
    <w:multiLevelType w:val="hybridMultilevel"/>
    <w:lvl w:ilvl="0">
      <w:lvlJc w:val="left"/>
      <w:lvlText w:val="(%1)"/>
      <w:numFmt w:val="decimal"/>
      <w:start w:val="2"/>
    </w:lvl>
    <w:lvl w:ilvl="1">
      <w:lvlJc w:val="left"/>
      <w:lvlText w:val="%2"/>
      <w:numFmt w:val="lowerRoman"/>
      <w:start w:val="1"/>
    </w:lvl>
  </w:abstractNum>
  <w:abstractNum w:abstractNumId="8">
    <w:nsid w:val="22221A70"/>
    <w:multiLevelType w:val="hybridMultilevel"/>
    <w:lvl w:ilvl="0">
      <w:lvlJc w:val="left"/>
      <w:lvlText w:val="%1."/>
      <w:numFmt w:val="lowerRoman"/>
      <w:start w:val="6"/>
    </w:lvl>
  </w:abstractNum>
  <w:abstractNum w:abstractNumId="9">
    <w:nsid w:val="4516DDE9"/>
    <w:multiLevelType w:val="hybridMultilevel"/>
    <w:lvl w:ilvl="0">
      <w:lvlJc w:val="left"/>
      <w:lvlText w:val="%1)"/>
      <w:numFmt w:val="lowerLetter"/>
      <w:start w:val="5"/>
    </w:lvl>
  </w:abstractNum>
  <w:abstractNum w:abstractNumId="10">
    <w:nsid w:val="3006C83E"/>
    <w:multiLevelType w:val="hybridMultilevel"/>
    <w:lvl w:ilvl="0">
      <w:lvlJc w:val="left"/>
      <w:lvlText w:val="%1)"/>
      <w:numFmt w:val="lowerLetter"/>
      <w:start w:val="1"/>
    </w:lvl>
  </w:abstractNum>
  <w:abstractNum w:abstractNumId="11">
    <w:nsid w:val="614FD4A1"/>
    <w:multiLevelType w:val="hybridMultilevel"/>
    <w:lvl w:ilvl="0">
      <w:lvlJc w:val="left"/>
      <w:lvlText w:val="%1)"/>
      <w:numFmt w:val="lowerLetter"/>
      <w:start w:val="4"/>
    </w:lvl>
  </w:abstractNum>
  <w:abstractNum w:abstractNumId="12">
    <w:nsid w:val="419AC241"/>
    <w:multiLevelType w:val="hybridMultilevel"/>
    <w:lvl w:ilvl="0">
      <w:lvlJc w:val="left"/>
      <w:lvlText w:val="%1)"/>
      <w:numFmt w:val="lowerLetter"/>
      <w:start w:val="5"/>
    </w:lvl>
    <w:lvl w:ilvl="1">
      <w:lvlJc w:val="left"/>
      <w:lvlText w:val="%2."/>
      <w:numFmt w:val="lowerRoman"/>
      <w:start w:val="1"/>
    </w:lvl>
  </w:abstractNum>
  <w:abstractNum w:abstractNumId="13">
    <w:nsid w:val="5577F8E1"/>
    <w:multiLevelType w:val="hybridMultilevel"/>
    <w:lvl w:ilvl="0">
      <w:lvlJc w:val="left"/>
      <w:lvlText w:val="%1)"/>
      <w:numFmt w:val="lowerLetter"/>
      <w:start w:val="1"/>
    </w:lvl>
  </w:abstractNum>
  <w:abstractNum w:abstractNumId="14">
    <w:nsid w:val="440BADFC"/>
    <w:multiLevelType w:val="hybridMultilevel"/>
    <w:lvl w:ilvl="0">
      <w:lvlJc w:val="left"/>
      <w:lvlText w:val="%1."/>
      <w:numFmt w:val="lowerRoman"/>
      <w:start w:val="2"/>
    </w:lvl>
  </w:abstractNum>
  <w:abstractNum w:abstractNumId="15">
    <w:nsid w:val="5072367"/>
    <w:multiLevelType w:val="hybridMultilevel"/>
    <w:lvl w:ilvl="0">
      <w:lvlJc w:val="left"/>
      <w:lvlText w:val="%1."/>
      <w:numFmt w:val="lowerRoman"/>
      <w:start w:val="3"/>
    </w:lvl>
  </w:abstractNum>
  <w:abstractNum w:abstractNumId="16">
    <w:nsid w:val="3804823E"/>
    <w:multiLevelType w:val="hybridMultilevel"/>
    <w:lvl w:ilvl="0">
      <w:lvlJc w:val="left"/>
      <w:lvlText w:val="(%1)"/>
      <w:numFmt w:val="decimal"/>
      <w:start w:val="3"/>
    </w:lvl>
    <w:lvl w:ilvl="1">
      <w:lvlJc w:val="left"/>
      <w:lvlText w:val="%2)"/>
      <w:numFmt w:val="lowerLetter"/>
      <w:start w:val="2"/>
    </w:lvl>
  </w:abstractNum>
  <w:abstractNum w:abstractNumId="17">
    <w:nsid w:val="77465F01"/>
    <w:multiLevelType w:val="hybridMultilevel"/>
    <w:lvl w:ilvl="0">
      <w:lvlJc w:val="left"/>
      <w:lvlText w:val="%1)"/>
      <w:numFmt w:val="lowerLetter"/>
      <w:start w:val="4"/>
    </w:lvl>
  </w:abstractNum>
  <w:abstractNum w:abstractNumId="18">
    <w:nsid w:val="7724C67E"/>
    <w:multiLevelType w:val="hybridMultilevel"/>
    <w:lvl w:ilvl="0">
      <w:lvlJc w:val="left"/>
      <w:lvlText w:val="%1)"/>
      <w:numFmt w:val="lowerLetter"/>
      <w:start w:val="1"/>
    </w:lvl>
  </w:abstractNum>
  <w:abstractNum w:abstractNumId="19">
    <w:nsid w:val="5C482A97"/>
    <w:multiLevelType w:val="hybridMultilevel"/>
    <w:lvl w:ilvl="0">
      <w:lvlJc w:val="left"/>
      <w:lvlText w:val="%1)"/>
      <w:numFmt w:val="lowerLetter"/>
      <w:start w:val="4"/>
    </w:lvl>
  </w:abstractNum>
  <w:abstractNum w:abstractNumId="20">
    <w:nsid w:val="2463B9EA"/>
    <w:multiLevelType w:val="hybridMultilevel"/>
    <w:lvl w:ilvl="0">
      <w:lvlJc w:val="left"/>
      <w:lvlText w:val="%1)"/>
      <w:numFmt w:val="lowerLetter"/>
      <w:start w:val="5"/>
    </w:lvl>
  </w:abstractNum>
  <w:abstractNum w:abstractNumId="21">
    <w:nsid w:val="5E884ADC"/>
    <w:multiLevelType w:val="hybridMultilevel"/>
    <w:lvl w:ilvl="0">
      <w:lvlJc w:val="left"/>
      <w:lvlText w:val="%1)"/>
      <w:numFmt w:val="lowerLetter"/>
      <w:start w:val="9"/>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2"/>
    </w:lvl>
    <w:lvl w:ilvl="1">
      <w:lvlJc w:val="left"/>
      <w:lvlText w:val="["/>
      <w:numFmt w:val="bullet"/>
      <w:start w:val="1"/>
    </w:lvl>
  </w:abstractNum>
  <w:abstractNum w:abstractNumId="24">
    <w:nsid w:val="580BD78F"/>
    <w:multiLevelType w:val="hybridMultilevel"/>
    <w:lvl w:ilvl="0">
      <w:lvlJc w:val="left"/>
      <w:lvlText w:val="(%1)"/>
      <w:numFmt w:val="decimal"/>
      <w:start w:val="4"/>
    </w:lvl>
  </w:abstractNum>
  <w:abstractNum w:abstractNumId="25">
    <w:nsid w:val="153EA438"/>
    <w:multiLevelType w:val="hybridMultilevel"/>
    <w:lvl w:ilvl="0">
      <w:lvlJc w:val="left"/>
      <w:lvlText w:val="(%1)"/>
      <w:numFmt w:val="lowerLetter"/>
      <w:start w:val="1"/>
    </w:lvl>
    <w:lvl w:ilvl="1">
      <w:lvlJc w:val="left"/>
      <w:lvlText w:val="(%2)"/>
      <w:numFmt w:val="lowerRoman"/>
      <w:start w:val="1"/>
    </w:lvl>
  </w:abstractNum>
  <w:abstractNum w:abstractNumId="26">
    <w:nsid w:val="3855585C"/>
    <w:multiLevelType w:val="hybridMultilevel"/>
    <w:lvl w:ilvl="0">
      <w:lvlJc w:val="left"/>
      <w:lvlText w:val="(%1)"/>
      <w:numFmt w:val="lowerLetter"/>
      <w:start w:val="1"/>
    </w:lvl>
    <w:lvl w:ilvl="1">
      <w:lvlJc w:val="left"/>
      <w:lvlText w:val="(%2)"/>
      <w:numFmt w:val="lowerLetter"/>
      <w:start w:val="9"/>
    </w:lvl>
  </w:abstractNum>
  <w:abstractNum w:abstractNumId="27">
    <w:nsid w:val="70A64E2A"/>
    <w:multiLevelType w:val="hybridMultilevel"/>
    <w:lvl w:ilvl="0">
      <w:lvlJc w:val="left"/>
      <w:lvlText w:val="%1"/>
      <w:numFmt w:val="lowerLetter"/>
      <w:start w:val="1"/>
    </w:lvl>
    <w:lvl w:ilvl="1">
      <w:lvlJc w:val="left"/>
      <w:lvlText w:val="(%2)"/>
      <w:numFmt w:val="lowerRoman"/>
      <w:start w:val="2"/>
    </w:lvl>
  </w:abstractNum>
  <w:abstractNum w:abstractNumId="28">
    <w:nsid w:val="6A2342EC"/>
    <w:multiLevelType w:val="hybridMultilevel"/>
    <w:lvl w:ilvl="0">
      <w:lvlJc w:val="left"/>
      <w:lvlText w:val="(%1)"/>
      <w:numFmt w:val="lowerLetter"/>
      <w:start w:val="2"/>
    </w:lvl>
    <w:lvl w:ilvl="1">
      <w:lvlJc w:val="left"/>
      <w:lvlText w:val="(%2)"/>
      <w:numFmt w:val="lowerRoman"/>
      <w:start w:val="1"/>
    </w:lvl>
  </w:abstractNum>
  <w:abstractNum w:abstractNumId="29">
    <w:nsid w:val="2A487CB0"/>
    <w:multiLevelType w:val="hybridMultilevel"/>
    <w:lvl w:ilvl="0">
      <w:lvlJc w:val="left"/>
      <w:lvlText w:val="(%1)"/>
      <w:numFmt w:val="lowerLetter"/>
      <w:start w:val="1"/>
    </w:lvl>
  </w:abstractNum>
  <w:abstractNum w:abstractNumId="30">
    <w:nsid w:val="1D4ED43B"/>
    <w:multiLevelType w:val="hybridMultilevel"/>
    <w:lvl w:ilvl="0">
      <w:lvlJc w:val="left"/>
      <w:lvlText w:val="(%1)"/>
      <w:numFmt w:val="lowerLetter"/>
      <w:start w:val="4"/>
    </w:lvl>
  </w:abstractNum>
  <w:abstractNum w:abstractNumId="31">
    <w:nsid w:val="725A06FB"/>
    <w:multiLevelType w:val="hybridMultilevel"/>
    <w:lvl w:ilvl="0">
      <w:lvlJc w:val="left"/>
      <w:lvlText w:val="(%1)"/>
      <w:numFmt w:val="lowerLetter"/>
      <w:start w:val="6"/>
    </w:lvl>
  </w:abstractNum>
  <w:abstractNum w:abstractNumId="32">
    <w:nsid w:val="2CD89A32"/>
    <w:multiLevelType w:val="hybridMultilevel"/>
    <w:lvl w:ilvl="0">
      <w:lvlJc w:val="left"/>
      <w:lvlText w:val="(%1)"/>
      <w:numFmt w:val="lowerLetter"/>
      <w:start w:val="8"/>
    </w:lvl>
  </w:abstractNum>
  <w:abstractNum w:abstractNumId="33">
    <w:nsid w:val="57E4CCAF"/>
    <w:multiLevelType w:val="hybridMultilevel"/>
    <w:lvl w:ilvl="0">
      <w:lvlJc w:val="left"/>
      <w:lvlText w:val="(%1)"/>
      <w:numFmt w:val="lowerLetter"/>
      <w:start w:val="10"/>
    </w:lvl>
  </w:abstractNum>
  <w:abstractNum w:abstractNumId="34">
    <w:nsid w:val="7A6D8D3C"/>
    <w:multiLevelType w:val="hybridMultilevel"/>
    <w:lvl w:ilvl="0">
      <w:lvlJc w:val="left"/>
      <w:lvlText w:val="(%1)"/>
      <w:numFmt w:val="lowerLetter"/>
      <w:start w:val="12"/>
    </w:lvl>
  </w:abstractNum>
  <w:abstractNum w:abstractNumId="35">
    <w:nsid w:val="4B588F54"/>
    <w:multiLevelType w:val="hybridMultilevel"/>
    <w:lvl w:ilvl="0">
      <w:lvlJc w:val="left"/>
      <w:lvlText w:val="(%1)"/>
      <w:numFmt w:val="lowerLetter"/>
      <w:start w:val="15"/>
    </w:lvl>
  </w:abstractNum>
  <w:abstractNum w:abstractNumId="36">
    <w:nsid w:val="542289EC"/>
    <w:multiLevelType w:val="hybridMultilevel"/>
    <w:lvl w:ilvl="0">
      <w:lvlJc w:val="left"/>
      <w:lvlText w:val="(%1)"/>
      <w:numFmt w:val="lowerLetter"/>
      <w:start w:val="19"/>
    </w:lvl>
  </w:abstractNum>
  <w:abstractNum w:abstractNumId="37">
    <w:nsid w:val="6DE91B18"/>
    <w:multiLevelType w:val="hybridMultilevel"/>
    <w:lvl w:ilvl="0">
      <w:lvlJc w:val="left"/>
      <w:lvlText w:val="(%1)"/>
      <w:numFmt w:val="lowerLetter"/>
      <w:start w:val="21"/>
    </w:lvl>
  </w:abstractNum>
  <w:abstractNum w:abstractNumId="38">
    <w:nsid w:val="38437FDB"/>
    <w:multiLevelType w:val="hybridMultilevel"/>
    <w:lvl w:ilvl="0">
      <w:lvlJc w:val="left"/>
      <w:lvlText w:val="(%1)"/>
      <w:numFmt w:val="lowerLetter"/>
      <w:start w:val="26"/>
    </w:lvl>
  </w:abstractNum>
  <w:abstractNum w:abstractNumId="39">
    <w:nsid w:val="7644A45C"/>
    <w:multiLevelType w:val="hybridMultilevel"/>
    <w:lvl w:ilvl="0">
      <w:lvlJc w:val="left"/>
      <w:lvlText w:val="(%1)"/>
      <w:numFmt w:val="lowerLetter"/>
      <w:start w:val="27"/>
    </w:lvl>
  </w:abstractNum>
  <w:abstractNum w:abstractNumId="40">
    <w:nsid w:val="32FFF902"/>
    <w:multiLevelType w:val="hybridMultilevel"/>
    <w:lvl w:ilvl="0">
      <w:lvlJc w:val="left"/>
      <w:lvlText w:val="(%1)"/>
      <w:numFmt w:val="lowerLetter"/>
      <w:start w:val="28"/>
    </w:lvl>
  </w:abstractNum>
  <w:abstractNum w:abstractNumId="41">
    <w:nsid w:val="684A481A"/>
    <w:multiLevelType w:val="hybridMultilevel"/>
    <w:lvl w:ilvl="0">
      <w:lvlJc w:val="left"/>
      <w:lvlText w:val="(%1)"/>
      <w:numFmt w:val="lowerLetter"/>
      <w:start w:val="32"/>
    </w:lvl>
  </w:abstractNum>
  <w:abstractNum w:abstractNumId="42">
    <w:nsid w:val="579478FE"/>
    <w:multiLevelType w:val="hybridMultilevel"/>
    <w:lvl w:ilvl="0">
      <w:lvlJc w:val="left"/>
      <w:lvlText w:val="(%1)"/>
      <w:numFmt w:val="lowerLetter"/>
      <w:start w:val="35"/>
    </w:lvl>
  </w:abstractNum>
  <w:abstractNum w:abstractNumId="43">
    <w:nsid w:val="749ABB43"/>
    <w:multiLevelType w:val="hybridMultilevel"/>
    <w:lvl w:ilvl="0">
      <w:lvlJc w:val="left"/>
      <w:lvlText w:val="(%1)"/>
      <w:numFmt w:val="lowerLetter"/>
      <w:start w:val="39"/>
    </w:lvl>
  </w:abstractNum>
  <w:abstractNum w:abstractNumId="44">
    <w:nsid w:val="3DC240FB"/>
    <w:multiLevelType w:val="hybridMultilevel"/>
    <w:lvl w:ilvl="0">
      <w:lvlJc w:val="left"/>
      <w:lvlText w:val="%1"/>
      <w:numFmt w:val="lowerLetter"/>
      <w:start w:val="1"/>
    </w:lvl>
    <w:lvl w:ilvl="1">
      <w:lvlJc w:val="left"/>
      <w:lvlText w:val="(%2)"/>
      <w:numFmt w:val="lowerLetter"/>
      <w:start w:val="1"/>
    </w:lvl>
  </w:abstractNum>
  <w:abstractNum w:abstractNumId="45">
    <w:nsid w:val="1BA026FA"/>
    <w:multiLevelType w:val="hybridMultilevel"/>
    <w:lvl w:ilvl="0">
      <w:lvlJc w:val="left"/>
      <w:lvlText w:val="(%1)"/>
      <w:numFmt w:val="lowerLetter"/>
      <w:start w:val="2"/>
    </w:lvl>
    <w:lvl w:ilvl="1">
      <w:lvlJc w:val="left"/>
      <w:lvlText w:val="%2"/>
      <w:numFmt w:val="lowerLetter"/>
      <w:start w:val="1"/>
    </w:lvl>
  </w:abstractNum>
  <w:abstractNum w:abstractNumId="46">
    <w:nsid w:val="79A1DEAA"/>
    <w:multiLevelType w:val="hybridMultilevel"/>
    <w:lvl w:ilvl="0">
      <w:lvlJc w:val="left"/>
      <w:lvlText w:val="(%1)"/>
      <w:numFmt w:val="lowerLetter"/>
      <w:start w:val="3"/>
    </w:lvl>
  </w:abstractNum>
  <w:abstractNum w:abstractNumId="47">
    <w:nsid w:val="75C6C33A"/>
    <w:multiLevelType w:val="hybridMultilevel"/>
    <w:lvl w:ilvl="0">
      <w:lvlJc w:val="left"/>
      <w:lvlText w:val="(%1)"/>
      <w:numFmt w:val="lowerLetter"/>
      <w:start w:val="6"/>
    </w:lvl>
  </w:abstractNum>
  <w:abstractNum w:abstractNumId="48">
    <w:nsid w:val="12E685FB"/>
    <w:multiLevelType w:val="hybridMultilevel"/>
    <w:lvl w:ilvl="0">
      <w:lvlJc w:val="left"/>
      <w:lvlText w:val="(%1)"/>
      <w:numFmt w:val="lowerLetter"/>
      <w:start w:val="4"/>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decimal"/>
      <w:start w:val="2"/>
    </w:lvl>
  </w:abstractNum>
  <w:abstractNum w:abstractNumId="52">
    <w:nsid w:val="4F4EF005"/>
    <w:multiLevelType w:val="hybridMultilevel"/>
    <w:lvl w:ilvl="0">
      <w:lvlJc w:val="left"/>
      <w:lvlText w:val="%1"/>
      <w:numFmt w:val="upperLetter"/>
      <w:start w:val="1"/>
    </w:lvl>
    <w:lvl w:ilvl="1">
      <w:lvlJc w:val="left"/>
      <w:lvlText w:val="%2."/>
      <w:numFmt w:val="decimal"/>
      <w:start w:val="1"/>
    </w:lvl>
  </w:abstractNum>
  <w:abstractNum w:abstractNumId="53">
    <w:nsid w:val="23F9C13C"/>
    <w:multiLevelType w:val="hybridMultilevel"/>
    <w:lvl w:ilvl="0">
      <w:lvlJc w:val="left"/>
      <w:lvlText w:val="%1."/>
      <w:numFmt w:val="upperLetter"/>
      <w:start w:val="5"/>
    </w:lvl>
    <w:lvl w:ilvl="1">
      <w:lvlJc w:val="left"/>
      <w:lvlText w:val="%2"/>
      <w:numFmt w:val="decimal"/>
      <w:start w:val="1"/>
    </w:lvl>
  </w:abstractNum>
  <w:abstractNum w:abstractNumId="54">
    <w:nsid w:val="649BB77C"/>
    <w:multiLevelType w:val="hybridMultilevel"/>
    <w:lvl w:ilvl="0">
      <w:lvlJc w:val="left"/>
      <w:lvlText w:val="%1."/>
      <w:numFmt w:val="upperLetter"/>
      <w:start w:val="6"/>
    </w:lvl>
    <w:lvl w:ilvl="1">
      <w:lvlJc w:val="left"/>
      <w:lvlText w:val="%2."/>
      <w:numFmt w:val="decimal"/>
      <w:start w:val="1"/>
    </w:lvl>
  </w:abstractNum>
  <w:abstractNum w:abstractNumId="55">
    <w:nsid w:val="275AC794"/>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2019-12-27T08:03:56Z</dcterms:created>
  <dcterms:modified xsi:type="dcterms:W3CDTF">2019-12-27T08:03:56Z</dcterms:modified>
</cp:coreProperties>
</file>