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27,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70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4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2019, Microbot Medical Inc. (the “Company”) entered into a Securities Purchase Agreement (the “Purchase Agreement”) with certain accredited institutional investors (the “Purchasers”) providing for the issuance and sale by the Company to the Purchasers of an aggregate of 952,383 shares (the “Shares”) of the Company’s common stock, par value $0.01 per share (the “Common Stock”), at a purchase price per share of $10.50 (the “Offering”). The gross proceeds to the Company will be approximately $10 million. The closing of the Offering is expected to occur on or about December 30, 2019.</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proceeds of the Offering to the Company are estimated to be approximately $8.99 million, after deducting placement agent fees and other estimated offering expenses. The Company intends to use the net proceeds from this Offering for the continuous development and regulatory activities for its SCS device for the treatment of hydrocephalus and NPH; continue the development of its LIBERTY robotic system, including its expansion through addition of complementary assets to it either through internal development, in-license or acquisitions; expand and develop additional applications deriving from its existing IP portfolio, either through internal development, in-license or acquisition; and for working capital and other general corporate purposes.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on December 24, 2019, the Company entered into an engagement letter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sale of the Shares, plus a management fee equal to 1.0% of the gross proceeds, non-accountable expenses of $125,000 for this Offering, and $10,000 for clearing expenses. The Company has also agreed to issue to Wainwright or its designees warrants to purchase up to 5.0% of the aggregate number of Shares sold under the Purchase Agreement (the “Wainwright Warrants”), or up to 47,619 shares of Common Stock. The Wainwright Warrants have a term of three and one-half (3.5) years, are not exercisable for a period of six months following the issuance, and have an exercise price of $13.125 per share (equal to 125% of the Offering price per share). The Engagement Letter also includes indemnification obligations of the Company and other provisions customary for transactions of this nature.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(but not the Wainwright Warrants, or the shares of Common Stock issuable upon the exercise of the Wainwright Warrants (the “Wainwright Warrant Shares”)) were offered and sold by the Company through a shelf registration statement on Form S-3 (File No.: 333-217076), which was initially filed with the Securities and Exchange Commission (the “SEC”) on March 31, 2017 and declared effective by the SEC on April 14, 2017 and a prospectus supplement relating to the Offering dated December 27, 2019 filed with the SEC.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Wainwright Warrants and the Wainwright Warrant Shares are being offered and sold without registration under the Securities Act of 1933, as amended (the “Securities Act”), pursuant to the exemption provided in Section 4(a)(2) under the Securities Act and Regulation D promulgated thereunder and similar exemptions under applicable state laws in reliance on the following facts: no general solicitation was used in the offer or sale of such securities; the recipients of the securities had adequate access to information about the Company, through pre-existing relationships or otherwise; and such securities were issued as restricted securities with restricted legends referring to the Securities Act. No such securities may be offered or sold in the United States in the absence of an effective registration statement or exemption from applicable registration requirements.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Wainwright Warrants, the Purchase Agreement and the Engagement Letter do not purport to be complete and are qualified in their entirety by reference to the copy of each of the Form of Wainwright Warrants, Form of Purchase Agreement and the Engagement Letter, which are attached hereto as Exhibits 4.1, 10.1 and 10.2, respectively, and which are incorporated herein by reference.</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representations, warranties and covenants contained in the Purchase Agreement were made solely for the benefit of the parties to the Purchase Agreement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periodic reports and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under Item 1.01 of this Current Report on Form 8-K regarding the Wainwright Warrants and the Wainwright Warrant Shares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27, 2019, the Company issued a press release announcing the Offering, a copy of which is attached hereto as Exhibit 99.1 and is incorporated by reference into this Item 8.01 of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5"/>
                <w:szCs w:val="15"/>
                <w:color w:val="auto"/>
              </w:rPr>
            </w:pPr>
          </w:p>
        </w:tc>
        <w:tc>
          <w:tcPr>
            <w:tcW w:w="2180" w:type="dxa"/>
            <w:vAlign w:val="bottom"/>
            <w:tcBorders>
              <w:top w:val="single" w:sz="8" w:color="auto"/>
              <w:bottom w:val="single" w:sz="8" w:color="0000EE"/>
            </w:tcBorders>
          </w:tcPr>
          <w:p>
            <w:pPr>
              <w:spacing w:after="0" w:line="17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Form of Wainwright Warrants</w:t>
              </w:r>
            </w:hyperlink>
          </w:p>
        </w:tc>
        <w:tc>
          <w:tcPr>
            <w:tcW w:w="8080" w:type="dxa"/>
            <w:vAlign w:val="bottom"/>
            <w:tcBorders>
              <w:top w:val="single" w:sz="8" w:color="auto"/>
            </w:tcBorders>
            <w:gridSpan w:val="6"/>
          </w:tcPr>
          <w:p>
            <w:pPr>
              <w:spacing w:after="0"/>
              <w:rPr>
                <w:sz w:val="15"/>
                <w:szCs w:val="15"/>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7"/>
                <w:szCs w:val="17"/>
                <w:color w:val="auto"/>
              </w:rPr>
            </w:pPr>
          </w:p>
        </w:tc>
        <w:tc>
          <w:tcPr>
            <w:tcW w:w="10260" w:type="dxa"/>
            <w:vAlign w:val="bottom"/>
            <w:gridSpan w:val="7"/>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Opinion of Mintz, Levin, Cohn, Ferris, Glovsky and Popeo, P.C.</w:t>
              </w:r>
            </w:hyperlink>
          </w:p>
        </w:tc>
      </w:tr>
      <w:tr>
        <w:trPr>
          <w:trHeight w:val="20"/>
        </w:trPr>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9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Form of Securities Purchase Agreement, dated as of December 27, 2019, by and among Microbot Medical Inc., and the Purchasers</w:t>
              </w:r>
            </w:hyperlink>
          </w:p>
        </w:tc>
        <w:tc>
          <w:tcPr>
            <w:tcW w:w="820" w:type="dxa"/>
            <w:vAlign w:val="bottom"/>
          </w:tcPr>
          <w:p>
            <w:pPr>
              <w:spacing w:after="0"/>
              <w:rPr>
                <w:sz w:val="17"/>
                <w:szCs w:val="17"/>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7"/>
                <w:szCs w:val="17"/>
                <w:color w:val="auto"/>
              </w:rPr>
            </w:pPr>
          </w:p>
        </w:tc>
        <w:tc>
          <w:tcPr>
            <w:tcW w:w="10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Engagement Letter, dated as of December 24, 2019, by and between Microbot Medical Inc. and H.C. Wainwright &amp; Co., LLC (incorporated</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7"/>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by reference to Exhibit 10.2 of the Registrant’s Form 8-K (File No. 000-19871) filed on December 27, 2019)</w:t>
              </w:r>
            </w:hyperlink>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7"/>
                <w:szCs w:val="17"/>
                <w:color w:val="auto"/>
              </w:rPr>
            </w:pPr>
          </w:p>
        </w:tc>
        <w:tc>
          <w:tcPr>
            <w:tcW w:w="78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Consent of Mintz, Levin, Cohn, Ferris, Glovsky and Popeo, P.C. (included in Exhibit 5.1)</w:t>
              </w:r>
            </w:hyperlink>
          </w:p>
        </w:tc>
        <w:tc>
          <w:tcPr>
            <w:tcW w:w="2420" w:type="dxa"/>
            <w:vAlign w:val="bottom"/>
            <w:gridSpan w:val="2"/>
          </w:tcPr>
          <w:p>
            <w:pPr>
              <w:spacing w:after="0"/>
              <w:rPr>
                <w:sz w:val="17"/>
                <w:szCs w:val="17"/>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Press Release dated December 27, 2019.</w:t>
              </w:r>
            </w:hyperlink>
          </w:p>
        </w:tc>
        <w:tc>
          <w:tcPr>
            <w:tcW w:w="3800" w:type="dxa"/>
            <w:vAlign w:val="bottom"/>
            <w:gridSpan w:val="3"/>
          </w:tcPr>
          <w:p>
            <w:pPr>
              <w:spacing w:after="0"/>
              <w:rPr>
                <w:sz w:val="17"/>
                <w:szCs w:val="17"/>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18415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5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420"/>
          </w:cols>
          <w:pgMar w:left="240" w:top="333"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December 30, 2019</w:t>
      </w:r>
    </w:p>
    <w:p>
      <w:pPr>
        <w:spacing w:after="0" w:line="200" w:lineRule="exact"/>
        <w:rPr>
          <w:sz w:val="20"/>
          <w:szCs w:val="20"/>
          <w:color w:val="auto"/>
        </w:rPr>
      </w:pPr>
    </w:p>
    <w:p>
      <w:pPr>
        <w:sectPr>
          <w:pgSz w:w="11900" w:h="16838" w:orient="portrait"/>
          <w:cols w:equalWidth="0" w:num="2">
            <w:col w:w="7280" w:space="720"/>
            <w:col w:w="3420"/>
          </w:cols>
          <w:pgMar w:left="240" w:top="333" w:right="239" w:bottom="1440" w:gutter="0" w:footer="0" w:header="0"/>
          <w:type w:val="continuous"/>
        </w:sectPr>
      </w:pPr>
    </w:p>
    <w:p>
      <w:pPr>
        <w:spacing w:after="0" w:line="3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7"/>
          <w:szCs w:val="17"/>
          <w:color w:val="auto"/>
        </w:rPr>
        <w:t>Initial Exercise Date: June 30, 2020</w:t>
      </w:r>
    </w:p>
    <w:p>
      <w:pPr>
        <w:sectPr>
          <w:pgSz w:w="11900" w:h="16838" w:orient="portrait"/>
          <w:cols w:equalWidth="0" w:num="1">
            <w:col w:w="11420"/>
          </w:cols>
          <w:pgMar w:left="240" w:top="333" w:right="2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PLACEMENT  AGENT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June 30, 2023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 This Warrant is being issued pursuant to that certain engagement letter, dated as of December 24, 2019, by and between the Company and H.C. Wainwright &amp; Co., LLC.</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 1:</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6" w:name="page7"/>
    <w:bookmarkEnd w:id="6"/>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December 27, 2019, among the Company and the purchasers signatory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52"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76" w:lineRule="exact"/>
        <w:rPr>
          <w:sz w:val="20"/>
          <w:szCs w:val="20"/>
          <w:color w:val="auto"/>
        </w:rPr>
      </w:pPr>
    </w:p>
    <w:p>
      <w:pPr>
        <w:ind w:right="20" w:firstLine="645"/>
        <w:spacing w:after="0" w:line="282" w:lineRule="auto"/>
        <w:tabs>
          <w:tab w:leader="none" w:pos="8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$13.125,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45"/>
        <w:spacing w:after="0" w:line="261"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the six-month anniversary of the Closing Date,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220" w:hanging="575"/>
        <w:spacing w:after="0" w:line="253" w:lineRule="auto"/>
        <w:tabs>
          <w:tab w:leader="none" w:pos="9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2" w:lineRule="exact"/>
        <w:rPr>
          <w:rFonts w:ascii="Times New Roman" w:cs="Times New Roman" w:eastAsia="Times New Roman" w:hAnsi="Times New Roman"/>
          <w:sz w:val="18"/>
          <w:szCs w:val="18"/>
          <w:color w:val="auto"/>
        </w:rPr>
      </w:pPr>
    </w:p>
    <w:p>
      <w:pPr>
        <w:ind w:left="920" w:hanging="27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220" w:hanging="575"/>
        <w:spacing w:after="0" w:line="282" w:lineRule="auto"/>
        <w:tabs>
          <w:tab w:leader="none" w:pos="9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9" w:name="page10"/>
    <w:bookmarkEnd w:id="9"/>
    <w:p>
      <w:pPr>
        <w:ind w:left="300" w:hanging="19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hanging="169"/>
        <w:spacing w:after="0" w:line="251" w:lineRule="auto"/>
        <w:tabs>
          <w:tab w:leader="none" w:pos="73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earliest of (i) two (2) Trading Days after the delivery to the Company of the Notice of Exercise, (ii) one (1) Trading Day after delivery of the aggregate Exercise Price to the Company and (iii) the number of Trading Days comprising the Standard Settlement Period,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0" w:name="page11"/>
    <w:bookmarkEnd w:id="10"/>
    <w:p>
      <w:pPr>
        <w:jc w:val="both"/>
        <w:ind w:left="760" w:firstLine="641"/>
        <w:spacing w:after="0" w:line="261" w:lineRule="auto"/>
        <w:tabs>
          <w:tab w:leader="none" w:pos="15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ind w:left="760" w:firstLine="641"/>
        <w:spacing w:after="0" w:line="282" w:lineRule="auto"/>
        <w:tabs>
          <w:tab w:leader="none" w:pos="16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760" w:firstLine="641"/>
        <w:spacing w:after="0" w:line="252" w:lineRule="auto"/>
        <w:tabs>
          <w:tab w:leader="none" w:pos="16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7" w:lineRule="exact"/>
        <w:rPr>
          <w:rFonts w:ascii="Times New Roman" w:cs="Times New Roman" w:eastAsia="Times New Roman" w:hAnsi="Times New Roman"/>
          <w:sz w:val="18"/>
          <w:szCs w:val="18"/>
          <w:color w:val="auto"/>
        </w:rPr>
      </w:pPr>
    </w:p>
    <w:p>
      <w:pPr>
        <w:jc w:val="both"/>
        <w:ind w:left="760" w:hanging="7"/>
        <w:spacing w:after="0" w:line="267" w:lineRule="auto"/>
        <w:tabs>
          <w:tab w:leader="none" w:pos="10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1" w:name="page12"/>
    <w:bookmarkEnd w:id="11"/>
    <w:p>
      <w:pPr>
        <w:jc w:val="both"/>
        <w:ind w:left="7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760" w:firstLine="641"/>
        <w:spacing w:after="0" w:line="254" w:lineRule="auto"/>
        <w:tabs>
          <w:tab w:leader="none" w:pos="1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9" w:lineRule="exact"/>
        <w:rPr>
          <w:rFonts w:ascii="Times New Roman" w:cs="Times New Roman" w:eastAsia="Times New Roman" w:hAnsi="Times New Roman"/>
          <w:sz w:val="18"/>
          <w:szCs w:val="18"/>
          <w:color w:val="auto"/>
        </w:rPr>
      </w:pPr>
    </w:p>
    <w:p>
      <w:pPr>
        <w:ind w:left="760" w:firstLine="641"/>
        <w:spacing w:after="0" w:line="282" w:lineRule="auto"/>
        <w:tabs>
          <w:tab w:leader="none" w:pos="17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2" w:name="page13"/>
    <w:bookmarkEnd w:id="12"/>
    <w:p>
      <w:pPr>
        <w:jc w:val="both"/>
        <w:ind w:firstLine="645"/>
        <w:spacing w:after="0" w:line="266" w:lineRule="auto"/>
        <w:tabs>
          <w:tab w:leader="none" w:pos="84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Ownership Limitation</w:t>
      </w:r>
      <w:r>
        <w:rPr>
          <w:rFonts w:ascii="Times New Roman" w:cs="Times New Roman" w:eastAsia="Times New Roman" w:hAnsi="Times New Roman"/>
          <w:sz w:val="17"/>
          <w:szCs w:val="17"/>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21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effective until the 61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rFonts w:ascii="Times New Roman" w:cs="Times New Roman" w:eastAsia="Times New Roman" w:hAnsi="Times New Roman"/>
          <w:sz w:val="18"/>
          <w:szCs w:val="18"/>
          <w:color w:val="auto"/>
        </w:rPr>
      </w:pPr>
    </w:p>
    <w:p>
      <w:pPr>
        <w:jc w:val="both"/>
        <w:ind w:firstLine="645"/>
        <w:spacing w:after="0" w:line="253" w:lineRule="auto"/>
        <w:tabs>
          <w:tab w:leader="none" w:pos="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2" w:lineRule="exact"/>
        <w:rPr>
          <w:rFonts w:ascii="Times New Roman" w:cs="Times New Roman" w:eastAsia="Times New Roman" w:hAnsi="Times New Roman"/>
          <w:sz w:val="18"/>
          <w:szCs w:val="18"/>
          <w:color w:val="auto"/>
        </w:rPr>
      </w:pPr>
    </w:p>
    <w:p>
      <w:pPr>
        <w:jc w:val="both"/>
        <w:ind w:firstLine="645"/>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4" w:name="page15"/>
    <w:bookmarkEnd w:id="14"/>
    <w:p>
      <w:pPr>
        <w:jc w:val="both"/>
        <w:ind w:left="-540" w:firstLine="645"/>
        <w:spacing w:after="0" w:line="251" w:lineRule="auto"/>
        <w:tabs>
          <w:tab w:leader="none" w:pos="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 and 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5" w:name="page16"/>
    <w:bookmarkEnd w:id="15"/>
    <w:p>
      <w:pPr>
        <w:jc w:val="both"/>
        <w:ind w:left="-540" w:firstLine="645"/>
        <w:spacing w:after="0" w:line="266" w:lineRule="auto"/>
        <w:tabs>
          <w:tab w:leader="none" w:pos="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6" w:lineRule="exact"/>
        <w:rPr>
          <w:rFonts w:ascii="Times New Roman" w:cs="Times New Roman" w:eastAsia="Times New Roman" w:hAnsi="Times New Roman"/>
          <w:sz w:val="18"/>
          <w:szCs w:val="18"/>
          <w:color w:val="auto"/>
        </w:rPr>
      </w:pPr>
    </w:p>
    <w:p>
      <w:pPr>
        <w:ind w:left="260" w:hanging="155"/>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641"/>
        <w:spacing w:after="0" w:line="261" w:lineRule="auto"/>
        <w:tabs>
          <w:tab w:leader="none" w:pos="15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6" w:name="page17"/>
    <w:bookmarkEnd w:id="16"/>
    <w:p>
      <w:pPr>
        <w:jc w:val="both"/>
        <w:ind w:left="2100" w:hanging="159"/>
        <w:spacing w:after="0" w:line="252" w:lineRule="auto"/>
        <w:tabs>
          <w:tab w:leader="none" w:pos="21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by operation of law or by reason of reorganization of the Company;</w:t>
      </w:r>
    </w:p>
    <w:p>
      <w:pPr>
        <w:spacing w:after="0" w:line="225" w:lineRule="exact"/>
        <w:rPr>
          <w:sz w:val="20"/>
          <w:szCs w:val="20"/>
          <w:color w:val="auto"/>
        </w:rPr>
      </w:pPr>
    </w:p>
    <w:p>
      <w:pPr>
        <w:ind w:left="160" w:right="20" w:firstLine="485"/>
        <w:spacing w:after="0" w:line="282" w:lineRule="auto"/>
        <w:tabs>
          <w:tab w:leader="none" w:pos="8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7" w:name="page18"/>
    <w:bookmarkEnd w:id="17"/>
    <w:p>
      <w:pPr>
        <w:ind w:left="722" w:hanging="235"/>
        <w:spacing w:after="0"/>
        <w:tabs>
          <w:tab w:leader="none" w:pos="7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securities of the Company held by the underwriter or related persons do not exceed 1% of the securities being</w:t>
      </w:r>
    </w:p>
    <w:p>
      <w:pPr>
        <w:spacing w:after="0" w:line="27"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w:t>
      </w:r>
    </w:p>
    <w:p>
      <w:pPr>
        <w:spacing w:after="0" w:line="206" w:lineRule="exact"/>
        <w:rPr>
          <w:rFonts w:ascii="Times New Roman" w:cs="Times New Roman" w:eastAsia="Times New Roman" w:hAnsi="Times New Roman"/>
          <w:sz w:val="18"/>
          <w:szCs w:val="18"/>
          <w:color w:val="auto"/>
        </w:rPr>
      </w:pPr>
    </w:p>
    <w:p>
      <w:pPr>
        <w:ind w:left="2" w:firstLine="485"/>
        <w:spacing w:after="0" w:line="282" w:lineRule="auto"/>
        <w:tabs>
          <w:tab w:leader="none" w:pos="7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61" w:lineRule="exact"/>
        <w:rPr>
          <w:rFonts w:ascii="Times New Roman" w:cs="Times New Roman" w:eastAsia="Times New Roman" w:hAnsi="Times New Roman"/>
          <w:sz w:val="18"/>
          <w:szCs w:val="18"/>
          <w:color w:val="auto"/>
        </w:rPr>
      </w:pPr>
    </w:p>
    <w:p>
      <w:pPr>
        <w:ind w:left="2" w:firstLine="485"/>
        <w:spacing w:after="0" w:line="282" w:lineRule="auto"/>
        <w:tabs>
          <w:tab w:leader="none" w:pos="6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conversion of any security, if all securities received remain subject to the lock-up restriction in this Section 4(a) for the remainder of the time period.</w:t>
      </w:r>
    </w:p>
    <w:p>
      <w:pPr>
        <w:spacing w:after="0" w:line="162" w:lineRule="exact"/>
        <w:rPr>
          <w:sz w:val="20"/>
          <w:szCs w:val="20"/>
          <w:color w:val="auto"/>
        </w:rPr>
      </w:pPr>
    </w:p>
    <w:p>
      <w:pPr>
        <w:jc w:val="both"/>
        <w:ind w:left="2" w:firstLine="486"/>
        <w:spacing w:after="0" w:line="252" w:lineRule="auto"/>
        <w:rPr>
          <w:sz w:val="20"/>
          <w:szCs w:val="20"/>
          <w:color w:val="auto"/>
        </w:rPr>
      </w:pPr>
      <w:r>
        <w:rPr>
          <w:rFonts w:ascii="Times New Roman" w:cs="Times New Roman" w:eastAsia="Times New Roman" w:hAnsi="Times New Roman"/>
          <w:sz w:val="18"/>
          <w:szCs w:val="18"/>
          <w:color w:val="auto"/>
        </w:rPr>
        <w:t>Subject to the foregoing restriction and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w:t>
      </w:r>
    </w:p>
    <w:p>
      <w:pPr>
        <w:spacing w:after="0" w:line="7" w:lineRule="exact"/>
        <w:rPr>
          <w:sz w:val="20"/>
          <w:szCs w:val="20"/>
          <w:color w:val="auto"/>
        </w:rPr>
      </w:pPr>
    </w:p>
    <w:p>
      <w:pPr>
        <w:jc w:val="both"/>
        <w:ind w:left="2" w:hanging="2"/>
        <w:spacing w:after="0" w:line="255"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6" w:lineRule="exact"/>
        <w:rPr>
          <w:rFonts w:ascii="Times New Roman" w:cs="Times New Roman" w:eastAsia="Times New Roman" w:hAnsi="Times New Roman"/>
          <w:sz w:val="18"/>
          <w:szCs w:val="18"/>
          <w:color w:val="auto"/>
        </w:rPr>
      </w:pPr>
    </w:p>
    <w:p>
      <w:pPr>
        <w:jc w:val="both"/>
        <w:ind w:left="-158" w:firstLine="645"/>
        <w:spacing w:after="0" w:line="256" w:lineRule="auto"/>
        <w:tabs>
          <w:tab w:leader="none" w:pos="6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left="-158" w:firstLine="645"/>
        <w:spacing w:after="0" w:line="261" w:lineRule="auto"/>
        <w:tabs>
          <w:tab w:leader="none" w:pos="7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480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2"/>
          </w:cols>
          <w:pgMar w:left="1058" w:top="661" w:right="239" w:bottom="1440" w:gutter="0" w:footer="0" w:header="0"/>
        </w:sectPr>
      </w:pPr>
    </w:p>
    <w:bookmarkStart w:id="18" w:name="page19"/>
    <w:bookmarkEnd w:id="18"/>
    <w:p>
      <w:pPr>
        <w:jc w:val="both"/>
        <w:ind w:firstLine="645"/>
        <w:spacing w:after="0" w:line="258"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5"/>
        <w:spacing w:after="0" w:line="255"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(ii) it is not purchasing the Securities as a result of any advertisement, article, notice, electronic mail, website or other communication regarding this Warrant or the underlying securities published in any newspaper, magazine, internet platform or similar media or broadcast over television or radio or presented at any seminar or, to the knowledge of the Holder, any other general solicitation or general advertisement. The Holder has a pre-existing, substantive relationship with the Company at the time it was first offered the Warrant.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61"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80" w:lineRule="exact"/>
        <w:rPr>
          <w:rFonts w:ascii="Times New Roman" w:cs="Times New Roman" w:eastAsia="Times New Roman" w:hAnsi="Times New Roman"/>
          <w:sz w:val="18"/>
          <w:szCs w:val="18"/>
          <w:color w:val="auto"/>
        </w:rPr>
      </w:pPr>
    </w:p>
    <w:p>
      <w:pPr>
        <w:jc w:val="both"/>
        <w:ind w:firstLine="645"/>
        <w:spacing w:after="0" w:line="258" w:lineRule="auto"/>
        <w:tabs>
          <w:tab w:leader="none" w:pos="8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5"/>
        <w:spacing w:after="0" w:line="282" w:lineRule="auto"/>
        <w:tabs>
          <w:tab w:leader="none" w:pos="8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19" w:name="page20"/>
    <w:bookmarkEnd w:id="19"/>
    <w:p>
      <w:pPr>
        <w:ind w:left="300" w:hanging="195"/>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 w:firstLine="1296"/>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6" w:lineRule="exact"/>
        <w:rPr>
          <w:sz w:val="20"/>
          <w:szCs w:val="20"/>
          <w:color w:val="auto"/>
        </w:rPr>
      </w:pPr>
    </w:p>
    <w:p>
      <w:pPr>
        <w:jc w:val="both"/>
        <w:ind w:left="100"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6"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20" w:name="page21"/>
    <w:bookmarkEnd w:id="20"/>
    <w:p>
      <w:pPr>
        <w:jc w:val="both"/>
        <w:ind w:left="-540" w:firstLine="645"/>
        <w:spacing w:after="0" w:line="253" w:lineRule="auto"/>
        <w:tabs>
          <w:tab w:leader="none" w:pos="2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8" w:lineRule="exact"/>
        <w:rPr>
          <w:rFonts w:ascii="Times New Roman" w:cs="Times New Roman" w:eastAsia="Times New Roman" w:hAnsi="Times New Roman"/>
          <w:sz w:val="18"/>
          <w:szCs w:val="18"/>
          <w:color w:val="auto"/>
        </w:rPr>
      </w:pPr>
    </w:p>
    <w:p>
      <w:pPr>
        <w:ind w:left="-540" w:firstLine="645"/>
        <w:spacing w:after="0" w:line="282" w:lineRule="auto"/>
        <w:tabs>
          <w:tab w:leader="none" w:pos="2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3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3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21" w:name="page22"/>
    <w:bookmarkEnd w:id="21"/>
    <w:p>
      <w:pPr>
        <w:jc w:val="both"/>
        <w:ind w:firstLine="645"/>
        <w:spacing w:after="0" w:line="266" w:lineRule="auto"/>
        <w:tabs>
          <w:tab w:leader="none" w:pos="8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6" w:lineRule="exact"/>
        <w:rPr>
          <w:rFonts w:ascii="Times New Roman" w:cs="Times New Roman" w:eastAsia="Times New Roman" w:hAnsi="Times New Roman"/>
          <w:sz w:val="18"/>
          <w:szCs w:val="18"/>
          <w:color w:val="auto"/>
        </w:rPr>
      </w:pPr>
    </w:p>
    <w:p>
      <w:pPr>
        <w:jc w:val="both"/>
        <w:ind w:firstLine="645"/>
        <w:spacing w:after="0" w:line="261" w:lineRule="auto"/>
        <w:tabs>
          <w:tab w:leader="none" w:pos="8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rFonts w:ascii="Times New Roman" w:cs="Times New Roman" w:eastAsia="Times New Roman" w:hAnsi="Times New Roman"/>
          <w:sz w:val="18"/>
          <w:szCs w:val="18"/>
          <w:color w:val="auto"/>
        </w:rPr>
      </w:pPr>
    </w:p>
    <w:p>
      <w:pPr>
        <w:jc w:val="both"/>
        <w:ind w:firstLine="645"/>
        <w:spacing w:after="0" w:line="261" w:lineRule="auto"/>
        <w:tabs>
          <w:tab w:leader="none" w:pos="8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18"/>
          <w:szCs w:val="18"/>
          <w:color w:val="auto"/>
        </w:rPr>
      </w:pPr>
    </w:p>
    <w:p>
      <w:pPr>
        <w:ind w:left="800" w:hanging="155"/>
        <w:spacing w:after="0"/>
        <w:tabs>
          <w:tab w:leader="none" w:pos="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w:t>
      </w:r>
    </w:p>
    <w:p>
      <w:pPr>
        <w:spacing w:after="0" w:line="206" w:lineRule="exact"/>
        <w:rPr>
          <w:rFonts w:ascii="Times New Roman" w:cs="Times New Roman" w:eastAsia="Times New Roman" w:hAnsi="Times New Roman"/>
          <w:sz w:val="17"/>
          <w:szCs w:val="17"/>
          <w:color w:val="auto"/>
        </w:rPr>
      </w:pPr>
    </w:p>
    <w:p>
      <w:pPr>
        <w:jc w:val="both"/>
        <w:ind w:firstLine="645"/>
        <w:spacing w:after="0" w:line="266" w:lineRule="auto"/>
        <w:tabs>
          <w:tab w:leader="none" w:pos="9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8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indicated.</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MICROBOT MEDICAL INC.</w:t>
      </w:r>
    </w:p>
    <w:p>
      <w:pPr>
        <w:spacing w:after="0" w:line="225" w:lineRule="exact"/>
        <w:rPr>
          <w:sz w:val="20"/>
          <w:szCs w:val="20"/>
          <w:color w:val="auto"/>
        </w:rPr>
      </w:pPr>
    </w:p>
    <w:p>
      <w:pPr>
        <w:ind w:firstLine="1305"/>
        <w:spacing w:after="0" w:line="282" w:lineRule="auto"/>
        <w:tabs>
          <w:tab w:leader="none" w:pos="15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1560" w:hanging="255"/>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1560" w:hanging="255"/>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ind w:left="1048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right="2080"/>
        <w:spacing w:after="0" w:line="535"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1140" w:type="dxa"/>
            <w:vAlign w:val="bottom"/>
          </w:tcPr>
          <w:p>
            <w:pPr>
              <w:spacing w:after="0"/>
              <w:rPr>
                <w:sz w:val="20"/>
                <w:szCs w:val="20"/>
                <w:color w:val="auto"/>
              </w:rPr>
            </w:pPr>
          </w:p>
        </w:tc>
      </w:tr>
      <w:tr>
        <w:trPr>
          <w:trHeight w:val="42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1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1140" w:type="dxa"/>
            <w:vAlign w:val="bottom"/>
          </w:tcPr>
          <w:p>
            <w:pPr>
              <w:spacing w:after="0"/>
              <w:rPr>
                <w:sz w:val="20"/>
                <w:szCs w:val="20"/>
                <w:color w:val="auto"/>
              </w:rPr>
            </w:pPr>
          </w:p>
        </w:tc>
      </w:tr>
      <w:tr>
        <w:trPr>
          <w:trHeight w:val="42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3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43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3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8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_______________ __, ______</w:t>
            </w: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38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38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9"/>
        </w:trPr>
        <w:tc>
          <w:tcPr>
            <w:tcW w:w="18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25" w:name="page26"/>
    <w:bookmarkEnd w:id="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-119380</wp:posOffset>
            </wp:positionV>
            <wp:extent cx="780415" cy="977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80415" cy="97790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December 30,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Hingham, Massachusetts 02043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have acted as legal counsel to Microbot Medical Inc., a Delaware corporation (the “Company”), in connection with the preparation and filing with the Securities and Exchange Commission (the “Commission”) of a Prospectus Supplement, dated December 27, 2019 (the “Prospectus Supplement”), to a Registration Statement (File No.: 333-217076) on Form S-3 (the “Registration Statement”), filed by the Company with the Commission under the Securities Act of 1933, as amended (the “Securities Act”). The Prospectus Supplement relates to the issuance and sale of shares (the “Shares”) of the Company’s common stock, $0.01 par value per share (the “Common Stock”) pursuant to a Securities Purchase Agreement, dated December 27, 2019, between the Company and the purchasers named therein (the “Purchase Agreement”).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Purchase Agreement.</w:t>
      </w:r>
    </w:p>
    <w:p>
      <w:pPr>
        <w:spacing w:after="0" w:line="18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(i) the Registration Statement, including the Prospectus Supplement, (ii) the Purchase Agreement, (iii) the Restated Certificate of Incorporation of the Company, as amended, as currently in effect, (iv) the Amended and Restated Bylaws of the Company, as currently in effect, and (v) certain resolutions adopted by the Board of Directors of the Company and committees thereof with respect to the Purchase Agreement and the issuance of the Shares.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18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We have relied, without independent verification, on certificates of public officials and, as to matters of fact material to the opinions set forth below, on certificates of officers of the Company.</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123190</wp:posOffset>
            </wp:positionV>
            <wp:extent cx="574611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46115" cy="34290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Based upon, subject to and limited by the foregoing, as of the date hereof, we are of the opinion that the Shares, when issued and sold in accordance with the Purchase Agreement and in the manner contemplated by the Registration Statement and the Prospectus Supplement, will be validly issued, fully paid and non-assessable.</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27, 2019,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(2nd) Trading Day following the date 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material lien, charge, pledge, security interest, encumbrance, right of first refusal, preemptive right or other restriction.</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$10.50,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base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333-217076 which registers the sale of the Shares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approximately $10.0 million of Shares. Each Purchaser’s Subscription Amount as set forth on the signature page hereto executed by such Purchaser shall be made available for “Delivery Versus Payment” settlement with the Company or its designees.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7" w:lineRule="exact"/>
        <w:rPr>
          <w:rFonts w:ascii="Times New Roman" w:cs="Times New Roman" w:eastAsia="Times New Roman" w:hAnsi="Times New Roman"/>
          <w:sz w:val="18"/>
          <w:szCs w:val="18"/>
          <w:color w:val="auto"/>
        </w:rPr>
      </w:pPr>
    </w:p>
    <w:p>
      <w:pPr>
        <w:ind w:left="1500" w:hanging="207"/>
        <w:spacing w:after="0"/>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06" w:lineRule="exact"/>
        <w:rPr>
          <w:rFonts w:ascii="Times New Roman" w:cs="Times New Roman" w:eastAsia="Times New Roman" w:hAnsi="Times New Roman"/>
          <w:sz w:val="18"/>
          <w:szCs w:val="18"/>
          <w:color w:val="auto"/>
        </w:rPr>
      </w:pPr>
    </w:p>
    <w:p>
      <w:pPr>
        <w:ind w:left="1560" w:hanging="267"/>
        <w:spacing w:after="0"/>
        <w:tabs>
          <w:tab w:leader="none" w:pos="15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a form reasonably acceptable to the Placement Agent and Purchasers;</w:t>
      </w:r>
    </w:p>
    <w:p>
      <w:pPr>
        <w:spacing w:after="0" w:line="225" w:lineRule="exact"/>
        <w:rPr>
          <w:rFonts w:ascii="Times New Roman" w:cs="Times New Roman" w:eastAsia="Times New Roman" w:hAnsi="Times New Roman"/>
          <w:sz w:val="18"/>
          <w:szCs w:val="18"/>
          <w:color w:val="auto"/>
        </w:rPr>
      </w:pPr>
    </w:p>
    <w:p>
      <w:pPr>
        <w:ind w:left="1640" w:hanging="347"/>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Chief Executive Officer or Chief Financial</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w:t>
      </w:r>
    </w:p>
    <w:p>
      <w:pPr>
        <w:spacing w:after="0" w:line="206"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59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 and</w:t>
      </w:r>
    </w:p>
    <w:p>
      <w:pPr>
        <w:spacing w:after="0" w:line="176" w:lineRule="exact"/>
        <w:rPr>
          <w:rFonts w:ascii="Times New Roman" w:cs="Times New Roman" w:eastAsia="Times New Roman" w:hAnsi="Times New Roman"/>
          <w:sz w:val="18"/>
          <w:szCs w:val="18"/>
          <w:color w:val="auto"/>
        </w:rPr>
      </w:pPr>
    </w:p>
    <w:p>
      <w:pPr>
        <w:ind w:left="1540" w:hanging="247"/>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940" w:hanging="295"/>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7"/>
        <w:spacing w:after="0"/>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3"/>
        <w:spacing w:after="0" w:line="282" w:lineRule="auto"/>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5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7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4" w:name="page35"/>
    <w:bookmarkEnd w:id="34"/>
    <w:p>
      <w:pPr>
        <w:ind w:left="640" w:firstLine="653"/>
        <w:spacing w:after="0" w:line="282" w:lineRule="auto"/>
        <w:tabs>
          <w:tab w:leader="none" w:pos="155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7"/>
        <w:spacing w:after="0"/>
        <w:tabs>
          <w:tab w:leader="none" w:pos="16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80" w:hanging="335"/>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3"/>
        <w:spacing w:after="0" w:line="266" w:lineRule="auto"/>
        <w:tabs>
          <w:tab w:leader="none" w:pos="15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6" w:lineRule="exact"/>
        <w:rPr>
          <w:rFonts w:ascii="Times New Roman" w:cs="Times New Roman" w:eastAsia="Times New Roman" w:hAnsi="Times New Roman"/>
          <w:sz w:val="18"/>
          <w:szCs w:val="18"/>
          <w:color w:val="auto"/>
        </w:rPr>
      </w:pPr>
    </w:p>
    <w:p>
      <w:pPr>
        <w:ind w:left="640" w:firstLine="653"/>
        <w:spacing w:after="0" w:line="282" w:lineRule="auto"/>
        <w:tabs>
          <w:tab w:leader="none" w:pos="15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7"/>
        <w:spacing w:after="0"/>
        <w:tabs>
          <w:tab w:leader="none" w:pos="1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7"/>
        <w:spacing w:after="0"/>
        <w:tabs>
          <w:tab w:leader="none" w:pos="1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55" w:lineRule="auto"/>
        <w:tabs>
          <w:tab w:leader="none" w:pos="15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8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or on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left="660" w:firstLine="645"/>
        <w:spacing w:after="0" w:line="258" w:lineRule="auto"/>
        <w:tabs>
          <w:tab w:leader="none" w:pos="15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3" w:lineRule="auto"/>
        <w:tabs>
          <w:tab w:leader="none" w:pos="15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0" w:lineRule="exact"/>
        <w:rPr>
          <w:rFonts w:ascii="Times New Roman" w:cs="Times New Roman" w:eastAsia="Times New Roman" w:hAnsi="Times New Roman"/>
          <w:sz w:val="18"/>
          <w:szCs w:val="18"/>
          <w:color w:val="auto"/>
        </w:rPr>
      </w:pPr>
    </w:p>
    <w:p>
      <w:pPr>
        <w:jc w:val="both"/>
        <w:ind w:left="660" w:firstLine="645"/>
        <w:spacing w:after="0" w:line="253" w:lineRule="auto"/>
        <w:tabs>
          <w:tab w:leader="none" w:pos="1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jc w:val="both"/>
        <w:ind w:left="-540" w:firstLine="645"/>
        <w:spacing w:after="0" w:line="253" w:lineRule="auto"/>
        <w:tabs>
          <w:tab w:leader="none" w:pos="3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3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37" w:name="page38"/>
    <w:bookmarkEnd w:id="37"/>
    <w:p>
      <w:pPr>
        <w:jc w:val="both"/>
        <w:ind w:left="-540" w:firstLine="645"/>
        <w:spacing w:after="0" w:line="252" w:lineRule="auto"/>
        <w:tabs>
          <w:tab w:leader="none" w:pos="3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April 14, 2017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92"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3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38" w:name="page39"/>
    <w:bookmarkEnd w:id="38"/>
    <w:p>
      <w:pPr>
        <w:jc w:val="both"/>
        <w:ind w:left="-540" w:firstLine="645"/>
        <w:spacing w:after="0" w:line="252" w:lineRule="auto"/>
        <w:tabs>
          <w:tab w:leader="none" w:pos="3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3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except as disclosed in an SEC Report filed prior to the date hereof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39" w:name="page40"/>
    <w:bookmarkEnd w:id="39"/>
    <w:p>
      <w:pPr>
        <w:jc w:val="both"/>
        <w:ind w:left="-540" w:firstLine="645"/>
        <w:spacing w:after="0" w:line="254" w:lineRule="auto"/>
        <w:tabs>
          <w:tab w:leader="none" w:pos="3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6"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3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0" w:name="page41"/>
    <w:bookmarkEnd w:id="40"/>
    <w:p>
      <w:pPr>
        <w:jc w:val="both"/>
        <w:ind w:left="-540" w:firstLine="645"/>
        <w:spacing w:after="0" w:line="255" w:lineRule="auto"/>
        <w:tabs>
          <w:tab w:leader="none" w:pos="3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85" w:lineRule="exact"/>
        <w:rPr>
          <w:rFonts w:ascii="Times New Roman" w:cs="Times New Roman" w:eastAsia="Times New Roman" w:hAnsi="Times New Roman"/>
          <w:sz w:val="18"/>
          <w:szCs w:val="18"/>
          <w:color w:val="auto"/>
        </w:rPr>
      </w:pPr>
    </w:p>
    <w:p>
      <w:pPr>
        <w:jc w:val="both"/>
        <w:ind w:left="-540" w:firstLine="645"/>
        <w:spacing w:after="0" w:line="254" w:lineRule="auto"/>
        <w:tabs>
          <w:tab w:leader="none" w:pos="4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6"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3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3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1" w:name="page42"/>
    <w:bookmarkEnd w:id="41"/>
    <w:p>
      <w:pPr>
        <w:jc w:val="both"/>
        <w:ind w:left="-540" w:firstLine="645"/>
        <w:spacing w:after="0" w:line="253" w:lineRule="auto"/>
        <w:tabs>
          <w:tab w:leader="none" w:pos="3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3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3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2" w:name="page43"/>
    <w:bookmarkEnd w:id="42"/>
    <w:p>
      <w:pPr>
        <w:jc w:val="both"/>
        <w:ind w:left="-540" w:firstLine="645"/>
        <w:spacing w:after="0" w:line="252" w:lineRule="auto"/>
        <w:tabs>
          <w:tab w:leader="none" w:pos="3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3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3" w:name="page44"/>
    <w:bookmarkEnd w:id="43"/>
    <w:p>
      <w:pPr>
        <w:jc w:val="both"/>
        <w:ind w:left="-540" w:firstLine="645"/>
        <w:spacing w:after="0" w:line="261" w:lineRule="auto"/>
        <w:tabs>
          <w:tab w:leader="none" w:pos="3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0" w:lineRule="exact"/>
        <w:rPr>
          <w:rFonts w:ascii="Times New Roman" w:cs="Times New Roman" w:eastAsia="Times New Roman" w:hAnsi="Times New Roman"/>
          <w:sz w:val="18"/>
          <w:szCs w:val="18"/>
          <w:color w:val="auto"/>
        </w:rPr>
      </w:pPr>
    </w:p>
    <w:p>
      <w:pPr>
        <w:ind w:left="-540" w:right="20" w:firstLine="645"/>
        <w:spacing w:after="0" w:line="282" w:lineRule="auto"/>
        <w:tabs>
          <w:tab w:leader="none" w:pos="3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4" w:lineRule="auto"/>
        <w:tabs>
          <w:tab w:leader="none" w:pos="4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3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8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4" w:name="page45"/>
    <w:bookmarkEnd w:id="44"/>
    <w:p>
      <w:pPr>
        <w:jc w:val="both"/>
        <w:ind w:left="-540" w:firstLine="645"/>
        <w:spacing w:after="0" w:line="254" w:lineRule="auto"/>
        <w:tabs>
          <w:tab w:leader="none" w:pos="3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3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84" w:lineRule="exact"/>
        <w:rPr>
          <w:sz w:val="20"/>
          <w:szCs w:val="20"/>
          <w:color w:val="auto"/>
        </w:rPr>
      </w:pPr>
    </w:p>
    <w:p>
      <w:pPr>
        <w:jc w:val="both"/>
        <w:ind w:left="-540" w:firstLine="645"/>
        <w:spacing w:after="0" w:line="252" w:lineRule="auto"/>
        <w:tabs>
          <w:tab w:leader="none" w:pos="4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9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5" w:name="page46"/>
    <w:bookmarkEnd w:id="45"/>
    <w:p>
      <w:pPr>
        <w:jc w:val="both"/>
        <w:ind w:left="-540" w:firstLine="645"/>
        <w:spacing w:after="0" w:line="255" w:lineRule="auto"/>
        <w:tabs>
          <w:tab w:leader="none" w:pos="4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4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4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Brightman Almagor Zohar &amp; Co., a Member of Deloitte Touche Tohmatsu Limited.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4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6" w:name="page47"/>
    <w:bookmarkEnd w:id="46"/>
    <w:p>
      <w:pPr>
        <w:jc w:val="both"/>
        <w:ind w:left="-540" w:firstLine="645"/>
        <w:spacing w:after="0" w:line="253" w:lineRule="auto"/>
        <w:tabs>
          <w:tab w:leader="none" w:pos="4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0"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4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9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7" w:name="page48"/>
    <w:bookmarkEnd w:id="47"/>
    <w:p>
      <w:pPr>
        <w:jc w:val="both"/>
        <w:ind w:left="-540" w:firstLine="645"/>
        <w:spacing w:after="0" w:line="256" w:lineRule="auto"/>
        <w:tabs>
          <w:tab w:leader="none" w:pos="3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3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540" w:right="20" w:firstLine="645"/>
        <w:spacing w:after="0" w:line="282" w:lineRule="auto"/>
        <w:tabs>
          <w:tab w:leader="none" w:pos="4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540" w:right="20" w:firstLine="645"/>
        <w:spacing w:after="0" w:line="256" w:lineRule="auto"/>
        <w:tabs>
          <w:tab w:leader="none" w:pos="3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8" w:name="page49"/>
    <w:bookmarkEnd w:id="48"/>
    <w:p>
      <w:pPr>
        <w:jc w:val="both"/>
        <w:ind w:left="660" w:firstLine="645"/>
        <w:spacing w:after="0" w:line="258" w:lineRule="auto"/>
        <w:tabs>
          <w:tab w:leader="none" w:pos="17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80" w:firstLine="925"/>
        <w:spacing w:after="0" w:line="253" w:lineRule="auto"/>
        <w:tabs>
          <w:tab w:leader="none" w:pos="15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rFonts w:ascii="Times New Roman" w:cs="Times New Roman" w:eastAsia="Times New Roman" w:hAnsi="Times New Roman"/>
          <w:sz w:val="18"/>
          <w:szCs w:val="18"/>
          <w:color w:val="auto"/>
        </w:rPr>
      </w:pPr>
    </w:p>
    <w:p>
      <w:pPr>
        <w:jc w:val="both"/>
        <w:ind w:left="380" w:firstLine="654"/>
        <w:spacing w:after="0" w:line="254"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 Such Purchaser is acquiring such Shares as principal for his, her 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such Shares pursuant to a registration statement or otherwise in compliance with applicable federal and state securities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ind w:firstLine="925"/>
        <w:spacing w:after="0" w:line="266" w:lineRule="auto"/>
        <w:tabs>
          <w:tab w:leader="none" w:pos="11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176" w:lineRule="exact"/>
        <w:rPr>
          <w:rFonts w:ascii="Times New Roman" w:cs="Times New Roman" w:eastAsia="Times New Roman" w:hAnsi="Times New Roman"/>
          <w:sz w:val="18"/>
          <w:szCs w:val="18"/>
          <w:color w:val="auto"/>
        </w:rPr>
      </w:pPr>
    </w:p>
    <w:p>
      <w:pPr>
        <w:jc w:val="both"/>
        <w:ind w:firstLine="925"/>
        <w:spacing w:after="0" w:line="261" w:lineRule="auto"/>
        <w:tabs>
          <w:tab w:leader="none" w:pos="11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0" w:lineRule="exact"/>
        <w:rPr>
          <w:rFonts w:ascii="Times New Roman" w:cs="Times New Roman" w:eastAsia="Times New Roman" w:hAnsi="Times New Roman"/>
          <w:sz w:val="18"/>
          <w:szCs w:val="18"/>
          <w:color w:val="auto"/>
        </w:rPr>
      </w:pPr>
    </w:p>
    <w:p>
      <w:pPr>
        <w:jc w:val="both"/>
        <w:ind w:firstLine="925"/>
        <w:spacing w:after="0" w:line="253" w:lineRule="auto"/>
        <w:tabs>
          <w:tab w:leader="none" w:pos="11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192" w:lineRule="exact"/>
        <w:rPr>
          <w:rFonts w:ascii="Times New Roman" w:cs="Times New Roman" w:eastAsia="Times New Roman" w:hAnsi="Times New Roman"/>
          <w:sz w:val="18"/>
          <w:szCs w:val="18"/>
          <w:color w:val="auto"/>
        </w:rPr>
      </w:pPr>
    </w:p>
    <w:p>
      <w:pPr>
        <w:jc w:val="both"/>
        <w:ind w:firstLine="925"/>
        <w:spacing w:after="0" w:line="253" w:lineRule="auto"/>
        <w:tabs>
          <w:tab w:leader="none" w:pos="11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620" w:top="661" w:right="239" w:bottom="1440" w:gutter="0" w:footer="0" w:header="0"/>
        </w:sectPr>
      </w:pPr>
    </w:p>
    <w:bookmarkStart w:id="50" w:name="page51"/>
    <w:bookmarkEnd w:id="50"/>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the purposes described in the Prospectus Supplement.</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on or before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)Trading Day following the date of mailing, if sent by U.S. nationally recognized overnight courier service or</w:t>
      </w:r>
    </w:p>
    <w:p>
      <w:pPr>
        <w:jc w:val="both"/>
        <w:ind w:firstLine="8"/>
        <w:spacing w:after="0" w:line="253" w:lineRule="auto"/>
        <w:tabs>
          <w:tab w:leader="none" w:pos="2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34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Address for Notice:</w:t>
            </w:r>
          </w:p>
        </w:tc>
      </w:tr>
      <w:tr>
        <w:trPr>
          <w:trHeight w:val="46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Financial Center</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02111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Marc D. Mantell, Esq.</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Ruskin Moscou Faltischek, P.C.</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1425 RXR Plaza</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3"/>
        </w:trPr>
        <w:tc>
          <w:tcPr>
            <w:tcW w:w="562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East Tower,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Uniondale, New York 11556</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Stephen E. Fox, Esq.</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for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jc w:val="both"/>
        <w:ind w:firstLine="8"/>
        <w:spacing w:after="0" w:line="255" w:lineRule="auto"/>
        <w:tabs>
          <w:tab w:leader="none" w:pos="2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 Announces $10 Million Registered Direct Offering Priced At-the-Market under Nasdaq Rules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HINGHAM, Mass., December 27, 2019 – Microbot Medical Inc. (Nasdaq: MBOT), a medical device company specializing in the design and development of transformational micro-robotic medical technologies, today announced that it has entered into definitive agreements with certain institutional investors for the purchase in a registered direct offering of 952,383 shares of its common stock, at a purchase price per share of $10.50, priced at-the-market under Nasdaq rules.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is expected to occur on or about December 30, 2019, subject to the satisfaction of customary closing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gross proceeds to Microbot, before deducting placement agent fees and other offering expenses, are expected to be approximately $10 million. Microbot currently intends to use the net proceeds from this offering for the continuous development and regulatory activities for its SCS device for the treatment of hydrocephalus and NPH; continue the development of the Company’s LIBERTY robotic system, including its expansion through addition of complementary assets to it either through internal development, in-license or acquisitions; expand and develop additional applications deriving from its existing IP portfolio, either through internal development, in-license or acquisition; and for working capital and other general corporate purposes.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are being offered by Microbot pursuant to a “shelf” registration statement on Form S-3 that was originally filed on March 31, 2017 and declared effective by the Securities and Exchange Commission (“SEC”) on April 14, 2017 and the base prospectus contained therein (File No. 333-217076). The offering of the shares of common stock is being made only by means of a prospectus supplement that forms a part of the registration statement. A final prospectus supplement and accompanying base prospectus relating to the shares of common stock being offered will be filed with the SEC. Electronic copies of the final prospectus supplement and accompanying base prospectus may be obtained, when available, on the SEC’s website at http://www.sec.gov or by contacting H.C. Wainwright &amp; Co., LLC at 430 Park Avenue, 3rd Floor, New York, NY 10022, by phone at 646-975-6996 or e-mail at placements@hcwco.com.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 disclaims any intent or obligation to update these forward-looking statements, except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Erich Sandoval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Finn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erich.sandoval@finnpartners.com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212-867-1762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Letter"/>
      <w:start w:val="1"/>
    </w:lvl>
  </w:abstractNum>
  <w:abstractNum w:abstractNumId="2">
    <w:nsid w:val="54E49EB4"/>
    <w:multiLevelType w:val="hybridMultilevel"/>
    <w:lvl w:ilvl="0">
      <w:lvlJc w:val="left"/>
      <w:lvlText w:val="%1)"/>
      <w:numFmt w:val="lowerLetter"/>
      <w:start w:val="2"/>
    </w:lvl>
  </w:abstractNum>
  <w:abstractNum w:abstractNumId="3">
    <w:nsid w:val="71F32454"/>
    <w:multiLevelType w:val="hybridMultilevel"/>
    <w:lvl w:ilvl="0">
      <w:lvlJc w:val="left"/>
      <w:lvlText w:val="(%1)"/>
      <w:numFmt w:val="upperLetter"/>
      <w:start w:val="1"/>
    </w:lvl>
  </w:abstractNum>
  <w:abstractNum w:abstractNumId="4">
    <w:nsid w:val="2CA88611"/>
    <w:multiLevelType w:val="hybridMultilevel"/>
    <w:lvl w:ilvl="0">
      <w:lvlJc w:val="left"/>
      <w:lvlText w:val="(%1)"/>
      <w:numFmt w:val="upperLetter"/>
      <w:start w:val="24"/>
    </w:lvl>
  </w:abstractNum>
  <w:abstractNum w:abstractNumId="5">
    <w:nsid w:val="836C40E"/>
    <w:multiLevelType w:val="hybridMultilevel"/>
    <w:lvl w:ilvl="0">
      <w:lvlJc w:val="left"/>
      <w:lvlText w:val="%1)"/>
      <w:numFmt w:val="lowerLetter"/>
      <w:start w:val="4"/>
    </w:lvl>
    <w:lvl w:ilvl="1">
      <w:lvlJc w:val="left"/>
      <w:lvlText w:val="%2."/>
      <w:numFmt w:val="lowerRoman"/>
      <w:start w:val="1"/>
    </w:lvl>
  </w:abstractNum>
  <w:abstractNum w:abstractNumId="6">
    <w:nsid w:val="2901D82"/>
    <w:multiLevelType w:val="hybridMultilevel"/>
    <w:lvl w:ilvl="0">
      <w:lvlJc w:val="left"/>
      <w:lvlText w:val="%1"/>
      <w:numFmt w:val="decimal"/>
      <w:start w:val="1"/>
    </w:lvl>
    <w:lvl w:ilvl="1">
      <w:lvlJc w:val="left"/>
      <w:lvlText w:val="%2."/>
      <w:numFmt w:val="lowerRoman"/>
      <w:start w:val="2"/>
    </w:lvl>
  </w:abstractNum>
  <w:abstractNum w:abstractNumId="7">
    <w:nsid w:val="3A95F874"/>
    <w:multiLevelType w:val="hybridMultilevel"/>
    <w:lvl w:ilvl="0">
      <w:lvlJc w:val="left"/>
      <w:lvlText w:val="(%1)"/>
      <w:numFmt w:val="decimal"/>
      <w:start w:val="2"/>
    </w:lvl>
    <w:lvl w:ilvl="1">
      <w:lvlJc w:val="left"/>
      <w:lvlText w:val="%2"/>
      <w:numFmt w:val="lowerRoman"/>
      <w:start w:val="1"/>
    </w:lvl>
  </w:abstractNum>
  <w:abstractNum w:abstractNumId="8">
    <w:nsid w:val="8138641"/>
    <w:multiLevelType w:val="hybridMultilevel"/>
    <w:lvl w:ilvl="0">
      <w:lvlJc w:val="left"/>
      <w:lvlText w:val="%1."/>
      <w:numFmt w:val="lowerRoman"/>
      <w:start w:val="6"/>
    </w:lvl>
  </w:abstractNum>
  <w:abstractNum w:abstractNumId="9">
    <w:nsid w:val="1E7FF521"/>
    <w:multiLevelType w:val="hybridMultilevel"/>
    <w:lvl w:ilvl="0">
      <w:lvlJc w:val="left"/>
      <w:lvlText w:val="%1)"/>
      <w:numFmt w:val="lowerLetter"/>
      <w:start w:val="5"/>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4"/>
    </w:lvl>
  </w:abstractNum>
  <w:abstractNum w:abstractNumId="12">
    <w:nsid w:val="6CEAF087"/>
    <w:multiLevelType w:val="hybridMultilevel"/>
    <w:lvl w:ilvl="0">
      <w:lvlJc w:val="left"/>
      <w:lvlText w:val="%1)"/>
      <w:numFmt w:val="lowerLetter"/>
      <w:start w:val="5"/>
    </w:lvl>
    <w:lvl w:ilvl="1">
      <w:lvlJc w:val="left"/>
      <w:lvlText w:val="%2."/>
      <w:numFmt w:val="lowerRoman"/>
      <w:start w:val="1"/>
    </w:lvl>
  </w:abstractNum>
  <w:abstractNum w:abstractNumId="13">
    <w:nsid w:val="22221A70"/>
    <w:multiLevelType w:val="hybridMultilevel"/>
    <w:lvl w:ilvl="0">
      <w:lvlJc w:val="left"/>
      <w:lvlText w:val="%1."/>
      <w:numFmt w:val="lowerRoman"/>
      <w:start w:val="2"/>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Roman"/>
      <w:start w:val="2"/>
    </w:lvl>
  </w:abstractNum>
  <w:abstractNum w:abstractNumId="16">
    <w:nsid w:val="614FD4A1"/>
    <w:multiLevelType w:val="hybridMultilevel"/>
    <w:lvl w:ilvl="0">
      <w:lvlJc w:val="left"/>
      <w:lvlText w:val="%1."/>
      <w:numFmt w:val="lowerRoman"/>
      <w:start w:val="3"/>
    </w:lvl>
  </w:abstractNum>
  <w:abstractNum w:abstractNumId="17">
    <w:nsid w:val="419AC241"/>
    <w:multiLevelType w:val="hybridMultilevel"/>
    <w:lvl w:ilvl="0">
      <w:lvlJc w:val="left"/>
      <w:lvlText w:val="(%1)"/>
      <w:numFmt w:val="decimal"/>
      <w:start w:val="3"/>
    </w:lvl>
    <w:lvl w:ilvl="1">
      <w:lvlJc w:val="left"/>
      <w:lvlText w:val="%2)"/>
      <w:numFmt w:val="lowerLetter"/>
      <w:start w:val="2"/>
    </w:lvl>
  </w:abstractNum>
  <w:abstractNum w:abstractNumId="18">
    <w:nsid w:val="5577F8E1"/>
    <w:multiLevelType w:val="hybridMultilevel"/>
    <w:lvl w:ilvl="0">
      <w:lvlJc w:val="left"/>
      <w:lvlText w:val="%1)"/>
      <w:numFmt w:val="lowerLetter"/>
      <w:start w:val="4"/>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4"/>
    </w:lvl>
  </w:abstractNum>
  <w:abstractNum w:abstractNumId="21">
    <w:nsid w:val="3804823E"/>
    <w:multiLevelType w:val="hybridMultilevel"/>
    <w:lvl w:ilvl="0">
      <w:lvlJc w:val="left"/>
      <w:lvlText w:val="%1)"/>
      <w:numFmt w:val="lowerLetter"/>
      <w:start w:val="5"/>
    </w:lvl>
  </w:abstractNum>
  <w:abstractNum w:abstractNumId="22">
    <w:nsid w:val="77465F01"/>
    <w:multiLevelType w:val="hybridMultilevel"/>
    <w:lvl w:ilvl="0">
      <w:lvlJc w:val="left"/>
      <w:lvlText w:val="%1)"/>
      <w:numFmt w:val="lowerLetter"/>
      <w:start w:val="9"/>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3"/>
    </w:lvl>
  </w:abstractNum>
  <w:abstractNum w:abstractNumId="25">
    <w:nsid w:val="2463B9EA"/>
    <w:multiLevelType w:val="hybridMultilevel"/>
    <w:lvl w:ilvl="0">
      <w:lvlJc w:val="left"/>
      <w:lvlText w:val="(%1)"/>
      <w:numFmt w:val="decimal"/>
      <w:start w:val="4"/>
    </w:lvl>
  </w:abstractNum>
  <w:abstractNum w:abstractNumId="26">
    <w:nsid w:val="5E884ADC"/>
    <w:multiLevelType w:val="hybridMultilevel"/>
    <w:lvl w:ilvl="0">
      <w:lvlJc w:val="left"/>
      <w:lvlText w:val="(%1)"/>
      <w:numFmt w:val="lowerLetter"/>
      <w:start w:val="1"/>
    </w:lvl>
    <w:lvl w:ilvl="1">
      <w:lvlJc w:val="left"/>
      <w:lvlText w:val="(%2)"/>
      <w:numFmt w:val="lowerRoman"/>
      <w:start w:val="1"/>
    </w:lvl>
  </w:abstractNum>
  <w:abstractNum w:abstractNumId="27">
    <w:nsid w:val="51EAD36B"/>
    <w:multiLevelType w:val="hybridMultilevel"/>
    <w:lvl w:ilvl="0">
      <w:lvlJc w:val="left"/>
      <w:lvlText w:val="(%1)"/>
      <w:numFmt w:val="lowerLetter"/>
      <w:start w:val="1"/>
    </w:lvl>
    <w:lvl w:ilvl="1">
      <w:lvlJc w:val="left"/>
      <w:lvlText w:val="(%2)"/>
      <w:numFmt w:val="lowerLetter"/>
      <w:start w:val="9"/>
    </w:lvl>
  </w:abstractNum>
  <w:abstractNum w:abstractNumId="28">
    <w:nsid w:val="2D517796"/>
    <w:multiLevelType w:val="hybridMultilevel"/>
    <w:lvl w:ilvl="0">
      <w:lvlJc w:val="left"/>
      <w:lvlText w:val="%1"/>
      <w:numFmt w:val="lowerLetter"/>
      <w:start w:val="1"/>
    </w:lvl>
    <w:lvl w:ilvl="1">
      <w:lvlJc w:val="left"/>
      <w:lvlText w:val="(%2)"/>
      <w:numFmt w:val="lowerRoman"/>
      <w:start w:val="2"/>
    </w:lvl>
  </w:abstractNum>
  <w:abstractNum w:abstractNumId="29">
    <w:nsid w:val="580BD78F"/>
    <w:multiLevelType w:val="hybridMultilevel"/>
    <w:lvl w:ilvl="0">
      <w:lvlJc w:val="left"/>
      <w:lvlText w:val="(%1)"/>
      <w:numFmt w:val="lowerLetter"/>
      <w:start w:val="2"/>
    </w:lvl>
    <w:lvl w:ilvl="1">
      <w:lvlJc w:val="left"/>
      <w:lvlText w:val="%2"/>
      <w:numFmt w:val="lowerRoman"/>
      <w:start w:val="1"/>
    </w:lvl>
  </w:abstractNum>
  <w:abstractNum w:abstractNumId="30">
    <w:nsid w:val="153EA438"/>
    <w:multiLevelType w:val="hybridMultilevel"/>
    <w:lvl w:ilvl="0">
      <w:lvlJc w:val="left"/>
      <w:lvlText w:val="(%1)"/>
      <w:numFmt w:val="lowerRoman"/>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4"/>
    </w:lvl>
  </w:abstractNum>
  <w:abstractNum w:abstractNumId="33">
    <w:nsid w:val="6A2342EC"/>
    <w:multiLevelType w:val="hybridMultilevel"/>
    <w:lvl w:ilvl="0">
      <w:lvlJc w:val="left"/>
      <w:lvlText w:val="(%1)"/>
      <w:numFmt w:val="lowerLetter"/>
      <w:start w:val="6"/>
    </w:lvl>
  </w:abstractNum>
  <w:abstractNum w:abstractNumId="34">
    <w:nsid w:val="2A487CB0"/>
    <w:multiLevelType w:val="hybridMultilevel"/>
    <w:lvl w:ilvl="0">
      <w:lvlJc w:val="left"/>
      <w:lvlText w:val="(%1)"/>
      <w:numFmt w:val="lowerLetter"/>
      <w:start w:val="8"/>
    </w:lvl>
  </w:abstractNum>
  <w:abstractNum w:abstractNumId="35">
    <w:nsid w:val="1D4ED43B"/>
    <w:multiLevelType w:val="hybridMultilevel"/>
    <w:lvl w:ilvl="0">
      <w:lvlJc w:val="left"/>
      <w:lvlText w:val="(%1)"/>
      <w:numFmt w:val="lowerLetter"/>
      <w:start w:val="10"/>
    </w:lvl>
  </w:abstractNum>
  <w:abstractNum w:abstractNumId="36">
    <w:nsid w:val="725A06FB"/>
    <w:multiLevelType w:val="hybridMultilevel"/>
    <w:lvl w:ilvl="0">
      <w:lvlJc w:val="left"/>
      <w:lvlText w:val="(%1)"/>
      <w:numFmt w:val="lowerLetter"/>
      <w:start w:val="12"/>
    </w:lvl>
  </w:abstractNum>
  <w:abstractNum w:abstractNumId="37">
    <w:nsid w:val="2CD89A32"/>
    <w:multiLevelType w:val="hybridMultilevel"/>
    <w:lvl w:ilvl="0">
      <w:lvlJc w:val="left"/>
      <w:lvlText w:val="(%1)"/>
      <w:numFmt w:val="lowerLetter"/>
      <w:start w:val="16"/>
    </w:lvl>
  </w:abstractNum>
  <w:abstractNum w:abstractNumId="38">
    <w:nsid w:val="57E4CCAF"/>
    <w:multiLevelType w:val="hybridMultilevel"/>
    <w:lvl w:ilvl="0">
      <w:lvlJc w:val="left"/>
      <w:lvlText w:val="(%1)"/>
      <w:numFmt w:val="lowerLetter"/>
      <w:start w:val="19"/>
    </w:lvl>
  </w:abstractNum>
  <w:abstractNum w:abstractNumId="39">
    <w:nsid w:val="7A6D8D3C"/>
    <w:multiLevelType w:val="hybridMultilevel"/>
    <w:lvl w:ilvl="0">
      <w:lvlJc w:val="left"/>
      <w:lvlText w:val="(%1)"/>
      <w:numFmt w:val="lowerLetter"/>
      <w:start w:val="21"/>
    </w:lvl>
  </w:abstractNum>
  <w:abstractNum w:abstractNumId="40">
    <w:nsid w:val="4B588F54"/>
    <w:multiLevelType w:val="hybridMultilevel"/>
    <w:lvl w:ilvl="0">
      <w:lvlJc w:val="left"/>
      <w:lvlText w:val="(%1)"/>
      <w:numFmt w:val="lowerLetter"/>
      <w:start w:val="25"/>
    </w:lvl>
  </w:abstractNum>
  <w:abstractNum w:abstractNumId="41">
    <w:nsid w:val="542289EC"/>
    <w:multiLevelType w:val="hybridMultilevel"/>
    <w:lvl w:ilvl="0">
      <w:lvlJc w:val="left"/>
      <w:lvlText w:val="(%1)"/>
      <w:numFmt w:val="lowerLetter"/>
      <w:start w:val="27"/>
    </w:lvl>
  </w:abstractNum>
  <w:abstractNum w:abstractNumId="42">
    <w:nsid w:val="6DE91B18"/>
    <w:multiLevelType w:val="hybridMultilevel"/>
    <w:lvl w:ilvl="0">
      <w:lvlJc w:val="left"/>
      <w:lvlText w:val="(%1)"/>
      <w:numFmt w:val="lowerLetter"/>
      <w:start w:val="28"/>
    </w:lvl>
  </w:abstractNum>
  <w:abstractNum w:abstractNumId="43">
    <w:nsid w:val="38437FDB"/>
    <w:multiLevelType w:val="hybridMultilevel"/>
    <w:lvl w:ilvl="0">
      <w:lvlJc w:val="left"/>
      <w:lvlText w:val="(%1)"/>
      <w:numFmt w:val="lowerLetter"/>
      <w:start w:val="32"/>
    </w:lvl>
  </w:abstractNum>
  <w:abstractNum w:abstractNumId="44">
    <w:nsid w:val="7644A45C"/>
    <w:multiLevelType w:val="hybridMultilevel"/>
    <w:lvl w:ilvl="0">
      <w:lvlJc w:val="left"/>
      <w:lvlText w:val="(%1)"/>
      <w:numFmt w:val="lowerLetter"/>
      <w:start w:val="35"/>
    </w:lvl>
  </w:abstractNum>
  <w:abstractNum w:abstractNumId="45">
    <w:nsid w:val="32FFF902"/>
    <w:multiLevelType w:val="hybridMultilevel"/>
    <w:lvl w:ilvl="0">
      <w:lvlJc w:val="left"/>
      <w:lvlText w:val="(%1)"/>
      <w:numFmt w:val="lowerLetter"/>
      <w:start w:val="39"/>
    </w:lvl>
  </w:abstractNum>
  <w:abstractNum w:abstractNumId="46">
    <w:nsid w:val="684A481A"/>
    <w:multiLevelType w:val="hybridMultilevel"/>
    <w:lvl w:ilvl="0">
      <w:lvlJc w:val="left"/>
      <w:lvlText w:val="%1"/>
      <w:numFmt w:val="lowerLetter"/>
      <w:start w:val="1"/>
    </w:lvl>
    <w:lvl w:ilvl="1">
      <w:lvlJc w:val="left"/>
      <w:lvlText w:val="(%2)"/>
      <w:numFmt w:val="lowerLetter"/>
      <w:start w:val="1"/>
    </w:lvl>
  </w:abstractNum>
  <w:abstractNum w:abstractNumId="47">
    <w:nsid w:val="579478FE"/>
    <w:multiLevelType w:val="hybridMultilevel"/>
    <w:lvl w:ilvl="0">
      <w:lvlJc w:val="left"/>
      <w:lvlText w:val="(%1)"/>
      <w:numFmt w:val="lowerLetter"/>
      <w:start w:val="2"/>
    </w:lvl>
    <w:lvl w:ilvl="1">
      <w:lvlJc w:val="left"/>
      <w:lvlText w:val="%2"/>
      <w:numFmt w:val="lowerLetter"/>
      <w:start w:val="1"/>
    </w:lvl>
  </w:abstractNum>
  <w:abstractNum w:abstractNumId="48">
    <w:nsid w:val="749ABB43"/>
    <w:multiLevelType w:val="hybridMultilevel"/>
    <w:lvl w:ilvl="0">
      <w:lvlJc w:val="left"/>
      <w:lvlText w:val="(%1)"/>
      <w:numFmt w:val="lowerLetter"/>
      <w:start w:val="3"/>
    </w:lvl>
  </w:abstractNum>
  <w:abstractNum w:abstractNumId="49">
    <w:nsid w:val="3DC240FB"/>
    <w:multiLevelType w:val="hybridMultilevel"/>
    <w:lvl w:ilvl="0">
      <w:lvlJc w:val="left"/>
      <w:lvlText w:val="(%1)"/>
      <w:numFmt w:val="lowerLetter"/>
      <w:start w:val="4"/>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14" Type="http://schemas.openxmlformats.org/officeDocument/2006/relationships/hyperlink" Target="http://www.sec.gov/Archives/edgar/data/883975/000149315219019746/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2019-12-30T09:01:27Z</dcterms:created>
  <dcterms:modified xsi:type="dcterms:W3CDTF">2019-12-30T09:01:27Z</dcterms:modified>
</cp:coreProperties>
</file>