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____________________</w:t>
      </w:r>
    </w:p>
    <w:p>
      <w:pPr>
        <w:ind w:left="4920"/>
        <w:spacing w:after="0"/>
        <w:rPr>
          <w:sz w:val="20"/>
          <w:szCs w:val="20"/>
          <w:color w:val="auto"/>
        </w:rPr>
      </w:pPr>
      <w:r>
        <w:rPr>
          <w:rFonts w:ascii="Arial" w:cs="Arial" w:eastAsia="Arial" w:hAnsi="Arial"/>
          <w:sz w:val="32"/>
          <w:szCs w:val="32"/>
          <w:b w:val="1"/>
          <w:bCs w:val="1"/>
          <w:color w:val="auto"/>
        </w:rPr>
        <w:t>FORM 8-K</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CURRENT REPORT</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Pursuant to</w:t>
      </w:r>
    </w:p>
    <w:p>
      <w:pPr>
        <w:spacing w:after="0" w:line="17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13 or 15(d) of</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SECURITIES EXCHANGE ACT OF 1934</w:t>
      </w:r>
    </w:p>
    <w:p>
      <w:pPr>
        <w:spacing w:after="0" w:line="19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Date of Report (Date of Earliest Event Reported): May 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98" w:lineRule="exact"/>
        <w:rPr>
          <w:sz w:val="20"/>
          <w:szCs w:val="20"/>
          <w:color w:val="auto"/>
        </w:rPr>
      </w:pPr>
    </w:p>
    <w:p>
      <w:pPr>
        <w:ind w:left="3840"/>
        <w:spacing w:after="0"/>
        <w:rPr>
          <w:sz w:val="20"/>
          <w:szCs w:val="20"/>
          <w:color w:val="auto"/>
        </w:rPr>
      </w:pPr>
      <w:r>
        <w:rPr>
          <w:rFonts w:ascii="Arial" w:cs="Arial" w:eastAsia="Arial" w:hAnsi="Arial"/>
          <w:sz w:val="43"/>
          <w:szCs w:val="43"/>
          <w:b w:val="1"/>
          <w:bCs w:val="1"/>
          <w:color w:val="auto"/>
        </w:rPr>
        <w:t>STEMCELLS, INC.</w:t>
      </w:r>
    </w:p>
    <w:p>
      <w:pPr>
        <w:spacing w:after="0" w:line="5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780" w:type="dxa"/>
        <w:tblCellMar>
          <w:top w:w="0" w:type="dxa"/>
          <w:left w:w="0" w:type="dxa"/>
          <w:bottom w:w="0" w:type="dxa"/>
          <w:right w:w="0" w:type="dxa"/>
        </w:tblCellMar>
      </w:tblPr>
      <w:tr>
        <w:trPr>
          <w:trHeight w:val="234"/>
        </w:trPr>
        <w:tc>
          <w:tcPr>
            <w:tcW w:w="238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0"/>
              </w:rPr>
              <w:t>0-19871</w:t>
            </w:r>
          </w:p>
        </w:tc>
        <w:tc>
          <w:tcPr>
            <w:tcW w:w="2220" w:type="dxa"/>
            <w:vAlign w:val="bottom"/>
          </w:tcPr>
          <w:p>
            <w:pPr>
              <w:jc w:val="center"/>
              <w:ind w:left="470"/>
              <w:spacing w:after="0"/>
              <w:rPr>
                <w:sz w:val="20"/>
                <w:szCs w:val="20"/>
                <w:color w:val="auto"/>
              </w:rPr>
            </w:pPr>
            <w:r>
              <w:rPr>
                <w:rFonts w:ascii="Arial" w:cs="Arial" w:eastAsia="Arial" w:hAnsi="Arial"/>
                <w:sz w:val="18"/>
                <w:szCs w:val="18"/>
                <w:b w:val="1"/>
                <w:bCs w:val="1"/>
                <w:color w:val="auto"/>
                <w:w w:val="89"/>
              </w:rPr>
              <w:t>94-3078125</w:t>
            </w:r>
          </w:p>
        </w:tc>
      </w:tr>
      <w:tr>
        <w:trPr>
          <w:trHeight w:val="418"/>
        </w:trPr>
        <w:tc>
          <w:tcPr>
            <w:tcW w:w="2380" w:type="dxa"/>
            <w:vAlign w:val="bottom"/>
          </w:tcPr>
          <w:p>
            <w:pPr>
              <w:jc w:val="center"/>
              <w:ind w:right="390"/>
              <w:spacing w:after="0"/>
              <w:rPr>
                <w:sz w:val="20"/>
                <w:szCs w:val="20"/>
                <w:color w:val="auto"/>
              </w:rPr>
            </w:pPr>
            <w:r>
              <w:rPr>
                <w:rFonts w:ascii="Arial" w:cs="Arial" w:eastAsia="Arial" w:hAnsi="Arial"/>
                <w:sz w:val="18"/>
                <w:szCs w:val="18"/>
                <w:color w:val="auto"/>
                <w:w w:val="92"/>
              </w:rPr>
              <w:t>(State or other jurisdiction</w:t>
            </w:r>
          </w:p>
        </w:tc>
        <w:tc>
          <w:tcPr>
            <w:tcW w:w="316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2"/>
              </w:rPr>
              <w:t>(I.R.S. Employer</w:t>
            </w:r>
          </w:p>
        </w:tc>
      </w:tr>
      <w:tr>
        <w:trPr>
          <w:trHeight w:val="230"/>
        </w:trPr>
        <w:tc>
          <w:tcPr>
            <w:tcW w:w="2380" w:type="dxa"/>
            <w:vAlign w:val="bottom"/>
          </w:tcPr>
          <w:p>
            <w:pPr>
              <w:jc w:val="center"/>
              <w:ind w:right="390"/>
              <w:spacing w:after="0"/>
              <w:rPr>
                <w:sz w:val="20"/>
                <w:szCs w:val="20"/>
                <w:color w:val="auto"/>
              </w:rPr>
            </w:pPr>
            <w:r>
              <w:rPr>
                <w:rFonts w:ascii="Arial" w:cs="Arial" w:eastAsia="Arial" w:hAnsi="Arial"/>
                <w:sz w:val="18"/>
                <w:szCs w:val="18"/>
                <w:color w:val="auto"/>
                <w:w w:val="93"/>
              </w:rPr>
              <w:t>of incorporation)</w:t>
            </w:r>
          </w:p>
        </w:tc>
        <w:tc>
          <w:tcPr>
            <w:tcW w:w="3160" w:type="dxa"/>
            <w:vAlign w:val="bottom"/>
          </w:tcPr>
          <w:p>
            <w:pPr>
              <w:spacing w:after="0"/>
              <w:rPr>
                <w:sz w:val="20"/>
                <w:szCs w:val="20"/>
                <w:color w:val="auto"/>
              </w:rPr>
            </w:pPr>
          </w:p>
        </w:tc>
        <w:tc>
          <w:tcPr>
            <w:tcW w:w="2220" w:type="dxa"/>
            <w:vAlign w:val="bottom"/>
          </w:tcPr>
          <w:p>
            <w:pPr>
              <w:jc w:val="center"/>
              <w:ind w:left="470"/>
              <w:spacing w:after="0"/>
              <w:rPr>
                <w:sz w:val="20"/>
                <w:szCs w:val="20"/>
                <w:color w:val="auto"/>
              </w:rPr>
            </w:pPr>
            <w:r>
              <w:rPr>
                <w:rFonts w:ascii="Arial" w:cs="Arial" w:eastAsia="Arial" w:hAnsi="Arial"/>
                <w:sz w:val="18"/>
                <w:szCs w:val="18"/>
                <w:color w:val="auto"/>
                <w:w w:val="94"/>
              </w:rPr>
              <w:t>Identification Number)</w:t>
            </w:r>
          </w:p>
        </w:tc>
      </w:tr>
      <w:tr>
        <w:trPr>
          <w:trHeight w:val="373"/>
        </w:trPr>
        <w:tc>
          <w:tcPr>
            <w:tcW w:w="238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3"/>
              </w:rPr>
              <w:t>3155 Porter Drive</w:t>
            </w:r>
          </w:p>
        </w:tc>
        <w:tc>
          <w:tcPr>
            <w:tcW w:w="222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2"/>
              </w:rPr>
              <w:t>Palo Alto, California 94304</w:t>
            </w:r>
          </w:p>
        </w:tc>
        <w:tc>
          <w:tcPr>
            <w:tcW w:w="2220" w:type="dxa"/>
            <w:vAlign w:val="bottom"/>
          </w:tcPr>
          <w:p>
            <w:pPr>
              <w:spacing w:after="0"/>
              <w:rPr>
                <w:sz w:val="20"/>
                <w:szCs w:val="20"/>
                <w:color w:val="auto"/>
              </w:rPr>
            </w:pPr>
          </w:p>
        </w:tc>
      </w:tr>
    </w:tbl>
    <w:p>
      <w:pPr>
        <w:spacing w:after="0" w:line="16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(650) 475-3100</w:t>
      </w:r>
    </w:p>
    <w:p>
      <w:pPr>
        <w:spacing w:after="0" w:line="18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126365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673100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3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Results of Operations and Financial Condition.</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02" w:lineRule="exact"/>
        <w:rPr>
          <w:sz w:val="20"/>
          <w:szCs w:val="20"/>
          <w:color w:val="auto"/>
        </w:rPr>
      </w:pPr>
    </w:p>
    <w:p>
      <w:pPr>
        <w:ind w:left="480" w:hanging="247"/>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84" w:lineRule="exact"/>
        <w:rPr>
          <w:rFonts w:ascii="Arial" w:cs="Arial" w:eastAsia="Arial" w:hAnsi="Arial"/>
          <w:sz w:val="18"/>
          <w:szCs w:val="18"/>
          <w:color w:val="auto"/>
        </w:rPr>
      </w:pPr>
    </w:p>
    <w:p>
      <w:pPr>
        <w:ind w:left="480" w:hanging="247"/>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84" w:lineRule="exact"/>
        <w:rPr>
          <w:rFonts w:ascii="Arial" w:cs="Arial" w:eastAsia="Arial" w:hAnsi="Arial"/>
          <w:sz w:val="18"/>
          <w:szCs w:val="18"/>
          <w:color w:val="auto"/>
        </w:rPr>
      </w:pPr>
    </w:p>
    <w:p>
      <w:pPr>
        <w:ind w:left="480" w:hanging="247"/>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 – The following exhibit is furnished as part of this Report.</w:t>
      </w:r>
    </w:p>
    <w:p>
      <w:pPr>
        <w:spacing w:after="0" w:line="200" w:lineRule="exact"/>
        <w:rPr>
          <w:sz w:val="20"/>
          <w:szCs w:val="20"/>
          <w:color w:val="auto"/>
        </w:rPr>
      </w:pPr>
    </w:p>
    <w:p>
      <w:pPr>
        <w:spacing w:after="0" w:line="206" w:lineRule="exact"/>
        <w:rPr>
          <w:sz w:val="20"/>
          <w:szCs w:val="20"/>
          <w:color w:val="auto"/>
        </w:rPr>
      </w:pPr>
    </w:p>
    <w:tbl>
      <w:tblPr>
        <w:tblLayout w:type="fixed"/>
        <w:tblInd w:w="2580" w:type="dxa"/>
        <w:tblCellMar>
          <w:top w:w="0" w:type="dxa"/>
          <w:left w:w="0" w:type="dxa"/>
          <w:bottom w:w="0" w:type="dxa"/>
          <w:right w:w="0" w:type="dxa"/>
        </w:tblCellMar>
      </w:tblPr>
      <w:tr>
        <w:trPr>
          <w:trHeight w:val="186"/>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52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10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4960" w:type="dxa"/>
            <w:vAlign w:val="bottom"/>
            <w:tcBorders>
              <w:bottom w:val="single" w:sz="8" w:color="808080"/>
            </w:tcBorders>
          </w:tcPr>
          <w:p>
            <w:pPr>
              <w:spacing w:after="0"/>
              <w:rPr>
                <w:sz w:val="4"/>
                <w:szCs w:val="4"/>
                <w:color w:val="auto"/>
              </w:rPr>
            </w:pPr>
          </w:p>
        </w:tc>
      </w:tr>
      <w:tr>
        <w:trPr>
          <w:trHeight w:val="291"/>
        </w:trPr>
        <w:tc>
          <w:tcPr>
            <w:tcW w:w="1020" w:type="dxa"/>
            <w:vAlign w:val="bottom"/>
          </w:tcPr>
          <w:p>
            <w:pPr>
              <w:jc w:val="right"/>
              <w:ind w:right="279"/>
              <w:spacing w:after="0"/>
              <w:rPr>
                <w:sz w:val="20"/>
                <w:szCs w:val="20"/>
                <w:color w:val="auto"/>
              </w:rPr>
            </w:pPr>
            <w:r>
              <w:rPr>
                <w:rFonts w:ascii="Arial" w:cs="Arial" w:eastAsia="Arial" w:hAnsi="Arial"/>
                <w:sz w:val="18"/>
                <w:szCs w:val="18"/>
                <w:color w:val="auto"/>
              </w:rPr>
              <w:t>99.1</w:t>
            </w:r>
          </w:p>
        </w:tc>
        <w:tc>
          <w:tcPr>
            <w:tcW w:w="5260" w:type="dxa"/>
            <w:vAlign w:val="bottom"/>
            <w:gridSpan w:val="2"/>
          </w:tcPr>
          <w:p>
            <w:pPr>
              <w:ind w:left="300"/>
              <w:spacing w:after="0"/>
              <w:rPr>
                <w:sz w:val="20"/>
                <w:szCs w:val="20"/>
                <w:color w:val="auto"/>
              </w:rPr>
            </w:pPr>
            <w:r>
              <w:rPr>
                <w:rFonts w:ascii="Arial" w:cs="Arial" w:eastAsia="Arial" w:hAnsi="Arial"/>
                <w:sz w:val="18"/>
                <w:szCs w:val="18"/>
                <w:color w:val="auto"/>
              </w:rPr>
              <w:t>Press Release dated May 4, 2004.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4, 2004, StemCells, Inc. (the “Company”) issued a press release reporting the Company’s financial results for the first quarter of fiscal year 2004 (the “Press Release”). The Press Release is being furnished as Exhibit 99.1 to this Report.</w:t>
      </w:r>
    </w:p>
    <w:p>
      <w:pPr>
        <w:spacing w:after="0" w:line="14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information being furnished under this Item 12 shall not be deemed “filed” for purposes of Section 18 of the Securities and Exchange Act of 1934, nor shall it be deemed incorporated by reference in any filing under the Securities Act of 1933 or the Securities and Exchange Act of 1934, except as shall be expressly set forth by specific reference.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630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74930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Exhibit Number</w:t>
            </w:r>
          </w:p>
        </w:tc>
        <w:tc>
          <w:tcPr>
            <w:tcW w:w="10400" w:type="dxa"/>
            <w:vAlign w:val="bottom"/>
            <w:gridSpan w:val="2"/>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10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0080" w:type="dxa"/>
            <w:vAlign w:val="bottom"/>
            <w:tcBorders>
              <w:bottom w:val="single" w:sz="8" w:color="808080"/>
            </w:tcBorders>
          </w:tcPr>
          <w:p>
            <w:pPr>
              <w:spacing w:after="0"/>
              <w:rPr>
                <w:sz w:val="4"/>
                <w:szCs w:val="4"/>
                <w:color w:val="auto"/>
              </w:rPr>
            </w:pPr>
          </w:p>
        </w:tc>
      </w:tr>
      <w:tr>
        <w:trPr>
          <w:trHeight w:val="291"/>
        </w:trPr>
        <w:tc>
          <w:tcPr>
            <w:tcW w:w="1020" w:type="dxa"/>
            <w:vAlign w:val="bottom"/>
          </w:tcPr>
          <w:p>
            <w:pPr>
              <w:jc w:val="right"/>
              <w:ind w:right="259"/>
              <w:spacing w:after="0"/>
              <w:rPr>
                <w:sz w:val="20"/>
                <w:szCs w:val="20"/>
                <w:color w:val="auto"/>
              </w:rPr>
            </w:pPr>
            <w:r>
              <w:rPr>
                <w:rFonts w:ascii="Arial" w:cs="Arial" w:eastAsia="Arial" w:hAnsi="Arial"/>
                <w:sz w:val="18"/>
                <w:szCs w:val="18"/>
                <w:color w:val="auto"/>
              </w:rPr>
              <w:t>99.1</w:t>
            </w:r>
          </w:p>
        </w:tc>
        <w:tc>
          <w:tcPr>
            <w:tcW w:w="10400" w:type="dxa"/>
            <w:vAlign w:val="bottom"/>
            <w:gridSpan w:val="2"/>
          </w:tcPr>
          <w:p>
            <w:pPr>
              <w:ind w:left="320"/>
              <w:spacing w:after="0"/>
              <w:rPr>
                <w:sz w:val="20"/>
                <w:szCs w:val="20"/>
                <w:color w:val="auto"/>
              </w:rPr>
            </w:pPr>
            <w:r>
              <w:rPr>
                <w:rFonts w:ascii="Arial" w:cs="Arial" w:eastAsia="Arial" w:hAnsi="Arial"/>
                <w:sz w:val="18"/>
                <w:szCs w:val="18"/>
                <w:color w:val="auto"/>
              </w:rPr>
              <w:t>Press Release dated May 4, 2004.</w:t>
            </w:r>
          </w:p>
        </w:tc>
      </w:tr>
    </w:tbl>
    <w:p>
      <w:pPr>
        <w:sectPr>
          <w:pgSz w:w="11900" w:h="16838" w:orient="portrait"/>
          <w:cols w:equalWidth="0" w:num="1">
            <w:col w:w="11420"/>
          </w:cols>
          <w:pgMar w:left="240" w:top="419" w:right="239" w:bottom="1440" w:gutter="0" w:footer="0" w:header="0"/>
        </w:sectPr>
      </w:pPr>
    </w:p>
    <w:bookmarkStart w:id="6" w:name="page7"/>
    <w:bookmarkEnd w:id="6"/>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 (Ticker: STEM, Exchange: NASDAQ)</w:t>
      </w:r>
    </w:p>
    <w:p>
      <w:pPr>
        <w:spacing w:after="0" w:line="238" w:lineRule="auto"/>
        <w:rPr>
          <w:sz w:val="20"/>
          <w:szCs w:val="20"/>
          <w:color w:val="auto"/>
        </w:rPr>
      </w:pPr>
      <w:r>
        <w:rPr>
          <w:rFonts w:ascii="Courier New" w:cs="Courier New" w:eastAsia="Courier New" w:hAnsi="Courier New"/>
          <w:sz w:val="18"/>
          <w:szCs w:val="18"/>
          <w:color w:val="auto"/>
        </w:rPr>
        <w:t>News Release -- May 4, 2004</w:t>
      </w:r>
    </w:p>
    <w:p>
      <w:pPr>
        <w:spacing w:after="0" w:line="5"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STEMCELLS ANNOUNCES FIRST QUARTER 2004 FINANCIAL RESULTS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PALO ALTO, Calif., May 4, 2004 - StemCells, Inc. (NASDAQ: STEM) today reported its financial results for the first quarter ended March 31, 2004.</w:t>
      </w:r>
    </w:p>
    <w:p>
      <w:pPr>
        <w:spacing w:after="0" w:line="20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 reported a loss of $2,770,000, or $0.07 per share, for the quarter ended March 31, 2004, compared to a loss before deemed dividends of $2,409,000, or $0.09 per share, for the quarter ended March 31, 2003. For the first quarter in 2003, net loss applicable to common shareholders after deemed dividends to preferred shareholders was $2,729,000 or $0.10 per share. There were no deemed dividends for the same period in 2004, as all of the Company's previously outstanding cumulative convertible preferred stock was converted to the Company's common stock prior to the end of 2003. Total revenue for the first quarter of 2004 and 2003 was $93,000 and $59,000 respectively. Revenue for 2004 and 2003 was primarily from grants and licensing agreements. Cash and cash equivalents were $10,346,000 at the end of March 31, 2004, compared with $1,549,000 at the end of March 31, 2003.</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increase in net loss from 2003 to 2004 for the quarter reported was primarily attributable to the expenditures required for toxicology studies, supplies, personnel and other external services in preparation for submitting our first IND (Investigational New Drug filing) to the FDA, to evaluate the safety and efficacy of our human neural stem cells as a treatment for Batten disease.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Martin McGlynn, President and CEO commented, "In our press release on 2003 results issued in early April, I discussed our projected goal of filing the Company's first IND in the first quarter of 2005 for the treatment of Batten disease, a rare but fatal neurodegenerative disease. I am pleased to report that we remain on track to achieve that goal. As our financial results for the first quarter of this year indicate, we are increasing expenditures on IND-enabling activities so that we may begin clinical testing of our human neural stem cells next year."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STEMCELLS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StemCells, Inc. is a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Further information about the Company is available on its web site at www.stemcellsinc.com.</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APART FROM STATEMENTS OF HISTORICAL FACTS, THE TEXT OF THIS PRESS RELEASE CONSTITUTES FORWARD-LOOKING STATEMENTS REGARDING, AMONG OTHER THINGS, THE FUTURE BUSINESS OPERATIONS OF STEMCELLS, INC.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CAPITAL RESOURCES NEEDED TO CONTINUE ITS CURRENT RESEARCH AND</w:t>
      </w:r>
    </w:p>
    <w:p>
      <w:pPr>
        <w:sectPr>
          <w:pgSz w:w="11900" w:h="16838" w:orient="portrait"/>
          <w:cols w:equalWidth="0" w:num="1">
            <w:col w:w="10219"/>
          </w:cols>
          <w:pgMar w:left="240" w:top="339"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DEVELOPMENT OPERATIONS AND TO CONDUCT THE RESEARCH, PRECLINICAL DEVELOPMENT AND CLINICAL TRIALS NECESSARY FOR REGULATORY APPROVALS; THE FACT THAT THE COMPANY'S STEM CELL TECHNOLOGY IS AT THE PRE-CLINICAL STAGE AND HAS NOT YET LED TO THE DEVELOPMENT OF ANY PROPOSED PRODUCT; THE UNCERTAINTY WHETHER THE COMPANY WILL BE ABLE TO FILE AN IND IN THE TIME IT PROJECTS AND WHETHER THE FDA WILL PERMIT IT TO PROCEED TO CLINICAL TESTING;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ENTITLED "CAUTIONARY FACTORS RELEVANT TO FORWARD-LOOKING STATEMENTS."</w:t>
      </w:r>
    </w:p>
    <w:p>
      <w:pPr>
        <w:sectPr>
          <w:pgSz w:w="11900" w:h="16838" w:orient="portrait"/>
          <w:cols w:equalWidth="0" w:num="1">
            <w:col w:w="10219"/>
          </w:cols>
          <w:pgMar w:left="240" w:top="723"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Contact:</w:t>
      </w:r>
    </w:p>
    <w:p>
      <w:pPr>
        <w:spacing w:after="0" w:line="238" w:lineRule="auto"/>
        <w:rPr>
          <w:sz w:val="20"/>
          <w:szCs w:val="20"/>
          <w:color w:val="auto"/>
        </w:rPr>
      </w:pPr>
      <w:r>
        <w:rPr>
          <w:rFonts w:ascii="Courier New" w:cs="Courier New" w:eastAsia="Courier New" w:hAnsi="Courier New"/>
          <w:sz w:val="18"/>
          <w:szCs w:val="18"/>
          <w:color w:val="auto"/>
        </w:rPr>
        <w:t>StemCells,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Martin McGlynn, President &amp; CEO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650-475-3100, ext 108</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Media / Investor Relations Contact: The Investor Relations Group Janet Vasquez / Jane Lin 212-825-3210</w:t>
      </w:r>
    </w:p>
    <w:p>
      <w:pPr>
        <w:spacing w:after="0" w:line="200" w:lineRule="exact"/>
        <w:rPr>
          <w:sz w:val="20"/>
          <w:szCs w:val="20"/>
          <w:color w:val="auto"/>
        </w:rPr>
      </w:pPr>
    </w:p>
    <w:p>
      <w:pPr>
        <w:sectPr>
          <w:pgSz w:w="11900" w:h="16838" w:orient="portrait"/>
          <w:cols w:equalWidth="0" w:num="2">
            <w:col w:w="4020" w:space="720"/>
            <w:col w:w="5479"/>
          </w:cols>
          <w:pgMar w:left="240" w:top="723" w:right="1440" w:bottom="1440" w:gutter="0" w:footer="0" w:header="0"/>
          <w:type w:val="continuous"/>
        </w:sect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-more-</w:t>
      </w:r>
    </w:p>
    <w:p>
      <w:pPr>
        <w:sectPr>
          <w:pgSz w:w="11900" w:h="16838" w:orient="portrait"/>
          <w:cols w:equalWidth="0" w:num="1">
            <w:col w:w="10219"/>
          </w:cols>
          <w:pgMar w:left="240" w:top="723" w:right="1440" w:bottom="1440" w:gutter="0" w:footer="0" w:header="0"/>
          <w:type w:val="continuous"/>
        </w:sectPr>
      </w:pPr>
    </w:p>
    <w:bookmarkStart w:id="8" w:name="page9"/>
    <w:bookmarkEnd w:id="8"/>
    <w:p>
      <w:pPr>
        <w:ind w:left="3480"/>
        <w:spacing w:after="0"/>
        <w:rPr>
          <w:sz w:val="20"/>
          <w:szCs w:val="20"/>
          <w:color w:val="auto"/>
        </w:rPr>
      </w:pPr>
      <w:r>
        <w:rPr>
          <w:rFonts w:ascii="Courier New" w:cs="Courier New" w:eastAsia="Courier New" w:hAnsi="Courier New"/>
          <w:sz w:val="18"/>
          <w:szCs w:val="18"/>
          <w:color w:val="auto"/>
        </w:rPr>
        <w:t>StemCells, Inc.</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Condensed Consolidated Statement of Operations</w:t>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(IN THOUSANDS, EXCEPT SHARE AND PER SHARE AMOUNTS)</w:t>
      </w:r>
    </w:p>
    <w:p>
      <w:pPr>
        <w:ind w:left="120"/>
        <w:spacing w:after="0" w:line="238" w:lineRule="auto"/>
        <w:rPr>
          <w:sz w:val="20"/>
          <w:szCs w:val="20"/>
          <w:color w:val="auto"/>
        </w:rPr>
      </w:pPr>
      <w:r>
        <w:rPr>
          <w:rFonts w:ascii="Courier New" w:cs="Courier New" w:eastAsia="Courier New" w:hAnsi="Courier New"/>
          <w:sz w:val="18"/>
          <w:szCs w:val="18"/>
          <w:color w:val="auto"/>
        </w:rPr>
        <w:t>Three months</w:t>
      </w:r>
    </w:p>
    <w:p>
      <w:pPr>
        <w:ind w:left="160"/>
        <w:spacing w:after="0"/>
        <w:rPr>
          <w:sz w:val="20"/>
          <w:szCs w:val="20"/>
          <w:color w:val="auto"/>
        </w:rPr>
      </w:pPr>
      <w:r>
        <w:rPr>
          <w:rFonts w:ascii="Courier New" w:cs="Courier New" w:eastAsia="Courier New" w:hAnsi="Courier New"/>
          <w:sz w:val="18"/>
          <w:szCs w:val="18"/>
          <w:color w:val="auto"/>
        </w:rPr>
        <w:t>ended March</w:t>
      </w:r>
    </w:p>
    <w:p>
      <w:pPr>
        <w:ind w:left="60"/>
        <w:spacing w:after="0" w:line="237" w:lineRule="auto"/>
        <w:rPr>
          <w:sz w:val="20"/>
          <w:szCs w:val="20"/>
          <w:color w:val="auto"/>
        </w:rPr>
      </w:pPr>
      <w:r>
        <w:rPr>
          <w:rFonts w:ascii="Courier New" w:cs="Courier New" w:eastAsia="Courier New" w:hAnsi="Courier New"/>
          <w:sz w:val="18"/>
          <w:szCs w:val="18"/>
          <w:color w:val="auto"/>
        </w:rPr>
        <w:t>31, 2004 2003</w:t>
      </w:r>
    </w:p>
    <w:p>
      <w:pPr>
        <w:ind w:left="12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Revenue from</w:t>
      </w:r>
    </w:p>
    <w:p>
      <w:pPr>
        <w:jc w:val="center"/>
        <w:ind w:right="8739"/>
        <w:spacing w:after="0" w:line="237" w:lineRule="auto"/>
        <w:rPr>
          <w:sz w:val="20"/>
          <w:szCs w:val="20"/>
          <w:color w:val="auto"/>
        </w:rPr>
      </w:pPr>
      <w:r>
        <w:rPr>
          <w:rFonts w:ascii="Courier New" w:cs="Courier New" w:eastAsia="Courier New" w:hAnsi="Courier New"/>
          <w:sz w:val="18"/>
          <w:szCs w:val="18"/>
          <w:color w:val="auto"/>
        </w:rPr>
        <w:t>grants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Licensing</w:t>
      </w:r>
    </w:p>
    <w:p>
      <w:pPr>
        <w:jc w:val="center"/>
        <w:ind w:right="8739"/>
        <w:spacing w:after="0"/>
        <w:rPr>
          <w:sz w:val="20"/>
          <w:szCs w:val="20"/>
          <w:color w:val="auto"/>
        </w:rPr>
      </w:pPr>
      <w:r>
        <w:rPr>
          <w:rFonts w:ascii="Courier New" w:cs="Courier New" w:eastAsia="Courier New" w:hAnsi="Courier New"/>
          <w:sz w:val="18"/>
          <w:szCs w:val="18"/>
          <w:color w:val="auto"/>
        </w:rPr>
        <w:t>agreements $</w:t>
      </w:r>
    </w:p>
    <w:p>
      <w:pPr>
        <w:jc w:val="center"/>
        <w:ind w:right="8739"/>
        <w:spacing w:after="0" w:line="237" w:lineRule="auto"/>
        <w:rPr>
          <w:sz w:val="20"/>
          <w:szCs w:val="20"/>
          <w:color w:val="auto"/>
        </w:rPr>
      </w:pPr>
      <w:r>
        <w:rPr>
          <w:rFonts w:ascii="Courier New" w:cs="Courier New" w:eastAsia="Courier New" w:hAnsi="Courier New"/>
          <w:sz w:val="18"/>
          <w:szCs w:val="18"/>
          <w:color w:val="auto"/>
        </w:rPr>
        <w:t>93 $ 59</w:t>
      </w:r>
    </w:p>
    <w:p>
      <w:pPr>
        <w:jc w:val="center"/>
        <w:ind w:right="8739"/>
        <w:spacing w:after="0"/>
        <w:rPr>
          <w:sz w:val="20"/>
          <w:szCs w:val="20"/>
          <w:color w:val="auto"/>
        </w:rPr>
      </w:pPr>
      <w:r>
        <w:rPr>
          <w:rFonts w:ascii="Courier New" w:cs="Courier New" w:eastAsia="Courier New" w:hAnsi="Courier New"/>
          <w:sz w:val="18"/>
          <w:szCs w:val="18"/>
          <w:color w:val="auto"/>
        </w:rPr>
        <w:t>Operating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Expenses</w:t>
      </w:r>
    </w:p>
    <w:p>
      <w:pPr>
        <w:jc w:val="center"/>
        <w:ind w:right="8739"/>
        <w:spacing w:after="0"/>
        <w:rPr>
          <w:sz w:val="20"/>
          <w:szCs w:val="20"/>
          <w:color w:val="auto"/>
        </w:rPr>
      </w:pPr>
      <w:r>
        <w:rPr>
          <w:rFonts w:ascii="Courier New" w:cs="Courier New" w:eastAsia="Courier New" w:hAnsi="Courier New"/>
          <w:sz w:val="18"/>
          <w:szCs w:val="18"/>
          <w:color w:val="auto"/>
        </w:rPr>
        <w:t>Research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development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1,868 1,340</w:t>
      </w:r>
    </w:p>
    <w:p>
      <w:pPr>
        <w:jc w:val="center"/>
        <w:ind w:right="8739"/>
        <w:spacing w:after="0"/>
        <w:rPr>
          <w:sz w:val="20"/>
          <w:szCs w:val="20"/>
          <w:color w:val="auto"/>
        </w:rPr>
      </w:pPr>
      <w:r>
        <w:rPr>
          <w:rFonts w:ascii="Courier New" w:cs="Courier New" w:eastAsia="Courier New" w:hAnsi="Courier New"/>
          <w:sz w:val="18"/>
          <w:szCs w:val="18"/>
          <w:color w:val="auto"/>
        </w:rPr>
        <w:t>General &amp;</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864 816 Wind-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down related</w:t>
      </w:r>
    </w:p>
    <w:p>
      <w:pPr>
        <w:jc w:val="center"/>
        <w:ind w:right="8739"/>
        <w:spacing w:after="0"/>
        <w:rPr>
          <w:sz w:val="20"/>
          <w:szCs w:val="20"/>
          <w:color w:val="auto"/>
        </w:rPr>
      </w:pPr>
      <w:r>
        <w:rPr>
          <w:rFonts w:ascii="Courier New" w:cs="Courier New" w:eastAsia="Courier New" w:hAnsi="Courier New"/>
          <w:sz w:val="18"/>
          <w:szCs w:val="18"/>
          <w:color w:val="auto"/>
        </w:rPr>
        <w:t>to former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corporate</w:t>
      </w:r>
    </w:p>
    <w:p>
      <w:pPr>
        <w:jc w:val="center"/>
        <w:ind w:right="8739"/>
        <w:spacing w:after="0" w:line="238" w:lineRule="auto"/>
        <w:rPr>
          <w:sz w:val="20"/>
          <w:szCs w:val="20"/>
          <w:color w:val="auto"/>
        </w:rPr>
      </w:pPr>
      <w:r>
        <w:rPr>
          <w:rFonts w:ascii="Courier New" w:cs="Courier New" w:eastAsia="Courier New" w:hAnsi="Courier New"/>
          <w:sz w:val="18"/>
          <w:szCs w:val="18"/>
          <w:color w:val="auto"/>
        </w:rPr>
        <w:t>headquarters</w:t>
      </w:r>
    </w:p>
    <w:p>
      <w:pPr>
        <w:jc w:val="center"/>
        <w:ind w:right="8739"/>
        <w:spacing w:after="0"/>
        <w:rPr>
          <w:sz w:val="20"/>
          <w:szCs w:val="20"/>
          <w:color w:val="auto"/>
        </w:rPr>
      </w:pPr>
      <w:r>
        <w:rPr>
          <w:rFonts w:ascii="Courier New" w:cs="Courier New" w:eastAsia="Courier New" w:hAnsi="Courier New"/>
          <w:sz w:val="18"/>
          <w:szCs w:val="18"/>
          <w:color w:val="auto"/>
        </w:rPr>
        <w:t>130 253 -----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Total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operating</w:t>
      </w:r>
    </w:p>
    <w:p>
      <w:pPr>
        <w:jc w:val="center"/>
        <w:ind w:right="8739"/>
        <w:spacing w:after="0"/>
        <w:rPr>
          <w:sz w:val="20"/>
          <w:szCs w:val="20"/>
          <w:color w:val="auto"/>
        </w:rPr>
      </w:pPr>
      <w:r>
        <w:rPr>
          <w:rFonts w:ascii="Courier New" w:cs="Courier New" w:eastAsia="Courier New" w:hAnsi="Courier New"/>
          <w:sz w:val="18"/>
          <w:szCs w:val="18"/>
          <w:color w:val="auto"/>
        </w:rPr>
        <w:t>expenses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2,862 2,409</w:t>
      </w:r>
    </w:p>
    <w:p>
      <w:pPr>
        <w:jc w:val="center"/>
        <w:ind w:right="8739"/>
        <w:spacing w:after="0" w:line="238" w:lineRule="auto"/>
        <w:rPr>
          <w:sz w:val="20"/>
          <w:szCs w:val="20"/>
          <w:color w:val="auto"/>
        </w:rPr>
      </w:pPr>
      <w:r>
        <w:rPr>
          <w:rFonts w:ascii="Courier New" w:cs="Courier New" w:eastAsia="Courier New" w:hAnsi="Courier New"/>
          <w:sz w:val="18"/>
          <w:szCs w:val="18"/>
          <w:color w:val="auto"/>
        </w:rPr>
        <w:t>Loss from</w:t>
      </w:r>
    </w:p>
    <w:p>
      <w:pPr>
        <w:jc w:val="center"/>
        <w:ind w:right="8739"/>
        <w:spacing w:after="0"/>
        <w:rPr>
          <w:sz w:val="20"/>
          <w:szCs w:val="20"/>
          <w:color w:val="auto"/>
        </w:rPr>
      </w:pPr>
      <w:r>
        <w:rPr>
          <w:rFonts w:ascii="Courier New" w:cs="Courier New" w:eastAsia="Courier New" w:hAnsi="Courier New"/>
          <w:sz w:val="18"/>
          <w:szCs w:val="18"/>
          <w:color w:val="auto"/>
        </w:rPr>
        <w:t>operations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(2,769)</w:t>
      </w:r>
    </w:p>
    <w:p>
      <w:pPr>
        <w:jc w:val="center"/>
        <w:ind w:right="8739"/>
        <w:spacing w:after="0"/>
        <w:rPr>
          <w:sz w:val="20"/>
          <w:szCs w:val="20"/>
          <w:color w:val="auto"/>
        </w:rPr>
      </w:pPr>
      <w:r>
        <w:rPr>
          <w:rFonts w:ascii="Courier New" w:cs="Courier New" w:eastAsia="Courier New" w:hAnsi="Courier New"/>
          <w:sz w:val="18"/>
          <w:szCs w:val="18"/>
          <w:color w:val="auto"/>
        </w:rPr>
        <w:t>(2,350) Other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8739"/>
        <w:spacing w:after="0"/>
        <w:rPr>
          <w:sz w:val="20"/>
          <w:szCs w:val="20"/>
          <w:color w:val="auto"/>
        </w:rPr>
      </w:pPr>
      <w:r>
        <w:rPr>
          <w:rFonts w:ascii="Courier New" w:cs="Courier New" w:eastAsia="Courier New" w:hAnsi="Courier New"/>
          <w:sz w:val="18"/>
          <w:szCs w:val="18"/>
          <w:color w:val="auto"/>
        </w:rPr>
        <w:t>(expense) (1)</w:t>
      </w:r>
    </w:p>
    <w:p>
      <w:pPr>
        <w:ind w:left="580" w:hanging="521"/>
        <w:spacing w:after="0" w:line="237" w:lineRule="auto"/>
        <w:tabs>
          <w:tab w:leader="none" w:pos="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 loss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(2,770)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(2,409)</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Deemed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320</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 loss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to</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spacing w:after="0" w:line="4" w:lineRule="exact"/>
        <w:rPr>
          <w:rFonts w:ascii="Courier New" w:cs="Courier New" w:eastAsia="Courier New" w:hAnsi="Courier New"/>
          <w:sz w:val="18"/>
          <w:szCs w:val="18"/>
          <w:color w:val="auto"/>
        </w:rPr>
      </w:pPr>
    </w:p>
    <w:p>
      <w:pPr>
        <w:jc w:val="center"/>
        <w:ind w:left="60" w:right="8799" w:firstLine="52"/>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shareholders $ (2,770) $ (2,729) Net loss per share applicable to common shareholders; basic and diluted $ (0.07) $ (0.10) Weighted average shares - basic and diluted 41,010,068 26,943,019</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STEMCELLS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CONDENSED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CONSOLIDATED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BALANCE</w:t>
      </w:r>
    </w:p>
    <w:p>
      <w:pPr>
        <w:ind w:left="60"/>
        <w:spacing w:after="0"/>
        <w:rPr>
          <w:sz w:val="20"/>
          <w:szCs w:val="20"/>
          <w:color w:val="auto"/>
        </w:rPr>
      </w:pPr>
      <w:r>
        <w:rPr>
          <w:rFonts w:ascii="Courier New" w:cs="Courier New" w:eastAsia="Courier New" w:hAnsi="Courier New"/>
          <w:sz w:val="18"/>
          <w:szCs w:val="18"/>
          <w:color w:val="auto"/>
        </w:rPr>
        <w:t>SHEETS March</w:t>
      </w:r>
    </w:p>
    <w:p>
      <w:pPr>
        <w:ind w:left="120"/>
        <w:spacing w:after="0" w:line="237" w:lineRule="auto"/>
        <w:rPr>
          <w:sz w:val="20"/>
          <w:szCs w:val="20"/>
          <w:color w:val="auto"/>
        </w:rPr>
      </w:pPr>
      <w:r>
        <w:rPr>
          <w:rFonts w:ascii="Courier New" w:cs="Courier New" w:eastAsia="Courier New" w:hAnsi="Courier New"/>
          <w:sz w:val="18"/>
          <w:szCs w:val="18"/>
          <w:color w:val="auto"/>
        </w:rPr>
        <w:t>31 December</w:t>
      </w:r>
    </w:p>
    <w:p>
      <w:pPr>
        <w:sectPr>
          <w:pgSz w:w="11900" w:h="16838" w:orient="portrait"/>
          <w:cols w:equalWidth="0" w:num="1">
            <w:col w:w="10219"/>
          </w:cols>
          <w:pgMar w:left="240" w:top="514" w:right="1440" w:bottom="0" w:gutter="0" w:footer="0" w:header="0"/>
        </w:sectPr>
      </w:pPr>
    </w:p>
    <w:bookmarkStart w:id="9" w:name="page10"/>
    <w:bookmarkEnd w:id="9"/>
    <w:p>
      <w:pPr>
        <w:jc w:val="center"/>
        <w:ind w:right="8839"/>
        <w:spacing w:after="0"/>
        <w:rPr>
          <w:sz w:val="20"/>
          <w:szCs w:val="20"/>
          <w:color w:val="auto"/>
        </w:rPr>
      </w:pPr>
      <w:r>
        <w:rPr>
          <w:rFonts w:ascii="Courier New" w:cs="Courier New" w:eastAsia="Courier New" w:hAnsi="Courier New"/>
          <w:sz w:val="18"/>
          <w:szCs w:val="18"/>
          <w:color w:val="auto"/>
        </w:rPr>
        <w:t>31, 2004</w:t>
      </w:r>
    </w:p>
    <w:p>
      <w:pPr>
        <w:ind w:left="60"/>
        <w:spacing w:after="0" w:line="238" w:lineRule="auto"/>
        <w:rPr>
          <w:sz w:val="20"/>
          <w:szCs w:val="20"/>
          <w:color w:val="auto"/>
        </w:rPr>
      </w:pPr>
      <w:r>
        <w:rPr>
          <w:rFonts w:ascii="Courier New" w:cs="Courier New" w:eastAsia="Courier New" w:hAnsi="Courier New"/>
          <w:sz w:val="18"/>
          <w:szCs w:val="18"/>
          <w:color w:val="auto"/>
        </w:rPr>
        <w:t>2003 -------</w:t>
      </w:r>
    </w:p>
    <w:p>
      <w:pPr>
        <w:ind w:left="120"/>
        <w:spacing w:after="0"/>
        <w:rPr>
          <w:sz w:val="20"/>
          <w:szCs w:val="20"/>
          <w:color w:val="auto"/>
        </w:rPr>
      </w:pPr>
      <w:r>
        <w:rPr>
          <w:rFonts w:ascii="Courier New" w:cs="Courier New" w:eastAsia="Courier New" w:hAnsi="Courier New"/>
          <w:sz w:val="18"/>
          <w:szCs w:val="18"/>
          <w:color w:val="auto"/>
        </w:rPr>
        <w:t>------- (IN</w:t>
      </w:r>
    </w:p>
    <w:p>
      <w:pPr>
        <w:ind w:left="160"/>
        <w:spacing w:after="0" w:line="237" w:lineRule="auto"/>
        <w:rPr>
          <w:sz w:val="20"/>
          <w:szCs w:val="20"/>
          <w:color w:val="auto"/>
        </w:rPr>
      </w:pPr>
      <w:r>
        <w:rPr>
          <w:rFonts w:ascii="Courier New" w:cs="Courier New" w:eastAsia="Courier New" w:hAnsi="Courier New"/>
          <w:sz w:val="18"/>
          <w:szCs w:val="18"/>
          <w:color w:val="auto"/>
        </w:rPr>
        <w:t>THOUSANDS)</w:t>
      </w:r>
    </w:p>
    <w:p>
      <w:pPr>
        <w:ind w:left="120"/>
        <w:spacing w:after="0" w:line="238" w:lineRule="auto"/>
        <w:rPr>
          <w:sz w:val="20"/>
          <w:szCs w:val="20"/>
          <w:color w:val="auto"/>
        </w:rPr>
      </w:pPr>
      <w:r>
        <w:rPr>
          <w:rFonts w:ascii="Courier New" w:cs="Courier New" w:eastAsia="Courier New" w:hAnsi="Courier New"/>
          <w:sz w:val="18"/>
          <w:szCs w:val="18"/>
          <w:color w:val="auto"/>
        </w:rPr>
        <w:t>(unaudited)</w:t>
      </w:r>
    </w:p>
    <w:p>
      <w:pPr>
        <w:ind w:left="580" w:hanging="417"/>
        <w:spacing w:after="0"/>
        <w:tabs>
          <w:tab w:leader="none" w:pos="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ind w:left="60"/>
        <w:spacing w:after="0"/>
        <w:rPr>
          <w:sz w:val="20"/>
          <w:szCs w:val="20"/>
          <w:color w:val="auto"/>
        </w:rPr>
      </w:pPr>
      <w:r>
        <w:rPr>
          <w:rFonts w:ascii="Courier New" w:cs="Courier New" w:eastAsia="Courier New" w:hAnsi="Courier New"/>
          <w:sz w:val="18"/>
          <w:szCs w:val="18"/>
          <w:color w:val="auto"/>
        </w:rPr>
        <w:t>assets: Cash</w:t>
      </w:r>
    </w:p>
    <w:p>
      <w:pPr>
        <w:ind w:left="580" w:hanging="206"/>
        <w:spacing w:after="0" w:line="237" w:lineRule="auto"/>
        <w:tabs>
          <w:tab w:leader="none" w:pos="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equivalents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10,346</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$13,082</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spacing w:after="0" w:line="4" w:lineRule="exact"/>
        <w:rPr>
          <w:rFonts w:ascii="Courier New" w:cs="Courier New" w:eastAsia="Courier New" w:hAnsi="Courier New"/>
          <w:sz w:val="18"/>
          <w:szCs w:val="18"/>
          <w:color w:val="auto"/>
        </w:rPr>
      </w:pPr>
    </w:p>
    <w:p>
      <w:pPr>
        <w:jc w:val="both"/>
        <w:ind w:left="120" w:right="89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assets 265 325 -------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spacing w:after="0" w:line="4" w:lineRule="exact"/>
        <w:rPr>
          <w:rFonts w:ascii="Courier New" w:cs="Courier New" w:eastAsia="Courier New" w:hAnsi="Courier New"/>
          <w:sz w:val="18"/>
          <w:szCs w:val="18"/>
          <w:color w:val="auto"/>
        </w:rPr>
      </w:pPr>
    </w:p>
    <w:p>
      <w:pPr>
        <w:jc w:val="center"/>
        <w:ind w:left="120" w:right="8959" w:firstLine="26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assets 10,611 13,407 Property, plant &amp; equipment, net 3,408 3,611 Other assets, net 2,743 2,768</w:t>
      </w:r>
    </w:p>
    <w:p>
      <w:pPr>
        <w:ind w:left="60"/>
        <w:spacing w:after="0" w:line="235" w:lineRule="auto"/>
        <w:rPr>
          <w:sz w:val="20"/>
          <w:szCs w:val="20"/>
          <w:color w:val="auto"/>
        </w:rPr>
      </w:pPr>
      <w:r>
        <w:rPr>
          <w:rFonts w:ascii="Courier New" w:cs="Courier New" w:eastAsia="Courier New" w:hAnsi="Courier New"/>
          <w:sz w:val="18"/>
          <w:szCs w:val="18"/>
          <w:color w:val="auto"/>
        </w:rPr>
        <w:t>------- ----</w:t>
      </w:r>
    </w:p>
    <w:p>
      <w:pPr>
        <w:ind w:left="640" w:hanging="424"/>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assets</w:t>
      </w:r>
    </w:p>
    <w:p>
      <w:pPr>
        <w:spacing w:after="0" w:line="4" w:lineRule="exact"/>
        <w:rPr>
          <w:rFonts w:ascii="Courier New" w:cs="Courier New" w:eastAsia="Courier New" w:hAnsi="Courier New"/>
          <w:sz w:val="18"/>
          <w:szCs w:val="18"/>
          <w:color w:val="auto"/>
        </w:rPr>
      </w:pPr>
    </w:p>
    <w:p>
      <w:pPr>
        <w:jc w:val="both"/>
        <w:ind w:left="320"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$16,762 $19,786</w:t>
      </w:r>
    </w:p>
    <w:p>
      <w:pPr>
        <w:jc w:val="center"/>
        <w:ind w:right="8839"/>
        <w:spacing w:after="0" w:line="233"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rPr>
          <w:sz w:val="20"/>
          <w:szCs w:val="20"/>
          <w:color w:val="auto"/>
        </w:rPr>
      </w:pPr>
      <w:r>
        <w:rPr>
          <w:rFonts w:ascii="Courier New" w:cs="Courier New" w:eastAsia="Courier New" w:hAnsi="Courier New"/>
          <w:sz w:val="18"/>
          <w:szCs w:val="18"/>
          <w:color w:val="auto"/>
        </w:rPr>
        <w:t>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$2,406</w:t>
      </w:r>
    </w:p>
    <w:p>
      <w:pPr>
        <w:jc w:val="center"/>
        <w:ind w:right="8839"/>
        <w:spacing w:after="0" w:line="238" w:lineRule="auto"/>
        <w:rPr>
          <w:sz w:val="20"/>
          <w:szCs w:val="20"/>
          <w:color w:val="auto"/>
        </w:rPr>
      </w:pPr>
      <w:r>
        <w:rPr>
          <w:rFonts w:ascii="Courier New" w:cs="Courier New" w:eastAsia="Courier New" w:hAnsi="Courier New"/>
          <w:sz w:val="18"/>
          <w:szCs w:val="18"/>
          <w:color w:val="auto"/>
        </w:rPr>
        <w:t>$2,522 Non-</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ind w:left="120"/>
        <w:spacing w:after="0" w:line="237" w:lineRule="auto"/>
        <w:rPr>
          <w:sz w:val="20"/>
          <w:szCs w:val="20"/>
          <w:color w:val="auto"/>
        </w:rPr>
      </w:pPr>
      <w:r>
        <w:rPr>
          <w:rFonts w:ascii="Courier New" w:cs="Courier New" w:eastAsia="Courier New" w:hAnsi="Courier New"/>
          <w:sz w:val="18"/>
          <w:szCs w:val="18"/>
          <w:color w:val="auto"/>
        </w:rPr>
        <w:t>liabilities</w:t>
      </w:r>
    </w:p>
    <w:p>
      <w:pPr>
        <w:ind w:left="120"/>
        <w:spacing w:after="0"/>
        <w:rPr>
          <w:sz w:val="20"/>
          <w:szCs w:val="20"/>
          <w:color w:val="auto"/>
        </w:rPr>
      </w:pPr>
      <w:r>
        <w:rPr>
          <w:rFonts w:ascii="Courier New" w:cs="Courier New" w:eastAsia="Courier New" w:hAnsi="Courier New"/>
          <w:sz w:val="18"/>
          <w:szCs w:val="18"/>
          <w:color w:val="auto"/>
        </w:rPr>
        <w:t>6,050 6,300</w:t>
      </w:r>
    </w:p>
    <w:p>
      <w:pPr>
        <w:spacing w:after="0" w:line="237" w:lineRule="auto"/>
        <w:rPr>
          <w:sz w:val="20"/>
          <w:szCs w:val="20"/>
          <w:color w:val="auto"/>
        </w:rPr>
      </w:pPr>
      <w:r>
        <w:rPr>
          <w:rFonts w:ascii="Courier New" w:cs="Courier New" w:eastAsia="Courier New" w:hAnsi="Courier New"/>
          <w:sz w:val="18"/>
          <w:szCs w:val="18"/>
          <w:color w:val="auto"/>
        </w:rPr>
        <w:t>Stockholders'</w:t>
      </w:r>
    </w:p>
    <w:p>
      <w:pPr>
        <w:ind w:left="60"/>
        <w:spacing w:after="0"/>
        <w:rPr>
          <w:sz w:val="20"/>
          <w:szCs w:val="20"/>
          <w:color w:val="auto"/>
        </w:rPr>
      </w:pPr>
      <w:r>
        <w:rPr>
          <w:rFonts w:ascii="Courier New" w:cs="Courier New" w:eastAsia="Courier New" w:hAnsi="Courier New"/>
          <w:sz w:val="18"/>
          <w:szCs w:val="18"/>
          <w:color w:val="auto"/>
        </w:rPr>
        <w:t>equity 8,306</w:t>
      </w:r>
    </w:p>
    <w:p>
      <w:pPr>
        <w:ind w:left="60"/>
        <w:spacing w:after="0" w:line="237" w:lineRule="auto"/>
        <w:rPr>
          <w:sz w:val="20"/>
          <w:szCs w:val="20"/>
          <w:color w:val="auto"/>
        </w:rPr>
      </w:pPr>
      <w:r>
        <w:rPr>
          <w:rFonts w:ascii="Courier New" w:cs="Courier New" w:eastAsia="Courier New" w:hAnsi="Courier New"/>
          <w:sz w:val="18"/>
          <w:szCs w:val="18"/>
          <w:color w:val="auto"/>
        </w:rPr>
        <w:t>10,964 -----</w:t>
      </w:r>
    </w:p>
    <w:p>
      <w:pPr>
        <w:ind w:left="480" w:hanging="317"/>
        <w:spacing w:after="0"/>
        <w:tabs>
          <w:tab w:leader="none" w:pos="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redeemable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preferred</w:t>
      </w:r>
    </w:p>
    <w:p>
      <w:pPr>
        <w:jc w:val="center"/>
        <w:ind w:right="8839"/>
        <w:spacing w:after="0"/>
        <w:rPr>
          <w:sz w:val="20"/>
          <w:szCs w:val="20"/>
          <w:color w:val="auto"/>
        </w:rPr>
      </w:pPr>
      <w:r>
        <w:rPr>
          <w:rFonts w:ascii="Courier New" w:cs="Courier New" w:eastAsia="Courier New" w:hAnsi="Courier New"/>
          <w:sz w:val="18"/>
          <w:szCs w:val="18"/>
          <w:color w:val="auto"/>
        </w:rPr>
        <w:t>stock and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$16,762</w:t>
      </w:r>
    </w:p>
    <w:p>
      <w:pPr>
        <w:jc w:val="center"/>
        <w:ind w:right="8839"/>
        <w:spacing w:after="0"/>
        <w:rPr>
          <w:sz w:val="20"/>
          <w:szCs w:val="20"/>
          <w:color w:val="auto"/>
        </w:rPr>
      </w:pPr>
      <w:r>
        <w:rPr>
          <w:rFonts w:ascii="Courier New" w:cs="Courier New" w:eastAsia="Courier New" w:hAnsi="Courier New"/>
          <w:sz w:val="18"/>
          <w:szCs w:val="18"/>
          <w:color w:val="auto"/>
        </w:rPr>
        <w:t>$19,786 ----</w:t>
      </w:r>
    </w:p>
    <w:p>
      <w:pPr>
        <w:ind w:left="540" w:hanging="429"/>
        <w:spacing w:after="0" w:line="237"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Derived from audited financial statements included in StemCells' annual report on form 10-K/A filed with the SEC.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59"/>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amp;"/>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2019-12-11T22:08:24Z</dcterms:created>
  <dcterms:modified xsi:type="dcterms:W3CDTF">2019-12-11T22:08:24Z</dcterms:modified>
</cp:coreProperties>
</file>