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BJERKHOLT ERIC</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03/01/2008</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1.51</w:t>
            </w:r>
          </w:p>
        </w:tc>
        <w:tc>
          <w:tcPr>
            <w:tcW w:w="140" w:type="dxa"/>
            <w:vAlign w:val="bottom"/>
          </w:tcPr>
          <w:p>
            <w:pPr>
              <w:spacing w:after="0"/>
              <w:rPr>
                <w:sz w:val="17"/>
                <w:szCs w:val="17"/>
                <w:color w:val="auto"/>
              </w:rPr>
            </w:pPr>
          </w:p>
        </w:tc>
        <w:tc>
          <w:tcPr>
            <w:tcW w:w="1120" w:type="dxa"/>
            <w:vAlign w:val="bottom"/>
            <w:gridSpan w:val="2"/>
          </w:tcPr>
          <w:p>
            <w:pPr>
              <w:jc w:val="right"/>
              <w:ind w:right="114"/>
              <w:spacing w:after="0" w:line="207" w:lineRule="exact"/>
              <w:rPr>
                <w:sz w:val="20"/>
                <w:szCs w:val="20"/>
                <w:color w:val="auto"/>
              </w:rPr>
            </w:pPr>
            <w:r>
              <w:rPr>
                <w:rFonts w:ascii="Arial" w:cs="Arial" w:eastAsia="Arial" w:hAnsi="Arial"/>
                <w:sz w:val="13"/>
                <w:szCs w:val="13"/>
                <w:color w:val="0000FF"/>
              </w:rPr>
              <w:t>03/01/2008</w:t>
            </w:r>
            <w:r>
              <w:rPr>
                <w:rFonts w:ascii="Arial" w:cs="Arial" w:eastAsia="Arial" w:hAnsi="Arial"/>
                <w:sz w:val="21"/>
                <w:szCs w:val="21"/>
                <w:color w:val="008000"/>
                <w:vertAlign w:val="superscript"/>
              </w:rPr>
              <w:t>(1)</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03/01/2009</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03/01/2018</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Mr. Bjerkholt was appointed to the Board on March 1, 2004.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Eric H. Bjerkholt by Ken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03/04/2008</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Stratton, 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left="820"/>
        <w:spacing w:after="0"/>
        <w:rPr>
          <w:sz w:val="20"/>
          <w:szCs w:val="20"/>
          <w:color w:val="auto"/>
        </w:rPr>
      </w:pP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Kenneth Stratton, George Koshy and Martin McGlynn, signing singly, the undersigned's true and lawful attorney-in-fact to:</w:t>
      </w:r>
    </w:p>
    <w:p>
      <w:pPr>
        <w:spacing w:after="0" w:line="199" w:lineRule="exact"/>
        <w:rPr>
          <w:sz w:val="20"/>
          <w:szCs w:val="20"/>
          <w:color w:val="auto"/>
        </w:rPr>
      </w:pPr>
    </w:p>
    <w:p>
      <w:pPr>
        <w:ind w:right="16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StemCells, Inc. (the "Company"), Forms 3, 4 and</w:t>
      </w:r>
    </w:p>
    <w:p>
      <w:pPr>
        <w:ind w:right="2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in accordance with Section 16(a) of the Securities Exchange Act of 1934 and the rules thereunder;</w:t>
      </w:r>
    </w:p>
    <w:p>
      <w:pPr>
        <w:spacing w:after="0" w:line="198" w:lineRule="exact"/>
        <w:rPr>
          <w:rFonts w:ascii="Courier New" w:cs="Courier New" w:eastAsia="Courier New" w:hAnsi="Courier New"/>
          <w:sz w:val="17"/>
          <w:szCs w:val="17"/>
          <w:color w:val="auto"/>
        </w:rPr>
      </w:pPr>
    </w:p>
    <w:p>
      <w:pPr>
        <w:ind w:right="17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199" w:lineRule="exact"/>
        <w:rPr>
          <w:rFonts w:ascii="Courier New" w:cs="Courier New" w:eastAsia="Courier New" w:hAnsi="Courier New"/>
          <w:sz w:val="17"/>
          <w:szCs w:val="17"/>
          <w:color w:val="auto"/>
        </w:rPr>
      </w:pPr>
    </w:p>
    <w:p>
      <w:pPr>
        <w:ind w:right="1979" w:firstLine="5"/>
        <w:spacing w:after="0" w:line="246" w:lineRule="auto"/>
        <w:tabs>
          <w:tab w:leader="none" w:pos="82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3" w:lineRule="exact"/>
        <w:rPr>
          <w:sz w:val="20"/>
          <w:szCs w:val="20"/>
          <w:color w:val="auto"/>
        </w:rPr>
      </w:pPr>
    </w:p>
    <w:p>
      <w:pPr>
        <w:ind w:right="2099"/>
        <w:spacing w:after="0" w:line="24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4th day of May, 2007.</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___________/s/ Eric Bjerkholt______________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_______________Eric Bjerkholt____________</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35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2019-12-24T02:04:56Z</dcterms:created>
  <dcterms:modified xsi:type="dcterms:W3CDTF">2019-12-24T02:04:56Z</dcterms:modified>
</cp:coreProperties>
</file>