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8, 2023, Microbot Medical Inc. (the “Company”) issued a press release announcing that it has initiated preparations for potential First-In-Human cases in Brazil, by engaging with distinguished publisher and lecturer interventional radiologist Prof. Francisco Cesar Carnevale. The engagement with Prof. Carnevale, from the prestigious University of Sao Paulo Medical School Hospital, is expected to support the Company’s intention to conduct a FIH clinical trial in Brazil as part of its ongoing clinical and regulatory efforts.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3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8, 2023</w:t>
            </w:r>
          </w:p>
        </w:tc>
        <w:tc>
          <w:tcPr>
            <w:tcW w:w="776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164465</wp:posOffset>
            </wp:positionV>
            <wp:extent cx="188595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Initiates Preparations for First-In-Human (FIH) Cases in Brazil for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w:t>
      </w:r>
    </w:p>
    <w:p>
      <w:pPr>
        <w:spacing w:after="0" w:line="13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Distinguished publisher and lecturer, Interventional Radiologist Prof. Francisco Cesar Carnevale Expected to Perform the World’s First Clinical Cases at the Prestigious Institute of Radiology at the University of Sao Paulo Medical School Hospital</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May 8, 2023 </w:t>
      </w:r>
      <w:r>
        <w:rPr>
          <w:rFonts w:ascii="Times New Roman" w:cs="Times New Roman" w:eastAsia="Times New Roman" w:hAnsi="Times New Roman"/>
          <w:sz w:val="18"/>
          <w:szCs w:val="18"/>
          <w:color w:val="auto"/>
        </w:rPr>
        <w:t>– Microbot Medical Inc. (Nasdaq: MBOT), the developer of the LIBERTY Robotic system, the first fully disposable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announced that it has initiated preparations for potential First-In-Human cases in Brazil, by engaging with distinguished publisher and lecturer interventional radiologist Prof. Francisco Cesar Carnevale. The engagement with Prof. Carnevale, from the prestigious University of Sao Paulo Medical School Hospital, is expected to support the Company’s intention to conduct a FIH clinical trial in Brazil as part of its ongoing clinical and regulatory efforts.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usage of the LIBERTY system in over 100 pre-clinical catheterization procedures, and the value the Key Opinion Leaders that have performed those cases see in the LIBERTY system, the engagement with Prof. Carnevale to perform the first clinical cases represents a major step as we aim to continue our efforts toward regulatory approvals and commercialization,” commented Harel Gadot, Chairman, CEO and President. “Parallel to working in our main target markets for our innovative robotic system, like the US and Europe, we are constantly seeking additional collaboration and key opinion leaders, who wish to benefit their patients and the healthcare provider in their respective markets.”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potential clinical cases are expected to commence upon completion of the verification &amp; validation process of the LIBERTY Robotic system, as well as obtaining the necessary regulatory approvals to perform those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LIBERTY Robotic System aims to improve the way surgical robotics are being used in endovascular procedures today, by eliminating the need for large, cumbersome, and expensive capital equipment, while reducing radiation exposure and physician strain. The Company believes the LIBERTY Robotic System’s remote operation has the potential to be the first system to democratize endovascular interventional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2023-05-08T07:31:50Z</dcterms:created>
  <dcterms:modified xsi:type="dcterms:W3CDTF">2023-05-08T07:31:50Z</dcterms:modified>
</cp:coreProperties>
</file>