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tabs>
          <w:tab w:leader="none" w:pos="2520" w:val="left"/>
          <w:tab w:leader="none" w:pos="2940" w:val="left"/>
        </w:tabs>
        <w:rPr>
          <w:sz w:val="20"/>
          <w:szCs w:val="20"/>
          <w:color w:val="auto"/>
        </w:rPr>
      </w:pPr>
      <w:r>
        <w:rPr>
          <w:rFonts w:ascii="Courier New" w:cs="Courier New" w:eastAsia="Courier New" w:hAnsi="Courier New"/>
          <w:sz w:val="18"/>
          <w:szCs w:val="18"/>
          <w:color w:val="auto"/>
        </w:rPr>
        <w:t>(Amendment No.</w:t>
        <w:tab/>
        <w:t>1</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CytoTherapeutics, Inc.</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23292310</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4739"/>
        <w:spacing w:after="0" w:line="271" w:lineRule="auto"/>
        <w:rPr>
          <w:sz w:val="20"/>
          <w:szCs w:val="20"/>
          <w:color w:val="auto"/>
        </w:rPr>
      </w:pPr>
      <w:r>
        <w:rPr>
          <w:rFonts w:ascii="Courier New" w:cs="Courier New" w:eastAsia="Courier New" w:hAnsi="Courier New"/>
          <w:sz w:val="16"/>
          <w:szCs w:val="16"/>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 - 7.)</w:t>
      </w:r>
    </w:p>
    <w:p>
      <w:pPr>
        <w:spacing w:after="0" w:line="186" w:lineRule="exact"/>
        <w:rPr>
          <w:sz w:val="24"/>
          <w:szCs w:val="24"/>
          <w:color w:val="auto"/>
        </w:rPr>
      </w:pPr>
    </w:p>
    <w:p>
      <w:pPr>
        <w:ind w:right="4839" w:firstLine="8"/>
        <w:spacing w:after="0" w:line="272" w:lineRule="auto"/>
        <w:tabs>
          <w:tab w:leader="none" w:pos="3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23292310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4"/>
          <w:szCs w:val="24"/>
          <w:color w:val="auto"/>
        </w:rPr>
      </w:pPr>
    </w:p>
    <w:p>
      <w:pPr>
        <w:sectPr>
          <w:pgSz w:w="11900" w:h="16855" w:orient="portrait"/>
          <w:cols w:equalWidth="0" w:num="3">
            <w:col w:w="960" w:space="200"/>
            <w:col w:w="840" w:space="540"/>
            <w:col w:w="7679"/>
          </w:cols>
          <w:pgMar w:left="240" w:top="244" w:right="1440" w:bottom="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__________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___</w:t>
      </w:r>
    </w:p>
    <w:p>
      <w:pPr>
        <w:spacing w:after="0" w:line="200" w:lineRule="exact"/>
        <w:rPr>
          <w:sz w:val="24"/>
          <w:szCs w:val="24"/>
          <w:color w:val="auto"/>
        </w:rPr>
      </w:pPr>
    </w:p>
    <w:p>
      <w:pPr>
        <w:sectPr>
          <w:pgSz w:w="11900" w:h="16855" w:orient="portrait"/>
          <w:cols w:equalWidth="0" w:num="3">
            <w:col w:w="3400" w:space="720"/>
            <w:col w:w="320" w:space="300"/>
            <w:col w:w="5479"/>
          </w:cols>
          <w:pgMar w:left="240" w:top="244" w:right="1440" w:bottom="0" w:gutter="0" w:footer="0" w:header="0"/>
          <w:type w:val="continuous"/>
        </w:sectPr>
      </w:pPr>
    </w:p>
    <w:p>
      <w:pPr>
        <w:spacing w:after="0" w:line="18"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Metropolitan Life Insurance Company</w:t>
      </w:r>
    </w:p>
    <w:p>
      <w:pPr>
        <w:ind w:left="860"/>
        <w:spacing w:after="0" w:line="238" w:lineRule="auto"/>
        <w:rPr>
          <w:sz w:val="20"/>
          <w:szCs w:val="20"/>
          <w:color w:val="auto"/>
        </w:rPr>
      </w:pPr>
      <w:r>
        <w:rPr>
          <w:rFonts w:ascii="Courier New" w:cs="Courier New" w:eastAsia="Courier New" w:hAnsi="Courier New"/>
          <w:sz w:val="18"/>
          <w:szCs w:val="18"/>
          <w:color w:val="auto"/>
        </w:rPr>
        <w:t>(I.R.S. NO. 13-5581829)</w:t>
      </w:r>
    </w:p>
    <w:p>
      <w:pPr>
        <w:spacing w:after="0" w:line="202"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Not applicable.</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Not applicable.</w:t>
      </w:r>
    </w:p>
    <w:p>
      <w:pPr>
        <w:spacing w:after="0" w:line="202"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5579" w:hanging="852"/>
        <w:spacing w:after="0" w:line="290"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A New York corporation.</w:t>
      </w:r>
    </w:p>
    <w:p>
      <w:pPr>
        <w:spacing w:after="0" w:line="366" w:lineRule="exact"/>
        <w:rPr>
          <w:rFonts w:ascii="Courier New" w:cs="Courier New" w:eastAsia="Courier New" w:hAnsi="Courier New"/>
          <w:sz w:val="16"/>
          <w:szCs w:val="16"/>
          <w:color w:val="auto"/>
        </w:rPr>
      </w:pPr>
    </w:p>
    <w:p>
      <w:pPr>
        <w:ind w:left="4220" w:hanging="841"/>
        <w:spacing w:after="0"/>
        <w:tabs>
          <w:tab w:leader="none" w:pos="4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86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534,000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534,000</w:t>
            </w:r>
          </w:p>
        </w:tc>
      </w:tr>
      <w:tr>
        <w:trPr>
          <w:trHeight w:val="405"/>
        </w:trPr>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2860" w:type="dxa"/>
            <w:vAlign w:val="bottom"/>
          </w:tcPr>
          <w:p>
            <w:pPr>
              <w:ind w:left="32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- 0 -</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ind w:right="483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4220"/>
        <w:spacing w:after="0"/>
        <w:rPr>
          <w:sz w:val="20"/>
          <w:szCs w:val="20"/>
          <w:color w:val="auto"/>
        </w:rPr>
      </w:pPr>
      <w:r>
        <w:rPr>
          <w:rFonts w:ascii="Courier New" w:cs="Courier New" w:eastAsia="Courier New" w:hAnsi="Courier New"/>
          <w:sz w:val="18"/>
          <w:szCs w:val="18"/>
          <w:color w:val="auto"/>
        </w:rPr>
        <w:t>534,000</w:t>
      </w:r>
    </w:p>
    <w:p>
      <w:pPr>
        <w:spacing w:after="0" w:line="207" w:lineRule="exact"/>
        <w:rPr>
          <w:sz w:val="20"/>
          <w:szCs w:val="20"/>
          <w:color w:val="auto"/>
        </w:rPr>
      </w:pPr>
    </w:p>
    <w:p>
      <w:pPr>
        <w:ind w:right="4739" w:firstLine="8"/>
        <w:spacing w:after="0" w:line="235"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rFonts w:ascii="Courier New" w:cs="Courier New" w:eastAsia="Courier New" w:hAnsi="Courier New"/>
          <w:sz w:val="18"/>
          <w:szCs w:val="18"/>
          <w:color w:val="auto"/>
        </w:rPr>
      </w:pPr>
    </w:p>
    <w:p>
      <w:pPr>
        <w:ind w:left="1700" w:right="4419" w:hanging="1692"/>
        <w:spacing w:after="0" w:line="235" w:lineRule="auto"/>
        <w:tabs>
          <w:tab w:leader="none" w:pos="8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4.86%</w:t>
      </w:r>
    </w:p>
    <w:p>
      <w:pPr>
        <w:spacing w:after="0" w:line="208" w:lineRule="exact"/>
        <w:rPr>
          <w:rFonts w:ascii="Courier New" w:cs="Courier New" w:eastAsia="Courier New" w:hAnsi="Courier New"/>
          <w:sz w:val="18"/>
          <w:szCs w:val="18"/>
          <w:color w:val="auto"/>
        </w:rPr>
      </w:pPr>
    </w:p>
    <w:p>
      <w:pPr>
        <w:ind w:left="860" w:right="673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CytoTherapeutics, Inc.</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w:t>
      </w:r>
    </w:p>
    <w:p>
      <w:pPr>
        <w:spacing w:after="0" w:line="238" w:lineRule="auto"/>
        <w:rPr>
          <w:sz w:val="20"/>
          <w:szCs w:val="20"/>
          <w:color w:val="auto"/>
        </w:rPr>
      </w:pPr>
      <w:r>
        <w:rPr>
          <w:rFonts w:ascii="Courier New" w:cs="Courier New" w:eastAsia="Courier New" w:hAnsi="Courier New"/>
          <w:sz w:val="18"/>
          <w:szCs w:val="18"/>
          <w:color w:val="auto"/>
        </w:rPr>
        <w:t>Office:</w:t>
      </w:r>
    </w:p>
    <w:p>
      <w:pPr>
        <w:ind w:left="860"/>
        <w:spacing w:after="0"/>
        <w:rPr>
          <w:sz w:val="20"/>
          <w:szCs w:val="20"/>
          <w:color w:val="auto"/>
        </w:rPr>
      </w:pPr>
      <w:r>
        <w:rPr>
          <w:rFonts w:ascii="Courier New" w:cs="Courier New" w:eastAsia="Courier New" w:hAnsi="Courier New"/>
          <w:sz w:val="18"/>
          <w:szCs w:val="18"/>
          <w:color w:val="auto"/>
        </w:rPr>
        <w:t>Two Richmond Square</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ind w:left="860"/>
        <w:spacing w:after="0" w:line="238" w:lineRule="auto"/>
        <w:rPr>
          <w:sz w:val="20"/>
          <w:szCs w:val="20"/>
          <w:color w:val="auto"/>
        </w:rPr>
      </w:pPr>
      <w:r>
        <w:rPr>
          <w:rFonts w:ascii="Courier New" w:cs="Courier New" w:eastAsia="Courier New" w:hAnsi="Courier New"/>
          <w:sz w:val="18"/>
          <w:szCs w:val="18"/>
          <w:color w:val="auto"/>
        </w:rPr>
        <w:t>Metropolitan Life Insurance Company</w:t>
      </w:r>
    </w:p>
    <w:p>
      <w:pPr>
        <w:ind w:left="860"/>
        <w:spacing w:after="0"/>
        <w:rPr>
          <w:sz w:val="20"/>
          <w:szCs w:val="20"/>
          <w:color w:val="auto"/>
        </w:rPr>
      </w:pPr>
      <w:r>
        <w:rPr>
          <w:rFonts w:ascii="Courier New" w:cs="Courier New" w:eastAsia="Courier New" w:hAnsi="Courier New"/>
          <w:sz w:val="18"/>
          <w:szCs w:val="18"/>
          <w:color w:val="auto"/>
        </w:rPr>
        <w:t>By Jane C. Weinberg, Associate General</w:t>
      </w:r>
    </w:p>
    <w:p>
      <w:pPr>
        <w:spacing w:after="0" w:line="237" w:lineRule="auto"/>
        <w:rPr>
          <w:sz w:val="20"/>
          <w:szCs w:val="20"/>
          <w:color w:val="auto"/>
        </w:rPr>
      </w:pPr>
      <w:r>
        <w:rPr>
          <w:rFonts w:ascii="Courier New" w:cs="Courier New" w:eastAsia="Courier New" w:hAnsi="Courier New"/>
          <w:sz w:val="18"/>
          <w:szCs w:val="18"/>
          <w:color w:val="auto"/>
        </w:rPr>
        <w:t>Counsel.</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w:t>
      </w:r>
    </w:p>
    <w:p>
      <w:pPr>
        <w:spacing w:after="0" w:line="238" w:lineRule="auto"/>
        <w:rPr>
          <w:sz w:val="20"/>
          <w:szCs w:val="20"/>
          <w:color w:val="auto"/>
        </w:rPr>
      </w:pPr>
      <w:r>
        <w:rPr>
          <w:rFonts w:ascii="Courier New" w:cs="Courier New" w:eastAsia="Courier New" w:hAnsi="Courier New"/>
          <w:sz w:val="18"/>
          <w:szCs w:val="18"/>
          <w:color w:val="auto"/>
        </w:rPr>
        <w:t>Office:</w:t>
      </w:r>
    </w:p>
    <w:p>
      <w:pPr>
        <w:ind w:left="860"/>
        <w:spacing w:after="0"/>
        <w:rPr>
          <w:sz w:val="20"/>
          <w:szCs w:val="20"/>
          <w:color w:val="auto"/>
        </w:rPr>
      </w:pPr>
      <w:r>
        <w:rPr>
          <w:rFonts w:ascii="Courier New" w:cs="Courier New" w:eastAsia="Courier New" w:hAnsi="Courier New"/>
          <w:sz w:val="18"/>
          <w:szCs w:val="18"/>
          <w:color w:val="auto"/>
        </w:rPr>
        <w:t>One Madison Avenue</w:t>
      </w:r>
    </w:p>
    <w:p>
      <w:pPr>
        <w:ind w:left="860"/>
        <w:spacing w:after="0" w:line="237" w:lineRule="auto"/>
        <w:rPr>
          <w:sz w:val="20"/>
          <w:szCs w:val="20"/>
          <w:color w:val="auto"/>
        </w:rPr>
      </w:pPr>
      <w:r>
        <w:rPr>
          <w:rFonts w:ascii="Courier New" w:cs="Courier New" w:eastAsia="Courier New" w:hAnsi="Courier New"/>
          <w:sz w:val="18"/>
          <w:szCs w:val="18"/>
          <w:color w:val="auto"/>
        </w:rPr>
        <w:t>New York, New York 10010.</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860"/>
        <w:spacing w:after="0" w:line="238" w:lineRule="auto"/>
        <w:rPr>
          <w:sz w:val="20"/>
          <w:szCs w:val="20"/>
          <w:color w:val="auto"/>
        </w:rPr>
      </w:pPr>
      <w:r>
        <w:rPr>
          <w:rFonts w:ascii="Courier New" w:cs="Courier New" w:eastAsia="Courier New" w:hAnsi="Courier New"/>
          <w:sz w:val="18"/>
          <w:szCs w:val="18"/>
          <w:color w:val="auto"/>
        </w:rPr>
        <w:t>A New York corporation.</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ind w:left="860"/>
        <w:spacing w:after="0" w:line="238" w:lineRule="auto"/>
        <w:rPr>
          <w:sz w:val="20"/>
          <w:szCs w:val="20"/>
          <w:color w:val="auto"/>
        </w:rPr>
      </w:pPr>
      <w:r>
        <w:rPr>
          <w:rFonts w:ascii="Courier New" w:cs="Courier New" w:eastAsia="Courier New" w:hAnsi="Courier New"/>
          <w:sz w:val="18"/>
          <w:szCs w:val="18"/>
          <w:color w:val="auto"/>
        </w:rPr>
        <w:t>23292310</w:t>
      </w:r>
    </w:p>
    <w:p>
      <w:pPr>
        <w:spacing w:after="0" w:line="207" w:lineRule="exact"/>
        <w:rPr>
          <w:sz w:val="20"/>
          <w:szCs w:val="20"/>
          <w:color w:val="auto"/>
        </w:rPr>
      </w:pPr>
    </w:p>
    <w:p>
      <w:pPr>
        <w:ind w:right="4519" w:firstLine="843"/>
        <w:spacing w:after="0" w:line="236"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6" w:lineRule="exact"/>
        <w:rPr>
          <w:sz w:val="20"/>
          <w:szCs w:val="20"/>
          <w:color w:val="auto"/>
        </w:rPr>
      </w:pPr>
    </w:p>
    <w:p>
      <w:pPr>
        <w:ind w:right="5059" w:firstLine="851"/>
        <w:spacing w:after="0" w:line="235"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5"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 (a) (6)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Act.</w:t>
      </w:r>
    </w:p>
    <w:p>
      <w:pPr>
        <w:spacing w:after="0" w:line="4" w:lineRule="exact"/>
        <w:rPr>
          <w:rFonts w:ascii="Courier New" w:cs="Courier New" w:eastAsia="Courier New" w:hAnsi="Courier New"/>
          <w:sz w:val="16"/>
          <w:szCs w:val="16"/>
          <w:color w:val="auto"/>
        </w:rPr>
      </w:pPr>
    </w:p>
    <w:p>
      <w:pPr>
        <w:ind w:right="4419" w:firstLine="851"/>
        <w:spacing w:after="0" w:line="235"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Insurance Company as defined in Section 3 (a) (19) of the Act.</w:t>
      </w:r>
    </w:p>
    <w:p>
      <w:pPr>
        <w:spacing w:after="0" w:line="5" w:lineRule="exact"/>
        <w:rPr>
          <w:rFonts w:ascii="Courier New" w:cs="Courier New" w:eastAsia="Courier New" w:hAnsi="Courier New"/>
          <w:sz w:val="18"/>
          <w:szCs w:val="18"/>
          <w:color w:val="auto"/>
        </w:rPr>
      </w:pPr>
    </w:p>
    <w:p>
      <w:pPr>
        <w:ind w:right="4839" w:firstLine="851"/>
        <w:spacing w:after="0" w:line="235"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jc w:val="both"/>
        <w:ind w:right="4839" w:firstLine="851"/>
        <w:spacing w:after="0" w:line="268" w:lineRule="auto"/>
        <w:tabs>
          <w:tab w:leader="none" w:pos="12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Adviser registered under Section 203 of the Investment Advisers Act of 1940.</w:t>
      </w:r>
    </w:p>
    <w:p>
      <w:pPr>
        <w:ind w:right="4839" w:firstLine="851"/>
        <w:spacing w:after="0" w:line="237"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spacing w:after="0" w:line="4" w:lineRule="exact"/>
        <w:rPr>
          <w:rFonts w:ascii="Courier New" w:cs="Courier New" w:eastAsia="Courier New" w:hAnsi="Courier New"/>
          <w:sz w:val="18"/>
          <w:szCs w:val="18"/>
          <w:color w:val="auto"/>
        </w:rPr>
      </w:pPr>
    </w:p>
    <w:p>
      <w:pPr>
        <w:ind w:right="4619" w:firstLine="851"/>
        <w:spacing w:after="0" w:line="236"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 (ii) (G) (Note: See Item 7).</w:t>
      </w:r>
    </w:p>
    <w:p>
      <w:pPr>
        <w:spacing w:after="0" w:line="1"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spacing w:after="0"/>
        <w:rPr>
          <w:sz w:val="20"/>
          <w:szCs w:val="20"/>
          <w:color w:val="auto"/>
        </w:rPr>
      </w:pPr>
      <w:r>
        <w:rPr>
          <w:rFonts w:ascii="Courier New" w:cs="Courier New" w:eastAsia="Courier New" w:hAnsi="Courier New"/>
          <w:sz w:val="18"/>
          <w:szCs w:val="18"/>
          <w:color w:val="auto"/>
        </w:rPr>
        <w:t>240.13d-1 (b) (1) (ii) (H)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4. Ownership.</w:t>
      </w:r>
    </w:p>
    <w:p>
      <w:pPr>
        <w:spacing w:after="0" w:line="207" w:lineRule="exact"/>
        <w:rPr>
          <w:sz w:val="20"/>
          <w:szCs w:val="20"/>
          <w:color w:val="auto"/>
        </w:rPr>
      </w:pPr>
    </w:p>
    <w:p>
      <w:pPr>
        <w:ind w:right="4739"/>
        <w:spacing w:after="0" w:line="268" w:lineRule="auto"/>
        <w:rPr>
          <w:sz w:val="20"/>
          <w:szCs w:val="20"/>
          <w:color w:val="auto"/>
        </w:rPr>
      </w:pPr>
      <w:r>
        <w:rPr>
          <w:rFonts w:ascii="Courier New" w:cs="Courier New" w:eastAsia="Courier New" w:hAnsi="Courier New"/>
          <w:sz w:val="16"/>
          <w:szCs w:val="16"/>
          <w:color w:val="auto"/>
        </w:rPr>
        <w:t>If the percent of the class owned, as of December 31 of the year covered by the statement, or as of the last day of any month described in Rule 13d-1(b)</w:t>
      </w:r>
    </w:p>
    <w:p>
      <w:pPr>
        <w:spacing w:after="0" w:line="1"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(2), if applicable, exceeds five percent, provide the following information as of that date and identify those shares which there is a right to acquire.</w:t>
      </w:r>
    </w:p>
    <w:p>
      <w:pPr>
        <w:sectPr>
          <w:pgSz w:w="11900" w:h="16838" w:orient="portrait"/>
          <w:cols w:equalWidth="0" w:num="1">
            <w:col w:w="10219"/>
          </w:cols>
          <w:pgMar w:left="240" w:top="344"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(a)</w:t>
            </w:r>
          </w:p>
        </w:tc>
        <w:tc>
          <w:tcPr>
            <w:tcW w:w="32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N/A</w:t>
            </w:r>
          </w:p>
        </w:tc>
      </w:tr>
      <w:tr>
        <w:trPr>
          <w:trHeight w:val="405"/>
        </w:trPr>
        <w:tc>
          <w:tcPr>
            <w:tcW w:w="7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(b)</w:t>
            </w:r>
          </w:p>
        </w:tc>
        <w:tc>
          <w:tcPr>
            <w:tcW w:w="32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Percent of Class:  N/A</w:t>
            </w:r>
          </w:p>
        </w:tc>
        <w:tc>
          <w:tcPr>
            <w:tcW w:w="190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(c)</w:t>
            </w:r>
          </w:p>
        </w:tc>
        <w:tc>
          <w:tcPr>
            <w:tcW w:w="5100" w:type="dxa"/>
            <w:vAlign w:val="bottom"/>
            <w:gridSpan w:val="4"/>
          </w:tcPr>
          <w:p>
            <w:pPr>
              <w:ind w:left="260"/>
              <w:spacing w:after="0"/>
              <w:rPr>
                <w:sz w:val="20"/>
                <w:szCs w:val="20"/>
                <w:color w:val="auto"/>
              </w:rPr>
            </w:pPr>
            <w:r>
              <w:rPr>
                <w:rFonts w:ascii="Courier New" w:cs="Courier New" w:eastAsia="Courier New" w:hAnsi="Courier New"/>
                <w:sz w:val="18"/>
                <w:szCs w:val="18"/>
                <w:color w:val="auto"/>
                <w:w w:val="99"/>
              </w:rPr>
              <w:t>Number of shares as to which such person has:</w:t>
            </w:r>
          </w:p>
        </w:tc>
      </w:tr>
      <w:tr>
        <w:trPr>
          <w:trHeight w:val="405"/>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41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vote: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1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(ii)</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power to vote or to direct the</w:t>
            </w: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vote: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1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(iii)</w:t>
            </w:r>
          </w:p>
        </w:tc>
        <w:tc>
          <w:tcPr>
            <w:tcW w:w="41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sole power to dispose or to direct the</w:t>
            </w: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disposition of:  N/A</w:t>
            </w:r>
          </w:p>
        </w:tc>
        <w:tc>
          <w:tcPr>
            <w:tcW w:w="1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w:t>
            </w:r>
          </w:p>
        </w:tc>
        <w:tc>
          <w:tcPr>
            <w:tcW w:w="41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5.</w:t>
            </w:r>
          </w:p>
        </w:tc>
        <w:tc>
          <w:tcPr>
            <w:tcW w:w="510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Ownership of Five Percent or Less of a</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7" w:lineRule="exact"/>
        <w:rPr>
          <w:sz w:val="20"/>
          <w:szCs w:val="20"/>
          <w:color w:val="auto"/>
        </w:rPr>
      </w:pPr>
    </w:p>
    <w:p>
      <w:pPr>
        <w:ind w:right="48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Ownership of More than Five Percent on</w:t>
      </w:r>
    </w:p>
    <w:p>
      <w:pPr>
        <w:spacing w:after="0" w:line="238" w:lineRule="auto"/>
        <w:rPr>
          <w:sz w:val="20"/>
          <w:szCs w:val="20"/>
          <w:color w:val="auto"/>
        </w:rPr>
      </w:pPr>
      <w:r>
        <w:rPr>
          <w:rFonts w:ascii="Courier New" w:cs="Courier New" w:eastAsia="Courier New" w:hAnsi="Courier New"/>
          <w:sz w:val="18"/>
          <w:szCs w:val="18"/>
          <w:color w:val="auto"/>
        </w:rPr>
        <w:t>Behalf of Another Person.</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 Identification and Classification of</w:t>
      </w:r>
    </w:p>
    <w:p>
      <w:pPr>
        <w:spacing w:after="0" w:line="4" w:lineRule="exact"/>
        <w:rPr>
          <w:sz w:val="20"/>
          <w:szCs w:val="20"/>
          <w:color w:val="auto"/>
        </w:rPr>
      </w:pPr>
    </w:p>
    <w:p>
      <w:pPr>
        <w:ind w:right="4739"/>
        <w:spacing w:after="0" w:line="237" w:lineRule="auto"/>
        <w:rPr>
          <w:sz w:val="20"/>
          <w:szCs w:val="20"/>
          <w:color w:val="auto"/>
        </w:rPr>
      </w:pPr>
      <w:r>
        <w:rPr>
          <w:rFonts w:ascii="Courier New" w:cs="Courier New" w:eastAsia="Courier New" w:hAnsi="Courier New"/>
          <w:sz w:val="18"/>
          <w:szCs w:val="18"/>
          <w:color w:val="auto"/>
        </w:rPr>
        <w:t>the Subsidiary Which Acquired the Security Being Reported on By the Parent Holding Company: State Street Research and Management Company, Inc. an Investment Adviser registered under Section 203 of the Investment Advisers Act, is the beneficial owner of all shares of the securities reported upon in Item 4(a) hereof.</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w:t>
      </w:r>
    </w:p>
    <w:p>
      <w:pPr>
        <w:spacing w:after="0" w:line="238" w:lineRule="auto"/>
        <w:rPr>
          <w:sz w:val="20"/>
          <w:szCs w:val="20"/>
          <w:color w:val="auto"/>
        </w:rPr>
      </w:pPr>
      <w:r>
        <w:rPr>
          <w:rFonts w:ascii="Courier New" w:cs="Courier New" w:eastAsia="Courier New" w:hAnsi="Courier New"/>
          <w:sz w:val="18"/>
          <w:szCs w:val="18"/>
          <w:color w:val="auto"/>
        </w:rPr>
        <w:t>Members of the Group.</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 1996</w:t>
      </w:r>
    </w:p>
    <w:p>
      <w:pPr>
        <w:ind w:left="860"/>
        <w:spacing w:after="0" w:line="238" w:lineRule="auto"/>
        <w:tabs>
          <w:tab w:leader="none" w:pos="25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Jane C. Weinberg</w:t>
      </w:r>
    </w:p>
    <w:p>
      <w:pPr>
        <w:ind w:left="1700"/>
        <w:spacing w:after="0"/>
        <w:rPr>
          <w:sz w:val="20"/>
          <w:szCs w:val="20"/>
          <w:color w:val="auto"/>
        </w:rPr>
      </w:pPr>
      <w:r>
        <w:rPr>
          <w:rFonts w:ascii="Courier New" w:cs="Courier New" w:eastAsia="Courier New" w:hAnsi="Courier New"/>
          <w:sz w:val="18"/>
          <w:szCs w:val="18"/>
          <w:color w:val="auto"/>
        </w:rPr>
        <w:t>Jane C. Weinberg</w:t>
      </w:r>
    </w:p>
    <w:p>
      <w:pPr>
        <w:ind w:left="1700"/>
        <w:spacing w:after="0" w:line="237" w:lineRule="auto"/>
        <w:rPr>
          <w:sz w:val="20"/>
          <w:szCs w:val="20"/>
          <w:color w:val="auto"/>
        </w:rPr>
      </w:pPr>
      <w:r>
        <w:rPr>
          <w:rFonts w:ascii="Courier New" w:cs="Courier New" w:eastAsia="Courier New" w:hAnsi="Courier New"/>
          <w:sz w:val="18"/>
          <w:szCs w:val="18"/>
          <w:color w:val="auto"/>
        </w:rPr>
        <w:t>Associate General Counsel</w:t>
      </w:r>
    </w:p>
    <w:p>
      <w:pPr>
        <w:sectPr>
          <w:pgSz w:w="11900" w:h="16838" w:orient="portrait"/>
          <w:cols w:equalWidth="0" w:num="1">
            <w:col w:w="10219"/>
          </w:cols>
          <w:pgMar w:left="240" w:top="339"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3"/>
    </w:lvl>
    <w:lvl w:ilvl="1">
      <w:lvlJc w:val="left"/>
      <w:lvlText w:val="%2."/>
      <w:numFmt w:val="decimal"/>
      <w:start w:val="5"/>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2019-12-12T07:15:16Z</dcterms:created>
  <dcterms:modified xsi:type="dcterms:W3CDTF">2019-12-12T07:15:16Z</dcterms:modified>
</cp:coreProperties>
</file>