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333-217076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April 14,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2346325</wp:posOffset>
            </wp:positionH>
            <wp:positionV relativeFrom="paragraph">
              <wp:posOffset>142875</wp:posOffset>
            </wp:positionV>
            <wp:extent cx="2573020"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3020" cy="943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912,858 Shares of Common Stock</w:t>
      </w:r>
    </w:p>
    <w:p>
      <w:pPr>
        <w:spacing w:after="0" w:line="229"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offering 912,858 shares of our common stock at a price of $10.50 per share to certain institutional and accredited investors pursuant to this prospectus supplement and the accompanying base prospectus.</w:t>
      </w:r>
    </w:p>
    <w:p>
      <w:pPr>
        <w:spacing w:after="0" w:line="170"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listed and trades on The Nasdaq Capital Market under the symbol “MBOT.” The last reported sale price of our common stock on The Nasdaq Capital Market on December 24, 2019 was $16.28 per share.</w:t>
      </w:r>
    </w:p>
    <w:p>
      <w:pPr>
        <w:spacing w:after="0" w:line="170" w:lineRule="exact"/>
        <w:rPr>
          <w:sz w:val="24"/>
          <w:szCs w:val="24"/>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24, 2019, the aggregate market value of our outstanding common stock held by non-affiliates, computed by reference to the price at which our common stock was last sold on The Nasdaq Capital Market on December 24, 2019, which was $16.28 per share, was approximately $63.99 million, based on 4,369,263 shares of our outstanding common stock as of the date of this prospectus supplement, of which 3,930,388 shares were held by non-affiliates. Pursuant to General Instruction I.B.6 of Form S-3, in no event will we sell securities in a public primary offering with a value exceeding more than one-third of our public float in any 12-month period so long as our public float remains below $75.0 million. During the 12 calendar months prior to and including the date of this prospectus supplement (excluding this offering), we have sold approximately $11.74 million worth of securities pursuant to General Instruction I.B.6 of Form S-3.</w:t>
      </w:r>
    </w:p>
    <w:p>
      <w:pPr>
        <w:spacing w:after="0" w:line="189" w:lineRule="exact"/>
        <w:rPr>
          <w:sz w:val="24"/>
          <w:szCs w:val="24"/>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engaged H.C. Wainwright &amp; Co., LLC, or Wainwright or the placement agent, to act as our exclusive placement agent for this offering. The placement agent has agreed to use its “reasonable best efforts” to arrange for the sale of our common stock offered by this prospectus supplement and the accompanying base prospectus, but the placement agent has no obligation to purchase or sell any of such shares or to arrange for the purchase or sale of any specific number or dollar amount of such shares. There is no required minimum number of shares of our common stock that must be sold as a condition to completion of this offering. Because there is no minimum offering amount required as a condition to closing this offering, the actual offering amount, placement agent fees, and proceeds to us, if any, are not presently determinable and may be substantially less than the total maximum offering amounts set forth below. We have not arranged to place the funds from investors in an escrow, trust or similar account. We have agreed to pay the placement agent the fees set forth in the table below in connection with this offering, which assumes that we sell all of the shares of common stock we are offering hereby.</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Per Share</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w:t>
            </w:r>
          </w:p>
        </w:tc>
      </w:tr>
      <w:tr>
        <w:trPr>
          <w:trHeight w:val="216"/>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Offering price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9,585,009.00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Placement agent’s fees (1)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0.735</w:t>
            </w:r>
          </w:p>
        </w:tc>
        <w:tc>
          <w:tcPr>
            <w:tcW w:w="6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670,950.63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 (2)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6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8,914,058.37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4"/>
          <w:szCs w:val="24"/>
          <w:color w:val="auto"/>
        </w:rPr>
      </w:pPr>
    </w:p>
    <w:p>
      <w:pPr>
        <w:jc w:val="both"/>
        <w:ind w:left="340" w:hanging="332"/>
        <w:spacing w:after="0" w:line="312"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we have agreed to pay the placement agent for certain of its expenses and to issue warrants to purchase shares of common stock to the placement agent or its designees. Neither the placement agent warrants nor the shares of our common stock issuable upon exercise of the placement agent warrants are being registered hereby. See “Plan of Distribution” beginning on page S-12 of this prospectus supplement for more information.</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Does not include proceeds from the exercise of the warrants to be issued to the placement agent in cash, if any.</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be made on or about December 27, 2019, subject to satisfaction of customary closing conditions.</w:t>
      </w:r>
    </w:p>
    <w:p>
      <w:pPr>
        <w:spacing w:after="0" w:line="166" w:lineRule="exact"/>
        <w:rPr>
          <w:sz w:val="24"/>
          <w:szCs w:val="24"/>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Investing in our securities involves a high degree of risk. Before making any investment decision, you should carefully review and consider all the information in this prospectus supplement, the accompanying base prospectus and the documents incorporated by reference herein and therein, including the risks and uncertainties described under “Risk Factors” beginning on page S-6 of this prospectus supplement and the risk factors incorporated by reference into this prospectus supplement and the accompanying base prospectus.</w:t>
      </w:r>
    </w:p>
    <w:p>
      <w:pPr>
        <w:spacing w:after="0" w:line="169" w:lineRule="exact"/>
        <w:rPr>
          <w:sz w:val="24"/>
          <w:szCs w:val="24"/>
          <w:color w:val="auto"/>
        </w:rPr>
      </w:pPr>
    </w:p>
    <w:p>
      <w:pPr>
        <w:jc w:val="both"/>
        <w:ind w:firstLine="648"/>
        <w:spacing w:after="0" w:line="34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2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We have applied to list the shares offered hereby on The Nasdaq Capital Market.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December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45" w:right="239" w:bottom="76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gridSpan w:val="5"/>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30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ABOUT THIS PROSPECTUS SUPPLEMENT</w:t>
              </w:r>
            </w:hyperlink>
          </w:p>
        </w:tc>
        <w:tc>
          <w:tcPr>
            <w:tcW w:w="71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PROSPECTUS SUPPLEMENT SUMMARY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5"/>
              </w:rPr>
              <w:t>S-3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THE OFFERING</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0000EE"/>
            </w:tcBorders>
            <w:gridSpan w:val="4"/>
          </w:tcPr>
          <w:p>
            <w:pPr>
              <w:spacing w:after="0" w:line="17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RISK FACTORS</w:t>
              </w:r>
            </w:hyperlink>
          </w:p>
        </w:tc>
        <w:tc>
          <w:tcPr>
            <w:tcW w:w="9400" w:type="dxa"/>
            <w:vAlign w:val="bottom"/>
            <w:tcBorders>
              <w:top w:val="single" w:sz="8" w:color="CCEEFF"/>
            </w:tcBorders>
            <w:gridSpan w:val="2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5"/>
              </w:rPr>
              <w:t>S-6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FORWARD-LOOKING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5"/>
              </w:rPr>
              <w:t>S-8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20" w:type="dxa"/>
            <w:vAlign w:val="bottom"/>
            <w:tcBorders>
              <w:top w:val="single" w:sz="8" w:color="0000EE"/>
            </w:tcBorders>
            <w:gridSpan w:val="14"/>
          </w:tcPr>
          <w:p>
            <w:pPr>
              <w:spacing w:after="0" w:line="176"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USE OF PROCEEDS</w:t>
              </w:r>
            </w:hyperlink>
          </w:p>
        </w:tc>
        <w:tc>
          <w:tcPr>
            <w:tcW w:w="7540" w:type="dxa"/>
            <w:vAlign w:val="bottom"/>
            <w:tcBorders>
              <w:top w:val="single" w:sz="8" w:color="CCEEFF"/>
            </w:tcBorders>
            <w:gridSpan w:val="10"/>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S-10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DILUTION</w:t>
              </w:r>
            </w:hyperlink>
          </w:p>
        </w:tc>
        <w:tc>
          <w:tcPr>
            <w:tcW w:w="986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PLAN OF DISTRIBUTION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S-14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INCORPORATION OF CERTAIN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S-15</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130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24"/>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PROSPECTUS SUMMARY</w:t>
              </w:r>
            </w:hyperlink>
          </w:p>
        </w:tc>
        <w:tc>
          <w:tcPr>
            <w:tcW w:w="858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21"/>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COMMON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PREFERRED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WARRANTS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2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b w:val="1"/>
                <w:bCs w:val="1"/>
                <w:color w:val="0000EE"/>
                <w:w w:val="99"/>
              </w:rPr>
            </w:pPr>
            <w:hyperlink w:anchor="page35">
              <w:r>
                <w:rPr>
                  <w:rFonts w:ascii="Arial" w:cs="Arial" w:eastAsia="Arial" w:hAnsi="Arial"/>
                  <w:sz w:val="18"/>
                  <w:szCs w:val="18"/>
                  <w:b w:val="1"/>
                  <w:bCs w:val="1"/>
                  <w:color w:val="0000EE"/>
                  <w:w w:val="99"/>
                </w:rPr>
                <w:t>DESCRIPTION OF RIGHTS</w:t>
              </w:r>
            </w:hyperlink>
          </w:p>
        </w:tc>
        <w:tc>
          <w:tcPr>
            <w:tcW w:w="84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PURCHASE CONTRACTS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UNITS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2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LEGAL MATTERS</w:t>
              </w:r>
            </w:hyperlink>
          </w:p>
        </w:tc>
        <w:tc>
          <w:tcPr>
            <w:tcW w:w="8640" w:type="dxa"/>
            <w:vAlign w:val="bottom"/>
            <w:tcBorders>
              <w:top w:val="single" w:sz="8" w:color="CCEEFF"/>
            </w:tcBorders>
            <w:gridSpan w:val="1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2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5"/>
              </w:rPr>
            </w:pPr>
            <w:hyperlink w:anchor="page40">
              <w:r>
                <w:rPr>
                  <w:rFonts w:ascii="Arial" w:cs="Arial" w:eastAsia="Arial" w:hAnsi="Arial"/>
                  <w:sz w:val="18"/>
                  <w:szCs w:val="18"/>
                  <w:b w:val="1"/>
                  <w:bCs w:val="1"/>
                  <w:color w:val="0000EE"/>
                  <w:w w:val="95"/>
                </w:rPr>
                <w:t>EXPERTS</w:t>
              </w:r>
            </w:hyperlink>
          </w:p>
        </w:tc>
        <w:tc>
          <w:tcPr>
            <w:tcW w:w="9940" w:type="dxa"/>
            <w:vAlign w:val="bottom"/>
            <w:tcBorders>
              <w:bottom w:val="single" w:sz="8" w:color="CCEEFF"/>
            </w:tcBorders>
            <w:gridSpan w:val="2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24"/>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WHERE YOU CAN FIND MORE INFORMATION</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24"/>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CERTAIN DOCUMENTS BY REFERENCE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and the accompanying prospectus. Neither we nor the placement agent have authorized anyone to provide you with different information. If anyone provides you with different or inconsistent information, you should not rely on it. This prospectus supplement and the accompanying prospectus do not constitute an offer to sell, or a solicitation of an offer to purchase, the securities offered by this prospectus supplement and the accompanying prospectus in any jurisdiction where it is unlawful to make such offer or solicitation. You should assume that the information contained in this prospectus supplement or the accompanying prospectus, or any document incorporated by reference in this prospectus supplement or the accompanying prospectus, is accurate only as of the date of those respective documents. Neither the delivery of this prospectus supplement nor any distribution of securities pursuant to this prospectus supplement shall, under any circumstances, create any implication that there has been no change in the information set forth or incorporated by reference into this prospectus supplement or in our affairs since the date of this prospectus supplement. Our business, financial condition, results of operations and prospects may have changed since that date.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 registration statement on Form S-3 (File No. 333-217076) utilizing a shelf registration process relating to the securities described in this prospectus supplement was initially filed with the Securities and Exchange Commission, or the SEC, on March 31, 2017 and was declared effective on April 14, 2017.</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of securities.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It is also important for you to read and consider all information contained in this prospectus supplement and the accompanying prospectus, including the documents we have referred you to in the section entitled “Where You Can Find More Information” below in this prospectus supplement.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You should assume that the information contained in this prospectus supplement, the accompanying prospectus and the documents incorporated by reference is accurate only as of their respective dates.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common stock in certain jurisdictions may be restricted by law. We are not, and the placement agent is not, making an offer of the common stock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indicates otherwise, in this prospectus supplement and the accompanying prospectus the terms, the terms “Microbot,” the “Company,” “we,” “our” or “us” in this prospectus supplement refer to Microbot Medical Inc. and its wholly-owned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701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2175" cy="7010400"/>
                    </a:xfrm>
                    <a:prstGeom prst="rect">
                      <a:avLst/>
                    </a:prstGeom>
                    <a:noFill/>
                  </pic:spPr>
                </pic:pic>
              </a:graphicData>
            </a:graphic>
          </wp:anchor>
        </w:drawing>
        <w:t>PROSPECTUS SUPPLEMENT SUMMARY</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This summary highlights information contained in other parts of this prospectus or information incorporated by reference into this prospectus from our filings with the Securities and Exchange Commission, or SEC, listed in the section of the prospectus entitled “Incorporation of Certain Information by Reference.” Because it is only a summary, it does not contain all of the information that you should consider before purchasing our securities in this offering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incorporated by reference into this prospectus, before purchasing our securities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5" w:lineRule="exact"/>
        <w:rPr>
          <w:sz w:val="20"/>
          <w:szCs w:val="20"/>
          <w:color w:val="auto"/>
        </w:rPr>
      </w:pPr>
    </w:p>
    <w:p>
      <w:pPr>
        <w:jc w:val="both"/>
        <w:spacing w:after="0" w:line="207"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30"/>
          <w:szCs w:val="30"/>
          <w:color w:val="auto"/>
          <w:vertAlign w:val="superscript"/>
        </w:rPr>
        <w:t>TM</w:t>
      </w:r>
      <w:r>
        <w:rPr>
          <w:rFonts w:ascii="Arial" w:cs="Arial" w:eastAsia="Arial" w:hAnsi="Arial"/>
          <w:sz w:val="18"/>
          <w:szCs w:val="18"/>
          <w:color w:val="auto"/>
        </w:rPr>
        <w:t>, TipCAT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and CardioSert</w:t>
      </w:r>
      <w:r>
        <w:rPr>
          <w:rFonts w:ascii="Arial" w:cs="Arial" w:eastAsia="Arial" w:hAnsi="Arial"/>
          <w:sz w:val="30"/>
          <w:szCs w:val="30"/>
          <w:color w:val="auto"/>
          <w:vertAlign w:val="superscript"/>
        </w:rPr>
        <w:t>TM</w:t>
      </w:r>
      <w:r>
        <w:rPr>
          <w:rFonts w:ascii="Arial" w:cs="Arial" w:eastAsia="Arial" w:hAnsi="Arial"/>
          <w:sz w:val="18"/>
          <w:szCs w:val="18"/>
          <w:color w:val="auto"/>
        </w:rPr>
        <w:t>, are comprised of proprietary innovative technologies. Using 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platform, Microbot is 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Microbot has a global patent portfolio of 35 patents issued/allowed and 16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16"/>
          <w:szCs w:val="16"/>
          <w:color w:val="auto"/>
        </w:rPr>
        <w:t>On September 10, 2019, we announced that the operational effectiveness of the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was validated in a broader follow-up in-vitro lab study and demonstrated the device’s capability to prevent shunt occlusion under the parameters of that study. In the follow-up study, which commenced in July</w:t>
      </w:r>
    </w:p>
    <w:p>
      <w:pPr>
        <w:jc w:val="both"/>
        <w:spacing w:after="0" w:line="205" w:lineRule="auto"/>
        <w:rPr>
          <w:sz w:val="20"/>
          <w:szCs w:val="20"/>
          <w:color w:val="auto"/>
        </w:rPr>
      </w:pPr>
      <w:r>
        <w:rPr>
          <w:rFonts w:ascii="Arial" w:cs="Arial" w:eastAsia="Arial" w:hAnsi="Arial"/>
          <w:sz w:val="18"/>
          <w:szCs w:val="18"/>
          <w:color w:val="auto"/>
        </w:rPr>
        <w:t>2019 and concluded on August 14, 2019, human brain glioblastoma cells were used in order to assess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a test system with accelerated cell growth rate, accumulation and obstruction rates. The study demonstrated:</w:t>
      </w:r>
    </w:p>
    <w:p>
      <w:pPr>
        <w:spacing w:after="0" w:line="183" w:lineRule="exact"/>
        <w:rPr>
          <w:sz w:val="20"/>
          <w:szCs w:val="20"/>
          <w:color w:val="auto"/>
        </w:rPr>
      </w:pPr>
    </w:p>
    <w:p>
      <w:pPr>
        <w:ind w:left="320" w:hanging="315"/>
        <w:spacing w:after="0"/>
        <w:tabs>
          <w:tab w:leader="none" w:pos="32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Significant cell growth and accumulation in a non-operating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well as a standard of care surgical shunt.</w:t>
      </w:r>
    </w:p>
    <w:p>
      <w:pPr>
        <w:spacing w:after="0" w:line="82" w:lineRule="exact"/>
        <w:rPr>
          <w:rFonts w:ascii="Arial" w:cs="Arial" w:eastAsia="Arial" w:hAnsi="Arial"/>
          <w:sz w:val="36"/>
          <w:szCs w:val="36"/>
          <w:color w:val="auto"/>
          <w:vertAlign w:val="superscript"/>
        </w:rPr>
      </w:pPr>
    </w:p>
    <w:p>
      <w:pPr>
        <w:ind w:left="320" w:right="20" w:hanging="315"/>
        <w:spacing w:after="0" w:line="204" w:lineRule="auto"/>
        <w:tabs>
          <w:tab w:leader="none" w:pos="32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 significant inhibition in cell growth in daily (5-10 minutes) or weekly (up to 2 hours over the week) 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with little cell attachment on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and on the opening where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operates.</w:t>
      </w:r>
    </w:p>
    <w:p>
      <w:pPr>
        <w:spacing w:after="0" w:line="80" w:lineRule="exact"/>
        <w:rPr>
          <w:rFonts w:ascii="Arial" w:cs="Arial" w:eastAsia="Arial" w:hAnsi="Arial"/>
          <w:sz w:val="36"/>
          <w:szCs w:val="36"/>
          <w:color w:val="auto"/>
          <w:vertAlign w:val="superscript"/>
        </w:rPr>
      </w:pPr>
    </w:p>
    <w:p>
      <w:pPr>
        <w:ind w:left="320" w:hanging="315"/>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SCS™ devices in preventing cells blockage as compare to standard of care surgical shunts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10, 2019, as approved at our 2019 annual meeting of stockholders, we filed a Certificate of Amendment to our Restated Certificate of Incorporation with the Secretary of State of the State of Delaware to effect a reduction in the authorized number of shares of capital stock we are authorized to issue from 221,000,000 to 61,000,000, including a reduction in the number of authorized shares of our common stock from 220,000,000 to 60,000,000.</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On December 23, 2019, we announced the revealing of LIBERTY</w:t>
      </w:r>
      <w:r>
        <w:rPr>
          <w:rFonts w:ascii="Arial" w:cs="Arial" w:eastAsia="Arial" w:hAnsi="Arial"/>
          <w:sz w:val="26"/>
          <w:szCs w:val="26"/>
          <w:color w:val="auto"/>
          <w:vertAlign w:val="superscript"/>
        </w:rPr>
        <w:t>TM</w:t>
      </w:r>
      <w:r>
        <w:rPr>
          <w:rFonts w:ascii="Arial" w:cs="Arial" w:eastAsia="Arial" w:hAnsi="Arial"/>
          <w:sz w:val="16"/>
          <w:szCs w:val="16"/>
          <w:color w:val="auto"/>
        </w:rPr>
        <w:t>, which we believe is the world’s first fully disposable robotic system for use in neurovascular, cardiovascular and peripheral vascular procedures. The LIBERTY</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robotic system features a unique compact design with the capability to be operated remotely, reduce radiation exposure and physical strain to the physician, as well as the potential to eliminate the use of multiple</w:t>
      </w:r>
    </w:p>
    <w:p>
      <w:pPr>
        <w:jc w:val="both"/>
        <w:spacing w:after="0" w:line="205" w:lineRule="auto"/>
        <w:rPr>
          <w:sz w:val="20"/>
          <w:szCs w:val="20"/>
          <w:color w:val="auto"/>
        </w:rPr>
      </w:pPr>
      <w:r>
        <w:rPr>
          <w:rFonts w:ascii="Arial" w:cs="Arial" w:eastAsia="Arial" w:hAnsi="Arial"/>
          <w:sz w:val="18"/>
          <w:szCs w:val="18"/>
          <w:color w:val="auto"/>
        </w:rPr>
        <w:t>consumables through its “One &amp; Done” capabilities. We intend to publicly display and demonstrate LIBERTY</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to investors, journalists and healthcare industry leaders on Monday, January 13, 2020, in 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154940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434340</wp:posOffset>
            </wp:positionV>
            <wp:extent cx="7242175" cy="89484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8948420"/>
                    </a:xfrm>
                    <a:prstGeom prst="rect">
                      <a:avLst/>
                    </a:prstGeom>
                    <a:noFill/>
                  </pic:spPr>
                </pic:pic>
              </a:graphicData>
            </a:graphic>
          </wp:anchor>
        </w:drawing>
        <w:t>Risks Associated with Our Business and this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and our ability to implement our business strategy are subject to numerous risks, as more fully described in the section of this prospectus entitled “Risk Factors” and under similarly titled headings of the documents incorporated herein by reference. You should read these risks before you invest in our securities. We may be unable, for many reasons, including those that are beyond our control, to implement our business strategy. In particular, risks associated with our business include:</w:t>
      </w:r>
    </w:p>
    <w:p>
      <w:pPr>
        <w:spacing w:after="0" w:line="187"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to raise significant additional capital to support our operations.</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 and our future profitability is uncertain.</w:t>
      </w:r>
    </w:p>
    <w:p>
      <w:pPr>
        <w:spacing w:after="0" w:line="170" w:lineRule="exact"/>
        <w:rPr>
          <w:rFonts w:ascii="Arial" w:cs="Arial" w:eastAsia="Arial" w:hAnsi="Arial"/>
          <w:sz w:val="18"/>
          <w:szCs w:val="18"/>
          <w:color w:val="auto"/>
        </w:rPr>
      </w:pPr>
    </w:p>
    <w:p>
      <w:pPr>
        <w:ind w:left="660" w:hanging="331"/>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product candidates must undergo rigorous clinical testing, such clinical testing may fail to demonstrate safety and efficacy and any of our product candidates could cause undesirable side effects, which would substantially delay or prevent regulatory approval or commercialization.</w:t>
      </w:r>
    </w:p>
    <w:p>
      <w:pPr>
        <w:spacing w:after="0" w:line="123" w:lineRule="exact"/>
        <w:rPr>
          <w:rFonts w:ascii="Arial" w:cs="Arial" w:eastAsia="Arial" w:hAnsi="Arial"/>
          <w:sz w:val="16"/>
          <w:szCs w:val="16"/>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commercializing our product candidates will depend on receipt of marketing approvals or clearances from the FDA and other applicable regulatory authorities.</w:t>
      </w:r>
    </w:p>
    <w:p>
      <w:pPr>
        <w:spacing w:after="0" w:line="170"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patents and proprietary technology. If we fail to adequately protect this intellectual property or if we otherwise do not have exclusivity for the marketing of our products, our ability to commercialize products could suffer.</w:t>
      </w:r>
    </w:p>
    <w:p>
      <w:pPr>
        <w:spacing w:after="0" w:line="170" w:lineRule="exact"/>
        <w:rPr>
          <w:rFonts w:ascii="Arial" w:cs="Arial" w:eastAsia="Arial" w:hAnsi="Arial"/>
          <w:sz w:val="18"/>
          <w:szCs w:val="18"/>
          <w:color w:val="auto"/>
        </w:rPr>
      </w:pPr>
    </w:p>
    <w:p>
      <w:pPr>
        <w:ind w:left="660" w:hanging="331"/>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competitors are able to develop and market products that are more effective, safer or more affordable than ours, or obtain marketing approval before we do, our commercial opportunities may be limited.</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you purchase our securities in this offering, you will incur immediate and substantial dilution.</w:t>
      </w:r>
    </w:p>
    <w:p>
      <w:pPr>
        <w:spacing w:after="0" w:line="225" w:lineRule="exact"/>
        <w:rPr>
          <w:rFonts w:ascii="Arial" w:cs="Arial" w:eastAsia="Arial" w:hAnsi="Arial"/>
          <w:sz w:val="18"/>
          <w:szCs w:val="18"/>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have broad discretion in the use of the net proceeds from this offering and may not use them effectively.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Information</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May 2016, we effected a 1-for-12 reverse split of our common stock, and in November 2016, we effected a 1-for-9 reverse split of our common stock in connection with the Merger. In September 2018, we effected a 1-for-15 reverse split of our common stock. The share and per share information described in this prospectus that occurred prior to these reverse splits have been adjusted to give retrospective effect to the reverse splits.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Our principal executive offices are located at 25 Recreation Park Drive, Unit 108, Hingham, MA 02043. The telephone number at our principal executive office is (781) 875-3605. Our website address is </w:t>
      </w:r>
      <w:r>
        <w:rPr>
          <w:rFonts w:ascii="Arial" w:cs="Arial" w:eastAsia="Arial" w:hAnsi="Arial"/>
          <w:sz w:val="17"/>
          <w:szCs w:val="17"/>
          <w:i w:val="1"/>
          <w:iCs w:val="1"/>
          <w:color w:val="auto"/>
        </w:rPr>
        <w:t>www.microbotmedical.com</w:t>
      </w:r>
      <w:r>
        <w:rPr>
          <w:rFonts w:ascii="Arial" w:cs="Arial" w:eastAsia="Arial" w:hAnsi="Arial"/>
          <w:sz w:val="17"/>
          <w:szCs w:val="17"/>
          <w:color w:val="auto"/>
        </w:rPr>
        <w:t>. Our website and the information contained on, or that can be accessed through, our website will not be deemed to be incorporated by reference in, and are not considered part of, this prospectus. You should not rely on our website or any such information in making your decision whether to purchase our securities in this offering.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prospectus contains references to our trademarks and to trademarks and trade names belonging to other entities. Solely for convenience, trademarks and trade names referred to in this prospectus, including logos, artwork and other visual displays, may appear without the ® or ™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 Smaller Reporting Company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“smaller reporting company” as defined in the Securities Exchange Act of 1934, as amended, or the Exchange Act, and have elected to take advantage of certain of the scaled disclosures available to smaller reporting companies, including certain of the reduced disclosure obligations in the registration statement of which this prospectus is a part. As a result, the information that we provide to our stockholders may be different than you might receive from other public reporting companies in which you hold equity interests.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086" w:gutter="0" w:footer="0" w:header="0"/>
        </w:sectPr>
      </w:pPr>
    </w:p>
    <w:bookmarkStart w:id="5" w:name="page6"/>
    <w:bookmarkEnd w:id="5"/>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 in This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Common Stock Outstanding Before This Offering</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Common Stock to be Outstanding After This Offering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-3179445</wp:posOffset>
            </wp:positionH>
            <wp:positionV relativeFrom="paragraph">
              <wp:posOffset>-271145</wp:posOffset>
            </wp:positionV>
            <wp:extent cx="7242175" cy="8314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8314055"/>
                    </a:xfrm>
                    <a:prstGeom prst="rect">
                      <a:avLst/>
                    </a:prstGeom>
                    <a:noFill/>
                  </pic:spPr>
                </pic:pic>
              </a:graphicData>
            </a:graphic>
          </wp:anchor>
        </w:drawing>
      </w:r>
    </w:p>
    <w:p>
      <w:pPr>
        <w:spacing w:after="0" w:line="2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912,858 shares of our common stock, par value $0.01 per share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$10.50 per share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4,369,343 shares</w:t>
      </w:r>
      <w:r>
        <w:rPr>
          <w:rFonts w:ascii="Arial" w:cs="Arial" w:eastAsia="Arial" w:hAnsi="Arial"/>
          <w:sz w:val="30"/>
          <w:szCs w:val="30"/>
          <w:color w:val="auto"/>
          <w:vertAlign w:val="superscript"/>
        </w:rPr>
        <w:t>(1)</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5,282,201 shares</w:t>
      </w:r>
      <w:r>
        <w:rPr>
          <w:rFonts w:ascii="Arial" w:cs="Arial" w:eastAsia="Arial" w:hAnsi="Arial"/>
          <w:sz w:val="30"/>
          <w:szCs w:val="30"/>
          <w:color w:val="auto"/>
          <w:vertAlign w:val="superscript"/>
        </w:rPr>
        <w:t>(1)</w:t>
      </w:r>
    </w:p>
    <w:p>
      <w:pPr>
        <w:spacing w:after="0" w:line="124" w:lineRule="exact"/>
        <w:rPr>
          <w:sz w:val="20"/>
          <w:szCs w:val="20"/>
          <w:color w:val="auto"/>
        </w:rPr>
      </w:pPr>
    </w:p>
    <w:p>
      <w:pPr>
        <w:jc w:val="both"/>
        <w:ind w:left="700"/>
        <w:spacing w:after="0" w:line="268" w:lineRule="auto"/>
        <w:rPr>
          <w:sz w:val="20"/>
          <w:szCs w:val="20"/>
          <w:color w:val="auto"/>
        </w:rPr>
      </w:pPr>
      <w:r>
        <w:rPr>
          <w:rFonts w:ascii="Arial" w:cs="Arial" w:eastAsia="Arial" w:hAnsi="Arial"/>
          <w:sz w:val="17"/>
          <w:szCs w:val="17"/>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 See “Use of Proceeds” on page S-10.</w:t>
      </w:r>
    </w:p>
    <w:p>
      <w:pPr>
        <w:spacing w:after="0" w:line="181" w:lineRule="exact"/>
        <w:rPr>
          <w:sz w:val="20"/>
          <w:szCs w:val="20"/>
          <w:color w:val="auto"/>
        </w:rPr>
      </w:pPr>
    </w:p>
    <w:p>
      <w:pPr>
        <w:sectPr>
          <w:pgSz w:w="11900" w:h="16838" w:orient="portrait"/>
          <w:cols w:equalWidth="0" w:num="2">
            <w:col w:w="4140" w:space="720"/>
            <w:col w:w="6240"/>
          </w:cols>
          <w:pgMar w:left="400" w:top="904" w:right="399" w:bottom="1440" w:gutter="0" w:footer="0" w:header="0"/>
        </w:sectPr>
      </w:pPr>
    </w:p>
    <w:p>
      <w:pPr>
        <w:spacing w:after="0"/>
        <w:tabs>
          <w:tab w:leader="none" w:pos="55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securities involves a high degree of risk. Before you decide</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to invest in our common stock, you should carefully read this prospectus</w:t>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supplement in its entirety and carefully consider the risks and uncertainties</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described in “Risk Factors” beginning on page S-6 of this prospectus</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supplement, beginning on page 3 of the accompanying base prospectus and</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in our Annual Report on Form 10-K for the fiscal year ended December 31,</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2018,  as  such  risk  factors  may  be  amended,  updated  or  modified</w:t>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periodically in our reports filed with the SEC, and the financial data and</w:t>
      </w:r>
    </w:p>
    <w:p>
      <w:pPr>
        <w:spacing w:after="0" w:line="2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related notes and the reports incorporated by reference herein and therein.</w:t>
      </w:r>
    </w:p>
    <w:p>
      <w:pPr>
        <w:spacing w:after="0" w:line="234"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Nasdaq Capital Market Symbol</w:t>
      </w:r>
      <w:r>
        <w:rPr>
          <w:sz w:val="20"/>
          <w:szCs w:val="20"/>
          <w:color w:val="auto"/>
        </w:rPr>
        <w:tab/>
      </w:r>
      <w:r>
        <w:rPr>
          <w:rFonts w:ascii="Arial" w:cs="Arial" w:eastAsia="Arial" w:hAnsi="Arial"/>
          <w:sz w:val="17"/>
          <w:szCs w:val="17"/>
          <w:color w:val="auto"/>
        </w:rPr>
        <w:t>MBOT</w:t>
      </w:r>
    </w:p>
    <w:p>
      <w:pPr>
        <w:spacing w:after="0" w:line="225" w:lineRule="exact"/>
        <w:rPr>
          <w:sz w:val="20"/>
          <w:szCs w:val="20"/>
          <w:color w:val="auto"/>
        </w:rPr>
      </w:pPr>
    </w:p>
    <w:p>
      <w:pPr>
        <w:ind w:left="660" w:right="2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of shares of our common stock to be outstanding after this offering is based on 4,369,343 shares of common stock outstanding as of December 24, 2019, and excludes, as of December 24, 2019:</w:t>
      </w:r>
    </w:p>
    <w:p>
      <w:pPr>
        <w:spacing w:after="0" w:line="170" w:lineRule="exact"/>
        <w:rPr>
          <w:sz w:val="20"/>
          <w:szCs w:val="20"/>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374,693 shares of our common stock issuable upon the exercise of outstanding stock options, with exercise prices ranging from $0 to $15.75 and having a weighted-average exercise price of $11.5 per share;</w:t>
      </w:r>
    </w:p>
    <w:p>
      <w:pPr>
        <w:spacing w:after="0" w:line="170"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249,025 shares of our common stock reserved for future grant under our 2017 Equity Incentive Plan; and</w:t>
      </w:r>
    </w:p>
    <w:p>
      <w:pPr>
        <w:spacing w:after="0" w:line="225" w:lineRule="exact"/>
        <w:rPr>
          <w:rFonts w:ascii="Arial" w:cs="Arial" w:eastAsia="Arial" w:hAnsi="Arial"/>
          <w:sz w:val="18"/>
          <w:szCs w:val="18"/>
          <w:color w:val="auto"/>
        </w:rPr>
      </w:pPr>
    </w:p>
    <w:p>
      <w:pPr>
        <w:ind w:left="660" w:right="20" w:hanging="331"/>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70" w:lineRule="exact"/>
        <w:rPr>
          <w:rFonts w:ascii="Arial" w:cs="Arial" w:eastAsia="Arial" w:hAnsi="Arial"/>
          <w:sz w:val="18"/>
          <w:szCs w:val="18"/>
          <w:color w:val="auto"/>
        </w:rPr>
      </w:pPr>
    </w:p>
    <w:p>
      <w:pPr>
        <w:ind w:left="660" w:right="20" w:hanging="331"/>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125,000 shares of our common stock issuable upon the exercise of outstanding warrants, at an exercise price per share of $10.00, which warrants are in the money as of the date of this prospectus supplement and expire in accordance with their terms on January 27, 2020.</w:t>
      </w:r>
    </w:p>
    <w:p>
      <w:pPr>
        <w:spacing w:after="0" w:line="146" w:lineRule="exact"/>
        <w:rPr>
          <w:rFonts w:ascii="Arial" w:cs="Arial" w:eastAsia="Arial" w:hAnsi="Arial"/>
          <w:sz w:val="17"/>
          <w:szCs w:val="17"/>
          <w:color w:val="auto"/>
        </w:rPr>
      </w:pPr>
    </w:p>
    <w:p>
      <w:pPr>
        <w:ind w:left="660" w:hanging="33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64,767 shares of our common stock issuable upon the exercise of outstanding warrants, at exercise prices ranging from $8.125 to $12.50.</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shares of common stock outstanding as of December 24, 2019 also exclude up to 45,643 shares of common stock issuable upon exercise, at an exercise price of $13.125, of the warrants to be issued to the placement agent as compensation in connection with this offering as described under “Plan of Distribution.”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00"/>
          </w:cols>
          <w:pgMar w:left="400" w:top="904"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Investing in our securities involves a high degree of risk. You should consider carefully the additional risks described below, together with all of the other information included or incorporated by reference in this prospectus, including the risks and uncertainties discussed under “Risk Factors” in our Annual Report on Form 10-K for the fiscal year ended December 31, 2018 filed with the Securities and Exchange Commission, or SEC, on April 1, 2019 and in our subsequent reports filed with the SEC, before deciding whether to purchase our securities in this offering. All of these risk factors are incorporated herein in their entirety. The risks described below and incorporated by reference are material risks currently known, expected or reasonably foreseeable by us. However, the risks described below or that we incorporate by reference are not the only ones that we face. Additional risks not presently known to us or that we currently deem immaterial may also affect our business, operating results, prospects or financial condition. If any of these risks actually materialize, our business, prospects, financial condition, and results of operations could be seriously harmed. This could cause the trading price of our common stock, resulting in a loss of all or part of your investment.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sold in this offering, you will incur immediate dilution.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you purchase shares of our common stock in this offering, you will experience immediate dilution in the net tangible book value per share after giving effect to this offering, based on the offering price of $10.50 and a net tangible book value of $6,403,000 as of September 30, 2019, because the price that you pay will be greater than the $7.636 net tangible book value per share of the common stock that you acquire. You may experience additional dilution upon exercise of the outstanding stock options and other equity awards that may be granted under our equity incentive plans, and when we otherwise issue additional shares of our common stock. For more information,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may not apply the net proceeds from this offering in ways that ultimately increase the value of your investment. The failure by our management to apply these funds effectively could harm our business. Pending their use, we may invest the net proceeds from this offering in short-term, investment-grade, interest-bearing securities or as otherwise provided in our investment policies in effect from time to time.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lawsuit that could adversely affect our business and our use of proceeds from this offering.</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(the “Financing”) of which the Plaintiffs participated. The complaint sought rescission of the SPA and return of the Plaintiffs’ $3,375,000 purchase price with respect to the Financing, and damages in an amount to be determined at trial, but alleged to exceed $1.0 million.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jc w:val="both"/>
        <w:ind w:firstLine="324"/>
        <w:spacing w:after="0" w:line="255" w:lineRule="auto"/>
        <w:rPr>
          <w:sz w:val="20"/>
          <w:szCs w:val="20"/>
          <w:color w:val="auto"/>
        </w:rPr>
      </w:pPr>
      <w:r>
        <w:rPr>
          <w:rFonts w:ascii="Arial" w:cs="Arial" w:eastAsia="Arial" w:hAnsi="Arial"/>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$3,375,000.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27, 2019, we filed a Notice of Appeal and an Undertaking to stay execution of the judgment pending appeal.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New York law, in order to move forward with the appeal and to stay the lower court’s judgment, we placed approximately $4,200,000 in escrow with a surety bonding agent on March 26, 2019 in accordance with provisions set forth in the judgment from the Matter, which represents the judgment amount, plus interest and the fee to the bonding company.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the claims are without merit and have been and intend to continue to defend the action vigorously. However, no assurance can be given that any adverse outcome would not be material to our consolidated financial position. Additionally, in the event we lose our appeals, we will likely be required to use the proceeds from this offering or available cash towards payment of damages to the Plaintiffs and the Other Investors,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may be future sales of our securities or other dilution of our equity, which may adversely affect the market price of our common stock.</w:t>
      </w:r>
    </w:p>
    <w:p>
      <w:pPr>
        <w:spacing w:after="0" w:line="23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generally not restricted from issuing additional common stock, including any securities that are convertible into or exchangeable for, or that represent the right to receive, common stock. The market price of our common stock could decline as a result of sales of common stock or securities that are convertible into or exchangeable for, or that represent the right to receive, common stock after this offering or the perception that such sales could occur.</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will need to raise additional capital in the future to remain a going concern, which may not be available on acceptable terms, or at all. Failure to obtain this necessary capital when needed may force us to delay, limit or terminate our product development efforts or other operations.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significant recurring losses from operations and we do not generate any cash from operations and must raise additional funds in order to continue operating our business. We expect to continue to fund our operations in the future primarily through equity and debt financings, grants from the Israel Innovation Authority and other sources. If additional capital is not available to us when needed or on acceptable terms, we may not be able to continue to operate our business pursuant to our business plan or we may have to discontinue our operations entirely. As of September 30, 2019, we had cash and cash equivalents of approximately $3.5 million. Based on our cash balance and recurring losses since inception and inadequacy of existing capital resources to fund planned operations during the next 12 months, we will require significant additional funding to continue operations. We estimate that we will receive net proceeds of approximately $8.5 million from the sale of the securities offered by us in this offering, after deducting the placement agent fees and estimated offering expenses payable by us and excluding any proceeds we may receive upon exercise of the warrants being issued to the placement agent. We cannot provide assurances that our plans will not change or that changed circumstances will not result in the depletion of our capital resources more rapidly than we currently anticipate. Moreover,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Our ability to raise additional funds will depend, in part, on the success of our product development activities, any clinical trials, regulatory events, our ability to identify and enter into in-licensing or other strategic arrangements, and other events or conditions that may affect our value or prospects, as well as factors related to financial, economic and market conditions, many of which are beyond our control. There can be no assurances that sufficient funds will be available to us when required or on acceptable terms, if at all.</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secure additional funds when needed or on acceptable terms, we may be required to defer, reduce or eliminate significant planned expenditures, restructure, curtail or eliminate some or all of our development programs or other operations, dispose of technology or assets, pursue an acquisition of our company by a third party at a price that may result in a loss on investment for our stockholders, enter into arrangements that may require us to relinquish rights to certain of our product candidates, technologies or potential markets, file for bankruptcy or cease operations altogether. Any of these events could have a material adverse effect on our business, financial condition and results of operations. Moreover, if we are unable to obtain additional funds on a timely basis, there will be substantial doubt about our ability to continue as a going concern and increased risk of insolvency and up to a total loss of investment by our stockholders.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The forward-looking statements are contained principally in the sections entitled “Prospectus Summary,” “Risk Factors,” “Management’s Discussion and Analysis of Financial Condition and Results of Operations” and “Business” in this prospectus or the documents incorporated herein by reference. These statements relate to future events or to our future financial performance and involve known and unknown risks, uncertainties and other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9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estimates regarding anticipated operating losses, capital requirements and needs for additional funds;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raise additional capital when needed and to continue as a going concern;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or otherwise secure the manufacture of, sufficient amounts of our product candidates for our preclinical studies and clinical trials;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find and develop applications for our technologies for other neurosurgical conditions besides hydrocephalus;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clinical development and other research and development plans and expectations;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safety and efficacy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anticipated regulatory pathways for our product candidates;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complete preclinical and clinical development of, and obtain regulatory approval of our product candidates and commercialize any approved products on our expected timeframes or at all;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content and timing of submissions to and decisions made by the U.S. Food and Drug Administration and other regulatory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leverage the experience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keep management and other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capacities and performance of our suppliers, manufacturers and other third parties over whom we have limited control;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actions of our competitors and success of competing products that are or may become available;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expectations with respect to future growth and investments in our infrastructure, and our ability to effectively manage any such growth;</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size and potential growth of the markets for any of our product candidates, and our ability to capture share in or impact the size of those markets;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and industry trends;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any litigation in which we or any of our officers or directors may be involved, including with respect to the Matter;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government regulation and regulatory developments, and our ability and the ability of the third parties with whom we engage to comply with applicable regulatory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accuracy of our estimates regarding future expenses, revenues, capital requirements and need for additional financing;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future planned expenditures;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achieve and maintain effective internal control over financial reporting in accordance with Section 404 of the Sarbanes-Oxley Act;</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maintain and successfully enforce adequate patent and other intellectual property protection of any of our products and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expected use of the net proceeds from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some cases, you can identify these statements by terms such as “anticipate,” “believe,” “could,” “estimate,” “expect,” “intend,” “may,” “plan,” “potential,” “predict,” “project,” “should,” “will,” “would” or the negative of those terms, and similar expressions that convey uncertainty of future events or outcomes. These forward-looking statements reflect our management’s beliefs and views with respect to future events and are based on estimates and assumptions as of the date of this prospectus and are subject to risks and uncertainties. We discuss many of these risks in greater detail in the documents incorporated by reference herein, usually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Given these uncertainties, you should not place undue reliance on these forward-looking statements.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read this prospectus, the documents that we incorporate by reference into this prospectus and the documents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any forward-looking statements, whether as a result of new information, future events or otherwise.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estimate the net proceeds to us from the sale of our common stock in this offering, if any, will be approximately $8.5 million after deducting the placement agent fees and estimated offering expenses payable by us and excluding any proceeds we may receive upon exercise of the warrants being issued to the placement agent.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intend to use the net proceeds from this offering for the continuous development and regulatory activities for our SCS device for the treatment of hydrocephalus and NPH; continue the development of our LIBERTY robotic system, including its expansion through addition of complementary assets to it either through internal development, in-license or acquisitions; expand and develop additional applications deriving from our existing IP portfolio, either through internal development, in-license or acquisition; and for working capital and other general corporate purposes. As a result, our management will retain broad discretion in the allocation and use of the net proceeds of this offering, and investors will be relying on the judgment of our management with regard to the use of these net proceeds. Pending application of the net proceeds for the purposes as described above, we expect to invest the net proceeds in short-term, interest-bearing securities, investment grade securities, certificates of deposit or direct or guaranteed obligations of the U.S. government.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invest in our securities, you will experience immediate and substantial dilution to the extent of the difference between the amount per share paid in this offering and the net tangible book value per share of our common stock immediately after the offering.</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net tangible book value per share is determined by subtracting our total liabilities from our total tangible assets, which is total assets less intangible assets, and dividing this amount by the number of shares of common stock outstanding. The historical net tangible book value of our common stock as of September 30, 2019 was approximately $6,403,000, or $1.4864 per share, based on 4,307,666 shares of our common stock outstanding at September 30, 2019.</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giving effect to the issuance and sale in this offering of 912,858 shares of common stock at the offering price of $10.50 per share, after deducting the estimated placement agent’s fees and estimated offering expenses payable by us, our net tangible book value on September 30, 2019, would have been approximately $14,951,208, or $2.8639 per share. This represents an immediate increase in the net tangible book value of $1.3775 per share attributable to this offering.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20" w:type="dxa"/>
            <w:vAlign w:val="bottom"/>
          </w:tcPr>
          <w:p>
            <w:pPr>
              <w:ind w:left="640"/>
              <w:spacing w:after="0"/>
              <w:rPr>
                <w:sz w:val="20"/>
                <w:szCs w:val="20"/>
                <w:color w:val="auto"/>
              </w:rPr>
            </w:pPr>
            <w:r>
              <w:rPr>
                <w:rFonts w:ascii="Arial" w:cs="Arial" w:eastAsia="Arial" w:hAnsi="Arial"/>
                <w:sz w:val="18"/>
                <w:szCs w:val="18"/>
                <w:color w:val="auto"/>
              </w:rPr>
              <w:t>The following table illustrates the immediate dilution to new investors:</w:t>
            </w: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Offering price per share</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Historical net tangible book value per share on September 30, 2019</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as adjusted net tangible book value per share attributable to this offering</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as of September 30, 2019, after giving effect to this offering</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the investor in this offering</w:t>
            </w: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above discussion and table are based on 4,307,666 shares of common stock outstanding as of September 30, 2019, respectively, and exclude, as of that date:</w:t>
      </w:r>
    </w:p>
    <w:p>
      <w:pPr>
        <w:spacing w:after="0" w:line="170"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427,441 shares of our common stock issuable upon the exercise of outstanding stock options, with exercise prices ranging from $0 to $15.75 and having a weighted-average exercise price of $11.5 per share;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196,277 shares of our common stock reserved for future grant under our 2017 Equity Incentive Plan;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3,598 shares of our common stock issuable upon the exercise of outstanding warrants, with exercise prices ranging from approximately $40.5 to $2,754 per share and having a weighted-average exercise price of $428.1 per share.</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250,000 shares of our common stock issuable upon the exercise of outstanding warrants, at an exercise price per share of $10.00, of which 125,000 were exercised on December 24, 2019.</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64,767 shares of our common stock issuable upon the exercise of outstanding warrants, at exercise prices ranging from $8.125 to $12.50.</w:t>
      </w:r>
    </w:p>
    <w:p>
      <w:pPr>
        <w:spacing w:after="0" w:line="2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above illustration of dilution per share to investors participating in this offering also assumes no exercise of (i) the warrants to purchase up to 45,643 shares of common stock at an exercise price of $13.125 issued to the placement agent as compensation in connection with this offering as described under “Plan of Distribution,” and (ii) any other options or warrants to purchase shares of our common stock. The exercise of any such securities may increase dilution to purchasers in this offering. In addition, depending on market conditions, our capital requirements and strategic considerations, it is likely that we will need to pursue additional equity or convertible debt financings in the near term. Also, we may issue equity or convertible debt securities for other purposes, including, among others, stock splits, acquiring other businesses or assets or in connection with strategic alliances, attracting and retaining employees with equity compensation, anti-takeover purposes or other transactions. To the extent we raise additional capital or pursue any of these other purposes through the sale of equity or convertible debt securities, the issuance of these securities could result in further dilution to our stockholders.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engaged H.C. Wainwright &amp; Co., LLC, or Wainwright or the placement agent, to act as our exclusive placement agent to solicit offers to purchase the shares of our common stock offered by this prospectus supplement and the accompanying base prospectus. Wainwright is not purchasing or selling any such shares, nor is it required to arrange for the purchase and sale of any specific number or dollar amount of such shares, other than to use its “reasonable best efforts” to arrange for the sale of such shares by us. Therefore, we may not sell all of the shares of our common stock being offered. The terms of this offering were subject to market conditions and negotiations between us, Wainwright and prospective investors. Wainwright will have no authority to bind us by virtue of the engagement letter. We have entered into securities purchase agreements directly with certain institutional and accredited investors who have agreed to purchase shares of our common stock in this offering. We will only sell to investors who have entered into securities purchase agreements.</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Delivery of the shares of common stock offered hereby is expected to take place on or about December 27, 2019, subject to satisfaction of certain conditions.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have agreed to pay the placement agent a total cash fee equal to 7.0% of the aggregate gross proceeds of this offering, and we have also agreed to pay the placement agent a management fee equal to 1.0% of the aggregate gross proceeds of this offering, non-accountable expenses of $125,000 and $10,000 for clearing expenses. In addition, we have agreed to issue to the placement agent, at the closing of this offering, warrants to purchase 5% of the number of shares of our common stock sold in this offering (warrants to purchase up to 45,643 shares of our common stock). Such warrants will have an exercise price equal to 125% of the offering price per share ($13.125 per share) and shall be exercisable commencing the 6-month anniversary of the issuance date and having a term of three and one-half (3.5) years. Neither the placement agent’s warrants nor the shares of our common stock issuable upon exercise thereof are being registered hereby. Pursuant to Rule 5110(g) of the Financial Industry Regulatory Authority, or FINRA, the placement agent’s warrants and any shares issued upon exercise thereof will not be sold, transferred, assigned, pledged or hypothecated, or be the subject of any hedging, short sale, derivative, put or call transaction that would result in the effective economic disposition of the securities by any person, for a period of 180 days immediately following the date of effectiveness or commencement of sales in this offering, except: (i) the transfer of any security by operation of law or by reason of our reorganization; (ii) the transfer of any security to any FINRA member firm participating in the offering and the officers or partners thereof, if all securities so transferred remain subject to the lock-up restriction set forth above for the remainder of the time period; (iii) the transfer of any security if the aggregate amount of our securities held by the placement agent or related persons do not exceed 1% of the securities being offered; (iv) the transfer of any security that is beneficially owned on a pro-rata basis by all equity owners of an investment fund, provided that no participating member manages or otherwise directs investments by the fund and the participating members in the aggregate do not own more than 10% of the equity in the fund; or (v) the exercise or conversion of any security, if all securities remain subject to the lock-up restriction set forth above for the remainder of the time period.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also granted the placement agent a right of first refusal for a period of twelve months following the closing of this offering to act as sole book-running manager, sole underwriter or sole placement agent for each and every future public offering or private placement of equity or debt securities by us or any of our subsidiaries.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also agreed to pay the placement agent a tail fee equal to the cash and warrant compensation in this offering if any investor which the placement agent contacted or introduced us to during the term of the placement agent’s engagement (other than certain investors who have a pre-existing relationship with us) provides us with further capital in a public or private offering or capital raising transaction and such offering or transaction is consummated during the six-month period following termination or expiration of that certain engagement letter, dated December 24, 2019, entered into between us and the placement agent, which has a four-month term.</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estimate the total expenses of this offering paid or payable by us will be approximately $1,036,801. After deducting the fees due to the placement agent and our estimated expenses in connection with this offering, we expect the net proceeds from this offering will be approximately $8.5 million.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firstLine="648"/>
        <w:spacing w:after="0" w:line="272" w:lineRule="auto"/>
        <w:rPr>
          <w:sz w:val="20"/>
          <w:szCs w:val="20"/>
          <w:color w:val="auto"/>
        </w:rPr>
      </w:pPr>
      <w:r>
        <w:rPr>
          <w:rFonts w:ascii="Arial" w:cs="Arial" w:eastAsia="Arial" w:hAnsi="Arial"/>
          <w:sz w:val="17"/>
          <w:szCs w:val="17"/>
          <w:color w:val="auto"/>
        </w:rPr>
        <w:t>The placement agent may be deemed to be an underwriter within the meaning of Section 2(a)(11) of the Securities Act, and any commissions received by it and any profit realized on the sale of our shares of common stock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agreed to indemnify the placement agent against certain liabilities, including liabilities under the Securities Act and liabilities arising from breaches of representations and warranties contained in our engagement letter with the placement agent. We have also agreed to contribute to payments the placement agent may be required to make in respect of such liabilities.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will indemnify the purchaser of shares of our common stock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Wainwright may provide in the future various advisory, investment and commercial banking and other services to us in the ordinary course of business, for which they have received and may continue to receive customary fees and commissions. However, except as disclosed in this prospectus supplement, we have no present arrangements with Wainwright for any further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validity of the shares being offered under this prospectus supplement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consolidated financial statements of Microbot Medical Inc. as of December 31, 2018, and for the year then ended, incorporated by reference in this prospectus supplement and the registration statement of which this prospectus forms a part have been audited by Brightman Almagor Zohar &amp; Co., a Member of Deloitte Touche Tohmatsu Limited, independent registered public accounting firm, as set forth in its report thereon incorporated by reference herein, and are included in reliance upon such reports given on the authority of such firms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and therefore omit certain information contained in the registration statement. We have also filed exhibits and schedules with the registration statement that are excluded from this prospectus supplement and the accompanying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a website at www.microbotmedical.com, through which you can access our SEC filings. The information set forth on our website is not part of this prospectus supplement or the accompanying prospectus.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6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001-19871):</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filed with the SEC on April 1, 2019;</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2019, June 30, 2019 and September 30, 2019, filed with the SEC on May 15, 2019, August 14, 2019, and November 14, 2019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Definitive Proxy Statement on Schedule 14A, filed with the SEC on August 9, 2019;</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and any amendments thereto on Form 8-K/A, filed with the SEC on January 14, 2019, January 16, 2019, January 17, 2019, January 25, 2019, February 5, 2019, March 1, 2019 and September 11, 2019 (in each case, except for information contained therein which is furnished rather than filed);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August 3, 1998, including all amendments and reports filed for the purpose of updating such description.</w:t>
      </w:r>
    </w:p>
    <w:p>
      <w:pPr>
        <w:spacing w:after="0" w:line="17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spacing w:after="0" w:line="14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will provide to each person, including any beneficial owners, to whom a prospectus is delivered, a copy of any or all of the reports or documents that have been incorporated by reference in the prospectus contained in the registration statement but not delivered with the prospectus. We will provide these reports or documents upon written or oral request at no cost to the requester. You should direct any written requests for documents to Microbot Medical Inc. Attn: Chief Financial Officer, 25 Recreation Park Drive, Unit 108, Hingham, Massachusetts 02043. You may also telephone us at (781) 875-3605.</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154940</wp:posOffset>
            </wp:positionV>
            <wp:extent cx="4382135" cy="16294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82135" cy="162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common stock is listed on The NASDAQ Capital Market under the symbol “MBOT.” On March 30, 2017, the last reported sale price of our common stock on The NASDAQ Capital Market was $5.87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3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April 14,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60" w:type="dxa"/>
            <w:vAlign w:val="bottom"/>
            <w:gridSpan w:val="4"/>
          </w:tcPr>
          <w:p>
            <w:pPr>
              <w:ind w:left="2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top w:val="single" w:sz="8" w:color="auto"/>
              <w:bottom w:val="single" w:sz="8" w:color="CCEEFF"/>
            </w:tcBorders>
          </w:tcPr>
          <w:p>
            <w:pPr>
              <w:spacing w:after="0"/>
              <w:rPr>
                <w:sz w:val="24"/>
                <w:szCs w:val="24"/>
                <w:color w:val="auto"/>
              </w:rPr>
            </w:pPr>
          </w:p>
        </w:tc>
        <w:tc>
          <w:tcPr>
            <w:tcW w:w="1840" w:type="dxa"/>
            <w:vAlign w:val="bottom"/>
            <w:tcBorders>
              <w:top w:val="single" w:sz="8" w:color="auto"/>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80" w:type="dxa"/>
            <w:vAlign w:val="bottom"/>
            <w:tcBorders>
              <w:bottom w:val="single" w:sz="8" w:color="0000EE"/>
            </w:tcBorders>
            <w:gridSpan w:val="7"/>
            <w:shd w:val="clear" w:color="auto" w:fill="CCEEFF"/>
          </w:tcPr>
          <w:p>
            <w:pPr>
              <w:spacing w:after="0" w:line="142" w:lineRule="exact"/>
              <w:rPr>
                <w:rFonts w:ascii="Arial" w:cs="Arial" w:eastAsia="Arial" w:hAnsi="Arial"/>
                <w:sz w:val="16"/>
                <w:szCs w:val="16"/>
                <w:b w:val="1"/>
                <w:bCs w:val="1"/>
                <w:color w:val="0000EE"/>
              </w:rPr>
            </w:pPr>
            <w:hyperlink w:anchor="page19">
              <w:r>
                <w:rPr>
                  <w:rFonts w:ascii="Arial" w:cs="Arial" w:eastAsia="Arial" w:hAnsi="Arial"/>
                  <w:sz w:val="16"/>
                  <w:szCs w:val="16"/>
                  <w:b w:val="1"/>
                  <w:bCs w:val="1"/>
                  <w:color w:val="0000EE"/>
                </w:rPr>
                <w:t>PROSPECTUS SUMMARY</w:t>
              </w:r>
            </w:hyperlink>
          </w:p>
        </w:tc>
        <w:tc>
          <w:tcPr>
            <w:tcW w:w="858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RISK FACTORS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NOTE REGARDING FORWARD-LOOKING STATEMENTS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20" w:type="dxa"/>
            <w:vAlign w:val="bottom"/>
            <w:tcBorders>
              <w:top w:val="single" w:sz="8" w:color="0000EE"/>
            </w:tcBorders>
            <w:gridSpan w:val="17"/>
          </w:tcPr>
          <w:p>
            <w:pPr>
              <w:spacing w:after="0" w:line="17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USE OF PROCEEDS</w:t>
              </w:r>
            </w:hyperlink>
          </w:p>
        </w:tc>
        <w:tc>
          <w:tcPr>
            <w:tcW w:w="59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PLAN OF DISTRIBUTION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4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DESCRIPTION OF COMMON STOCK</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DESCRIPTION OF PREFERRED STOCK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2"/>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DESCRIPTION OF WARRANTS</w:t>
              </w:r>
            </w:hyperlink>
          </w:p>
        </w:tc>
        <w:tc>
          <w:tcPr>
            <w:tcW w:w="7420" w:type="dxa"/>
            <w:vAlign w:val="bottom"/>
            <w:tcBorders>
              <w:top w:val="single" w:sz="8" w:color="CCEEFF"/>
            </w:tcBorders>
            <w:gridSpan w:val="7"/>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DESCRIPTION OF DEBT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tcBorders>
              <w:top w:val="single" w:sz="8" w:color="0000EE"/>
            </w:tcBorders>
            <w:gridSpan w:val="11"/>
          </w:tcPr>
          <w:p>
            <w:pPr>
              <w:spacing w:after="0" w:line="17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DESCRIPTION OF RIGHTS</w:t>
              </w:r>
            </w:hyperlink>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60" w:type="dxa"/>
            <w:vAlign w:val="bottom"/>
            <w:gridSpan w:val="19"/>
            <w:shd w:val="clear" w:color="auto" w:fill="CCEEFF"/>
          </w:tcPr>
          <w:p>
            <w:pPr>
              <w:spacing w:after="0" w:line="17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DESCRIPTION OF PURCHASE CONTRACTS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40" w:type="dxa"/>
            <w:vAlign w:val="bottom"/>
            <w:tcBorders>
              <w:top w:val="single" w:sz="8" w:color="0000EE"/>
            </w:tcBorders>
            <w:gridSpan w:val="13"/>
          </w:tcPr>
          <w:p>
            <w:pPr>
              <w:spacing w:after="0" w:line="17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DESCRIPTION OF UNITS</w:t>
              </w:r>
            </w:hyperlink>
          </w:p>
        </w:tc>
        <w:tc>
          <w:tcPr>
            <w:tcW w:w="70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LEGAL MATTERS</w:t>
              </w:r>
            </w:hyperlink>
          </w:p>
        </w:tc>
        <w:tc>
          <w:tcPr>
            <w:tcW w:w="922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EXPERTS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WHERE YOU CAN FIND MORE INFORMATION</w:t>
              </w:r>
            </w:hyperlink>
          </w:p>
        </w:tc>
        <w:tc>
          <w:tcPr>
            <w:tcW w:w="674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60" w:type="dxa"/>
            <w:vAlign w:val="bottom"/>
            <w:gridSpan w:val="19"/>
          </w:tcPr>
          <w:p>
            <w:pPr>
              <w:spacing w:after="0" w:line="17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INCORPORATION OF DOCUMENTS BY REFERENCE</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(the “SEC”) utilizing a “shelf” registration process. Under this shelf process, we may sell different types of securities described in this prospectus, either individually or in units, in one or more offerings, up to a total value of $75,000,000. This prospectus provides you with a general description of the securities we may offer. Each time we offer securities, we will provide a prospectus supplement that will contain specific information about the terms of that offering.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both this prospectus and any prospectus supplement, including all documents incorporated herein by reference, together with additional information described under the headings “Where You Can Find More Information” and “Incorporation of Documents by Reference.”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does not contain all of the information that is in the registration statement. We omitted certain parts of the registration statement from this prospectus as permitted by the SEC. We refer you to the registration statement and its exhibits for additional information about us and the securities that may be sold under this prospectus.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is not permitted. The information contained in this prospectus is accurate only as of the date of this prospectus, regardless of the time of delivery of this prospectus or the time of any sale of our securities. Our business, financial condition, results of operations, and prospects may have changed since such date.</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allocated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3,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conditions, as well as adversely affect the value of an investment in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currently developing our first two product candidates: the Self Cleaning Shunt, or SCS, for the treatment of hydrocephalus and Normal Pressure Hydrocephalus, or NPH; and TipCAT, a self-propelling, semi-disposable endoscope that is being developed initially for use in colonoscopy procedures. Our product candidates are being designed to bring greater functionality to conventional medical devices and to reduce the known risks associated with such devices. We are currently planning to complete pre-clinical studies required for regulatory submission for both product candidates within the next 24 months.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Microbot currently holds an intellectual property portfolio that comprises nine patent families, which include nine patents granted in the United States, twelve patents granted outside the United States, and 15 patent applications pending worldwide. We have an exclusive license to key components of our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2016 as described under the caption “Incorporation of Documents by Reference” on page 22 of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6"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18"/>
          <w:szCs w:val="18"/>
          <w:color w:val="auto"/>
        </w:rPr>
        <w:t>Our principal executive offices are located at 25 Recreation Park Drive, Unit 108, Hingham, Massachusetts 02043. Microbot also has a principal executive office at 5 Hamada Street,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Yokneam, Israel. Our telephone number is (908) 938-5561.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ind w:firstLine="648"/>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and preferred stock, various series of debt securities and/or warrants,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debt securities and/or preference equity securities under this prospectus, then we will, if required at that time, provide a ratio of earnings to fixed charges and/or ratio of combined fixed charges and preference dividends to earnings, respectively, in the applicable prospectus supplement for such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This prospectus and the documents incorporated by reference in this prospectus include forward-looking statements within the meaning of Section 27A of the Securities Act of 1933, or the Securities Act, and Section 21E of the Exchange Act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6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and other general corporate purposes, which may include, but are not limited to, working capital, intellectual property protection and enforcement, capital expenditures, repayment of indebtedness, investments, acquisitions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 Additional information on the use of proceeds from the sale of securities offered by this prospectus may be set forth in the prospectus supplement relating to that offering.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sell securities in any of the ways described below, including any combination thereof:</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or through underwriters or dealers;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one or more agents;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directly to purchasers or to a single purchaser.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distribution of the securities may be effected from time to time in one or more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 and the proceeds to us and any discounts, commissions or concessions allowed or reallowed or paid to dealers;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Any initial public offering price and any discounts or concessions allowed or reallowed or paid to dealers may be changed from time to time.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Only the underwriters, dealers or agents named in the prospectus supplement are underwriters, dealers or agents in connection with the securities being offered.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be subject only to those conditions set forth in the prospectus supplement, and the prospectus supplement will set forth any commissions we pay for solicitation of these contracts.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ind w:firstLine="648"/>
        <w:spacing w:after="0" w:line="259" w:lineRule="auto"/>
        <w:rPr>
          <w:sz w:val="20"/>
          <w:szCs w:val="20"/>
          <w:color w:val="auto"/>
        </w:rPr>
      </w:pPr>
      <w:r>
        <w:rPr>
          <w:rFonts w:ascii="Arial" w:cs="Arial" w:eastAsia="Arial" w:hAnsi="Arial"/>
          <w:sz w:val="18"/>
          <w:szCs w:val="18"/>
          <w:color w:val="auto"/>
        </w:rPr>
        <w:t>Agents, underwriters and other third parties described above may be entitled to indemnification by us against certain civil liabilities, including liabilities under the Securities Act, or to contribution with respect to payments which the agents or underwriters may be required to make in respect thereof. Agents, underwriters and such other third parties may be customers of, engage in transactions with, or perform services for us in the ordinary course of business.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The prospectus supplement will identify any remarketing firm and describe the terms of its agreement, if any, with us and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of the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Shares of our common stock sold pursuant to the registration statement of which the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The securities may be new issues of securities and may have no established trading market. The securities may or may not be listed on a national securities exchange. Underwriters may make a market in these securities, but will not be obligated to do so and may discontinue any market making at any time without notice. We can make no assurance as to the liquidity of, or the existence, development or maintenance of trading markets for, any of the securities.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Certain persons participating in this offering may engage in transactions that stabilize, maintain or otherwise affect the price of the securities. This may include overallotment, stabilizing transactions, short covering transactions and penalty bids in accordance with rules and regulations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220,000,000 shares of common stock, par value $0.01 per share. As of March 31, 2017 we had 27,251,333 shares of common stock issued and outstanding and approximately 245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have authority to issue 1,000,000 shares of preferred stock, par value $0.01 per share. As of March 31, 2017 we had 9,736 shares of Series A Convertible Preferred Stock issued and outstanding. As of the date of this prospectus, no other shares of our preferred stock were outstanding or designated.</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6" w:name="page27"/>
    <w:bookmarkEnd w:id="26"/>
    <w:p>
      <w:pPr>
        <w:jc w:val="both"/>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16, 2016, we filed the Certificate of Designation of Preferences, Rights and Limitations of Series A Convertible Preferred Stock, or the Series A Certificate of Designation, with the Secretary of State of the State of Delaware, establishing and designating the series A preferred stock. Each share of series A preferred stock is convertible, at any time at the option of the holder thereof, into 1,000 shares of common stock, subject to certain adjustments and subject to the ownership limitation described below. The series A preferred stock has no sinking provisions, dividend rights, liquidation preference or other preferences over Common Stock and has no voting rights except as provided in the Series A Certificate of Designation or as otherwise required by law.</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series A preferred stock contains limitations that prevent the holder from acquiring shares upon conversion of shares of series A preferred stock that would result in the number of shares beneficially owned by the holder and its affiliates exceeding 4.99% of the total number of shares of our common stock then issued and outstanding, which limitation may be increased to 9.99% at the option of the holder. In addition, upon certain changes in control of Microbot, holders of shares of series A preferred stock can elect to receive, subject to certain limitations and assumptions, securities in a successor entity equal to the value of the holders’ series A preferred stock, or if holders of common stock are given a choice of cash or property, then cash or property equal to the value of the holder’s outstanding series A preferred stock.</w:t>
      </w:r>
    </w:p>
    <w:p>
      <w:pPr>
        <w:spacing w:after="0" w:line="19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March 31, 2017 we had 9,736 shares of Series A Convertible Preferred Stock issued and outstanding and no shares of series A preferred stock are available for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identity of the warrant agent for the warrants and of any other depositaries, execution or paying agents, transfer agents, registrars or other agents;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applicable, the date from and after which the warrants and the common stock, preferred stock and/or debt securities will be separately transferable;</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2017, we had outstanding:</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9,279 shares of our common stock at an exercise price of $2.70 per share, which are exercisable through March 14,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41,116 shares of our common stock at an exercise price of $2.70 per share, which are exercisable through March 14, 2022;</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10,139 shares of our common stock at an exercise price of $91.80 per share, which are exercisable through April 30, 2020;</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warrants to purchase 57,814 shares of our common stock at an exercise price of $194.40 per share, which are exercisable through October 7, 2018;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warrants to purchase 2,718 shares of our common stock at an exercise price of $183.60 per share, which are exercisable through April 9, 2023.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923"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1" w:name="page32"/>
    <w:bookmarkEnd w:id="31"/>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660" w:hanging="328"/>
        <w:spacing w:after="0" w:line="30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contracts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Law</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Delaware General Corporation Law against all expense, liability and loss (including attorneys’ fees, judgments, fines, ERISA excise taxes or penalties and amounts paid in settlement) reasonably incurred or suffered by such.</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6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Pursuant to Section 102(b)(7) of the Delaware General Corporation Law, Article Ninth of our restated certificate of incorporation eliminates the liability of a director to us or our stockholders for monetary damages for such a breach of fiduciary duty as a director, except for liabilities arising:</w:t>
      </w:r>
    </w:p>
    <w:p>
      <w:pPr>
        <w:spacing w:after="0" w:line="147"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breach of the director’s duty of loyalty to us or our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2016, have been audited by Brightman Almagor Zohar &amp; Co., a Member of Deloitte Touche Tohmatsu Limited,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http://www.sec.gov.</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21, 2017;</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Current Reports on Form 8-K and Form 8-K/A, filed with the SEC (except for the information furnished under Items 2.02 or 7.01 and the exhibits furnished thereto) on: January 4, 2017; January 4, 2017; January 5, 2017; January 6, 2017; January 30, 2017; February 2, 2017; February 6, 2017; February 7, 2017; February 24, 2017; and March 15, 2017;</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2498725</wp:posOffset>
            </wp:positionH>
            <wp:positionV relativeFrom="page">
              <wp:posOffset>568960</wp:posOffset>
            </wp:positionV>
            <wp:extent cx="2573020" cy="943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257302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MICROBOT MEDICAL INC.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912,858 Shares of Common Stock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H.C. Wainwright &amp; Co.</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2019-12-27T08:02:40Z</dcterms:created>
  <dcterms:modified xsi:type="dcterms:W3CDTF">2019-12-27T08:02:40Z</dcterms:modified>
</cp:coreProperties>
</file>