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276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2"/>
                <w:szCs w:val="22"/>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2"/>
                <w:szCs w:val="22"/>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1.01. Entry into a Material Definitive Agreement.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On May 22, 2023, Microbot Medical Inc., a Delaware corporation (the “Company”), entered into a Securities Purchase Agreement (the “Purchase Agreement”) with an institutional investor (the “Investor”), pursuant to which the Company agreed to issue and sell, in a registered direct offering priced at-the-market under the rules of The Nasdaq Stock Market (the “Offering”), an aggregate of 655,569 shares (the “Shares”) of the Company’s common stock, par value $0.01 per share (“Common Stock”), at an offering price of $2.20 per share, for aggregate gross proceeds from the Offering of approximately $1.4 million before deducting the placement agent fee (as described in greater detail below) and related offering expenses.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Purchase Agreement contains customary representations and warranties and agreements of the Company and the Investor and customary indemnification rights and obligations of the parties. Pursuant to the terms of the Purchase Agreement, the Company has agreed to certain restrictions on the issuance and sale of its Common Stock or Common Stock Equivalents (as defined in the Purchase Agreement) during the 5-trading day period following the closing of the Offering.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Shares were offered by the Company pursuant to a registration statement on Form S-3 (File No. 333-250966), which was filed with the Securities and Exchange Commission (the “Commission”) on November 25, 2020 and was declared effective by the Commission on December 4, 2020 (the “Registration Statement”), a base prospectus dated December 4, 2020 and a prospectus supplement dated May 22, 2023.</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On May 16, 2023 and in connection with the Offering, the Company entered into an engagement letter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 plus a management fee equal to 1.0% of the gross proceeds received by the Company from the Offering, a non-accountable expense of $25,000, up to $35,000 for its fees and expenses of legal counsel and $15,950 for clearing expenses. The Company has also agreed to issue to Wainwright or its designees preferred investment options to purchase 32,778 shares of Common Stock (the “Wainwright Warrants”). The Wainwright Warrants will be exercisable six months following issuance, have a term of three and a half years from the commencement of sales in the Offering, and have an exercise price of $2.75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The Engagement Letter also includes indemnification obligations of the Company and other provisions customary for transactions of this nature.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Neither of the Wainwright Warrants nor the shares of Common Stock issuable upon the exercise of the Wainwright Warrants (the “Warrant Shares”) are registered under the Securities Act of 1933, as amended (the “Securities Act”). The Wainwright Warrants and the Warrant Shares were issued in reliance on the exemptions from registration provided by Section 4(a)(2) under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12529"/>
        </w:rPr>
        <w:t>The Common Stock is listed on The Nasdaq Capital Market.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form of Wainwright Warrant and the Purchase Agreement do not purport to be complete and are subject to, and qualified in their entirety by, such documents attached as Exhibits 4.1 and 10.1, respectively, to this Current Report on Form 8-K, which are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A copy of the opinion of Mintz, Levin, Cohn, Ferris, Glovsky and Popeo, P.C. relating to the legality of the issuance and sale of the Shares is attached as Exhibit 5.1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12529"/>
        </w:rPr>
        <w:t>Item 3.02. 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The information set forth in Item 1.01 above related to the Wainwright Warrants and the Warrant Shares is incorporated herein by reference into this Item 3.02.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22, 2023, the Company issued a press release announcing the Offering, a copy of which is attached hereto as Exhibit 99.1 and is incorporated by reference into this Item 8.01 of this Current Report on Form 8-K. On May 23, 2023, the Company issued a press release announcing the closing of the Offering, a copy of which is attached hereto as Exhibit 99.2 and is incorporated by reference into this Item 8.01 of this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EE"/>
        </w:rPr>
        <w:t>Form of Wainwright Warrant.</w:t>
      </w:r>
    </w:p>
    <w:p>
      <w:pPr>
        <w:spacing w:after="0" w:line="23" w:lineRule="exact"/>
        <w:rPr>
          <w:sz w:val="20"/>
          <w:szCs w:val="20"/>
          <w:color w:val="auto"/>
        </w:rPr>
      </w:pPr>
    </w:p>
    <w:p>
      <w:pPr>
        <w:ind w:left="38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Mintz, Levin, Cohn, Ferris, Glovsky and Popeo, P.C.</w:t>
      </w:r>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Form of Securities Purchase Agreement, dated as of May 22, 2023, by and among the Company and the purchasers party thereto.</w:t>
      </w:r>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Mintz, Levin, Cohn, Ferris, Glovsky and Popeo,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Pricing Press Release.</w:t>
      </w:r>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u w:val="single" w:color="auto"/>
          <w:color w:val="0000EE"/>
        </w:rPr>
        <w:t>Closing Press Release.</w:t>
      </w:r>
    </w:p>
    <w:p>
      <w:pPr>
        <w:spacing w:after="0" w:line="9"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1040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PREFERRED INVESTMENT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Preferred Investment Option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November 23, 2023</w:t>
      </w:r>
    </w:p>
    <w:p>
      <w:pPr>
        <w:spacing w:after="0" w:line="200" w:lineRule="exact"/>
        <w:rPr>
          <w:sz w:val="20"/>
          <w:szCs w:val="20"/>
          <w:color w:val="auto"/>
        </w:rPr>
      </w:pPr>
    </w:p>
    <w:p>
      <w:pPr>
        <w:sectPr>
          <w:pgSz w:w="11900" w:h="16838" w:orient="portrait"/>
          <w:cols w:equalWidth="0" w:num="2">
            <w:col w:w="7520" w:space="720"/>
            <w:col w:w="3000"/>
          </w:cols>
          <w:pgMar w:left="320" w:top="337" w:right="339" w:bottom="1440" w:gutter="0" w:footer="0" w:header="0"/>
          <w:type w:val="continuous"/>
        </w:sectPr>
      </w:pPr>
    </w:p>
    <w:p>
      <w:pPr>
        <w:spacing w:after="0" w:line="15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THIS PLACEMENT AGENT PREFERRED INVESTMENT OPTION (the “</w:t>
      </w:r>
      <w:r>
        <w:rPr>
          <w:rFonts w:ascii="Arial" w:cs="Arial" w:eastAsia="Arial" w:hAnsi="Arial"/>
          <w:sz w:val="16"/>
          <w:szCs w:val="16"/>
          <w:u w:val="single" w:color="auto"/>
          <w:color w:val="auto"/>
        </w:rPr>
        <w:t>Preferred Investment Option</w:t>
      </w:r>
      <w:r>
        <w:rPr>
          <w:rFonts w:ascii="Arial" w:cs="Arial" w:eastAsia="Arial" w:hAnsi="Arial"/>
          <w:sz w:val="16"/>
          <w:szCs w:val="16"/>
          <w:color w:val="auto"/>
        </w:rPr>
        <w:t>”) certifies that, for value received, 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w:t>
      </w:r>
    </w:p>
    <w:p>
      <w:pPr>
        <w:jc w:val="both"/>
        <w:spacing w:after="0" w:line="281" w:lineRule="auto"/>
        <w:rPr>
          <w:sz w:val="20"/>
          <w:szCs w:val="20"/>
          <w:color w:val="auto"/>
        </w:rPr>
      </w:pPr>
      <w:r>
        <w:rPr>
          <w:rFonts w:ascii="Arial" w:cs="Arial" w:eastAsia="Arial" w:hAnsi="Arial"/>
          <w:sz w:val="16"/>
          <w:szCs w:val="16"/>
          <w:color w:val="auto"/>
        </w:rPr>
        <w:t>set forth, at 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November 23, 2026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Preferred Investment Option Shares</w:t>
      </w:r>
      <w:r>
        <w:rPr>
          <w:rFonts w:ascii="Arial" w:cs="Arial" w:eastAsia="Arial" w:hAnsi="Arial"/>
          <w:sz w:val="16"/>
          <w:szCs w:val="16"/>
          <w:color w:val="auto"/>
        </w:rPr>
        <w:t>”) of Common Stock. The purchase price of one share of</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Common Stock under this Preferred Investment Option shall be equal to the Exercise Price, as defined in Section 2(b). This Preferred Investment Option is being issued pursuant to that certain Engagement Agreement between the Company and H.C. Wainwright &amp; Co., LLC, dated as of May 16, 2023.</w:t>
      </w:r>
    </w:p>
    <w:p>
      <w:pPr>
        <w:spacing w:after="0" w:line="1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May 22, 2023, among the Company and the purchasers signatory thereto.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5" w:lineRule="auto"/>
        <w:tabs>
          <w:tab w:leader="none" w:pos="85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Exercise of Preferred Investment Option</w:t>
      </w:r>
      <w:r>
        <w:rPr>
          <w:rFonts w:ascii="Arial" w:cs="Arial" w:eastAsia="Arial" w:hAnsi="Arial"/>
          <w:sz w:val="16"/>
          <w:szCs w:val="16"/>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Preferred Investment Option,</w:t>
      </w:r>
      <w:r>
        <w:rPr>
          <w:rFonts w:ascii="Arial" w:cs="Arial" w:eastAsia="Arial" w:hAnsi="Arial"/>
          <w:sz w:val="16"/>
          <w:szCs w:val="16"/>
          <w:color w:val="auto"/>
        </w:rPr>
        <w:t xml:space="preserve"> </w:t>
      </w:r>
      <w:r>
        <w:rPr>
          <w:rFonts w:ascii="Arial" w:cs="Arial" w:eastAsia="Arial" w:hAnsi="Arial"/>
          <w:sz w:val="16"/>
          <w:szCs w:val="16"/>
          <w:b w:val="1"/>
          <w:bCs w:val="1"/>
          <w:color w:val="auto"/>
        </w:rPr>
        <w:t>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380" w:lineRule="exact"/>
        <w:rPr>
          <w:rFonts w:ascii="Arial" w:cs="Arial" w:eastAsia="Arial" w:hAnsi="Arial"/>
          <w:sz w:val="16"/>
          <w:szCs w:val="16"/>
          <w:color w:val="auto"/>
        </w:rPr>
      </w:pPr>
    </w:p>
    <w:p>
      <w:pPr>
        <w:ind w:firstLine="644"/>
        <w:spacing w:after="0" w:line="282" w:lineRule="auto"/>
        <w:tabs>
          <w:tab w:leader="none" w:pos="87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Preferred Investment Option shall be </w:t>
      </w:r>
      <w:r>
        <w:rPr>
          <w:rFonts w:ascii="Arial" w:cs="Arial" w:eastAsia="Arial" w:hAnsi="Arial"/>
          <w:sz w:val="18"/>
          <w:szCs w:val="18"/>
          <w:b w:val="1"/>
          <w:bCs w:val="1"/>
          <w:color w:val="auto"/>
        </w:rPr>
        <w:t>$2.75</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6" w:name="page7"/>
    <w:bookmarkEnd w:id="6"/>
    <w:p>
      <w:pPr>
        <w:jc w:val="both"/>
        <w:ind w:firstLine="644"/>
        <w:spacing w:after="0" w:line="279" w:lineRule="auto"/>
        <w:tabs>
          <w:tab w:leader="none" w:pos="841"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71" w:lineRule="exact"/>
        <w:rPr>
          <w:sz w:val="20"/>
          <w:szCs w:val="20"/>
          <w:color w:val="auto"/>
        </w:rPr>
      </w:pPr>
    </w:p>
    <w:p>
      <w:pPr>
        <w:jc w:val="right"/>
        <w:ind w:left="1300" w:hanging="656"/>
        <w:spacing w:after="0" w:line="285" w:lineRule="auto"/>
        <w:tabs>
          <w:tab w:leader="none" w:pos="1087" w:val="left"/>
        </w:tabs>
        <w:numPr>
          <w:ilvl w:val="0"/>
          <w:numId w:val="4"/>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1" w:lineRule="exact"/>
        <w:rPr>
          <w:rFonts w:ascii="Arial" w:cs="Arial" w:eastAsia="Arial" w:hAnsi="Arial"/>
          <w:sz w:val="16"/>
          <w:szCs w:val="16"/>
          <w:color w:val="auto"/>
        </w:rPr>
      </w:pPr>
    </w:p>
    <w:p>
      <w:pPr>
        <w:jc w:val="both"/>
        <w:ind w:left="1300" w:hanging="8"/>
        <w:spacing w:after="0" w:line="270" w:lineRule="auto"/>
        <w:tabs>
          <w:tab w:leader="none" w:pos="155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8" w:lineRule="exact"/>
        <w:rPr>
          <w:rFonts w:ascii="Arial" w:cs="Arial" w:eastAsia="Arial" w:hAnsi="Arial"/>
          <w:sz w:val="17"/>
          <w:szCs w:val="17"/>
          <w:color w:val="auto"/>
        </w:rPr>
      </w:pPr>
    </w:p>
    <w:p>
      <w:pPr>
        <w:ind w:left="1080" w:hanging="436"/>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3" w:lineRule="auto"/>
        <w:tabs>
          <w:tab w:leader="none" w:pos="1087"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 w:name="page8"/>
    <w:bookmarkEnd w:id="7"/>
    <w:p>
      <w:pPr>
        <w:jc w:val="both"/>
        <w:ind w:firstLine="648"/>
        <w:spacing w:after="0" w:line="301" w:lineRule="auto"/>
        <w:rPr>
          <w:sz w:val="20"/>
          <w:szCs w:val="20"/>
          <w:color w:val="auto"/>
        </w:rPr>
      </w:pPr>
      <w:r>
        <w:rPr>
          <w:rFonts w:ascii="Arial" w:cs="Arial" w:eastAsia="Arial" w:hAnsi="Arial"/>
          <w:sz w:val="16"/>
          <w:szCs w:val="16"/>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57" w:lineRule="exact"/>
        <w:rPr>
          <w:sz w:val="20"/>
          <w:szCs w:val="20"/>
          <w:color w:val="auto"/>
        </w:rPr>
      </w:pPr>
    </w:p>
    <w:p>
      <w:pPr>
        <w:ind w:left="840" w:hanging="196"/>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32"/>
        <w:spacing w:after="0" w:line="283"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Preferred Investment Option Shares Upon Exercise</w:t>
      </w:r>
      <w:r>
        <w:rPr>
          <w:rFonts w:ascii="Arial" w:cs="Arial" w:eastAsia="Arial" w:hAnsi="Arial"/>
          <w:sz w:val="16"/>
          <w:szCs w:val="16"/>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Preferred Investment Option Share Delivery Date</w:t>
      </w:r>
      <w:r>
        <w:rPr>
          <w:rFonts w:ascii="Arial" w:cs="Arial" w:eastAsia="Arial" w:hAnsi="Arial"/>
          <w:sz w:val="16"/>
          <w:szCs w:val="16"/>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Preferred Investment Option Shares subject to such notice(s) by 4:00 p.m. (New York City time) on the Initial Exercise Date and the Initial Exercise Date shall be the Preferred Investment Option Share Delivery Date for purposes hereunder, provided that payment of the aggregate Exercise Price (other than in the case of a cashless exercise) is received by such Preferred Investment Option Share Delivery Date.</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left="1300" w:hanging="332"/>
        <w:spacing w:after="0" w:line="29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New Preferred Investment Options Upon Exercise</w:t>
      </w:r>
      <w:r>
        <w:rPr>
          <w:rFonts w:ascii="Arial" w:cs="Arial" w:eastAsia="Arial" w:hAnsi="Arial"/>
          <w:sz w:val="16"/>
          <w:szCs w:val="16"/>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61" w:lineRule="exact"/>
        <w:rPr>
          <w:rFonts w:ascii="Arial" w:cs="Arial" w:eastAsia="Arial" w:hAnsi="Arial"/>
          <w:sz w:val="16"/>
          <w:szCs w:val="16"/>
          <w:color w:val="auto"/>
        </w:rPr>
      </w:pPr>
    </w:p>
    <w:p>
      <w:pPr>
        <w:jc w:val="both"/>
        <w:ind w:left="1300" w:hanging="332"/>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8" w:name="page9"/>
    <w:bookmarkEnd w:id="8"/>
    <w:p>
      <w:pPr>
        <w:jc w:val="both"/>
        <w:ind w:left="840" w:hanging="332"/>
        <w:spacing w:after="0" w:line="267"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Compensation for Buy-In on Failure to Timely Deliver Preferred Investment Option Shares Upon Exercise</w:t>
      </w:r>
      <w:r>
        <w:rPr>
          <w:rFonts w:ascii="Arial" w:cs="Arial" w:eastAsia="Arial" w:hAnsi="Arial"/>
          <w:sz w:val="17"/>
          <w:szCs w:val="17"/>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Arial" w:cs="Arial" w:eastAsia="Arial" w:hAnsi="Arial"/>
          <w:sz w:val="17"/>
          <w:szCs w:val="17"/>
          <w:u w:val="single" w:color="auto"/>
          <w:color w:val="auto"/>
        </w:rPr>
        <w:t>Buy-In</w:t>
      </w:r>
      <w:r>
        <w:rPr>
          <w:rFonts w:ascii="Arial" w:cs="Arial" w:eastAsia="Arial" w:hAnsi="Arial"/>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83" w:lineRule="exact"/>
        <w:rPr>
          <w:rFonts w:ascii="Arial" w:cs="Arial" w:eastAsia="Arial" w:hAnsi="Arial"/>
          <w:sz w:val="17"/>
          <w:szCs w:val="17"/>
          <w:color w:val="auto"/>
        </w:rPr>
      </w:pPr>
    </w:p>
    <w:p>
      <w:pPr>
        <w:jc w:val="both"/>
        <w:ind w:left="840" w:hanging="332"/>
        <w:spacing w:after="0" w:line="279"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jc w:val="both"/>
        <w:ind w:left="840" w:hanging="332"/>
        <w:spacing w:after="0" w:line="288"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68" w:lineRule="exact"/>
        <w:rPr>
          <w:rFonts w:ascii="Arial" w:cs="Arial" w:eastAsia="Arial" w:hAnsi="Arial"/>
          <w:sz w:val="16"/>
          <w:szCs w:val="16"/>
          <w:color w:val="auto"/>
        </w:rPr>
      </w:pPr>
    </w:p>
    <w:p>
      <w:pPr>
        <w:ind w:left="840" w:hanging="332"/>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Preferred Investment Option,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9" w:name="page10"/>
    <w:bookmarkEnd w:id="9"/>
    <w:p>
      <w:pPr>
        <w:jc w:val="both"/>
        <w:ind w:firstLine="644"/>
        <w:spacing w:after="0" w:line="282"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of this Section 2(e) shall continue to apply. Any increase in the Beneficial Ownership Limitation will 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7" w:lineRule="auto"/>
        <w:tabs>
          <w:tab w:leader="none" w:pos="86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7" w:lineRule="exact"/>
        <w:rPr>
          <w:rFonts w:ascii="Arial" w:cs="Arial" w:eastAsia="Arial" w:hAnsi="Arial"/>
          <w:sz w:val="16"/>
          <w:szCs w:val="16"/>
          <w:color w:val="auto"/>
        </w:rPr>
      </w:pPr>
    </w:p>
    <w:p>
      <w:pPr>
        <w:jc w:val="both"/>
        <w:ind w:firstLine="644"/>
        <w:spacing w:after="0" w:line="269" w:lineRule="auto"/>
        <w:tabs>
          <w:tab w:leader="none" w:pos="84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86" w:lineRule="auto"/>
        <w:tabs>
          <w:tab w:leader="none" w:pos="83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1" w:name="page12"/>
    <w:bookmarkEnd w:id="11"/>
    <w:p>
      <w:pPr>
        <w:jc w:val="both"/>
        <w:ind w:left="-460" w:firstLine="644"/>
        <w:spacing w:after="0" w:line="282" w:lineRule="auto"/>
        <w:tabs>
          <w:tab w:leader="none" w:pos="38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Preferred Investment Option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254" w:gutter="0" w:footer="0" w:header="0"/>
        </w:sectPr>
      </w:pPr>
    </w:p>
    <w:bookmarkStart w:id="12" w:name="page13"/>
    <w:bookmarkEnd w:id="12"/>
    <w:p>
      <w:pPr>
        <w:jc w:val="both"/>
        <w:ind w:left="-460" w:firstLine="644"/>
        <w:spacing w:after="0" w:line="286" w:lineRule="auto"/>
        <w:tabs>
          <w:tab w:leader="none" w:pos="38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00" w:firstLine="332"/>
        <w:spacing w:after="0" w:line="259" w:lineRule="auto"/>
        <w:tabs>
          <w:tab w:leader="none" w:pos="989"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500" w:firstLine="332"/>
        <w:spacing w:after="0" w:line="285" w:lineRule="auto"/>
        <w:tabs>
          <w:tab w:leader="none" w:pos="101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Arial" w:cs="Arial" w:eastAsia="Arial" w:hAnsi="Arial"/>
          <w:sz w:val="16"/>
          <w:szCs w:val="16"/>
          <w:u w:val="single" w:color="auto"/>
          <w:color w:val="auto"/>
        </w:rPr>
        <w:t>Section 3(f)(ii)</w:t>
      </w:r>
      <w:r>
        <w:rPr>
          <w:rFonts w:ascii="Arial" w:cs="Arial" w:eastAsia="Arial" w:hAnsi="Arial"/>
          <w:sz w:val="16"/>
          <w:szCs w:val="16"/>
          <w:color w:val="auto"/>
        </w:rPr>
        <w:t xml:space="preserve"> in confidence until such information is publicly available, and shall comply with applicable law with respect to trading in the Company’s securities following receipt any such information.</w:t>
      </w:r>
    </w:p>
    <w:p>
      <w:pPr>
        <w:spacing w:after="0" w:line="168" w:lineRule="exact"/>
        <w:rPr>
          <w:rFonts w:ascii="Arial" w:cs="Arial" w:eastAsia="Arial" w:hAnsi="Arial"/>
          <w:sz w:val="16"/>
          <w:szCs w:val="16"/>
          <w:color w:val="auto"/>
        </w:rPr>
      </w:pPr>
    </w:p>
    <w:p>
      <w:pPr>
        <w:jc w:val="both"/>
        <w:ind w:left="-460" w:firstLine="644"/>
        <w:spacing w:after="0" w:line="263" w:lineRule="auto"/>
        <w:tabs>
          <w:tab w:leader="none" w:pos="38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Preferred Investment Option reduce the then current Exercise Price to any amount and for any period of time deemed appropriate by the board of directors of the Company.</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Preferred Investment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6" w:lineRule="auto"/>
        <w:tabs>
          <w:tab w:leader="none" w:pos="83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70" w:lineRule="exact"/>
        <w:rPr>
          <w:rFonts w:ascii="Arial" w:cs="Arial" w:eastAsia="Arial" w:hAnsi="Arial"/>
          <w:sz w:val="16"/>
          <w:szCs w:val="16"/>
          <w:color w:val="auto"/>
        </w:rPr>
      </w:pPr>
    </w:p>
    <w:p>
      <w:pPr>
        <w:jc w:val="both"/>
        <w:ind w:firstLine="644"/>
        <w:spacing w:after="0" w:line="271" w:lineRule="auto"/>
        <w:tabs>
          <w:tab w:leader="none" w:pos="859"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New Preferred Investment Options</w:t>
      </w:r>
      <w:r>
        <w:rPr>
          <w:rFonts w:ascii="Arial" w:cs="Arial" w:eastAsia="Arial" w:hAnsi="Arial"/>
          <w:sz w:val="17"/>
          <w:szCs w:val="17"/>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78" w:lineRule="exact"/>
        <w:rPr>
          <w:rFonts w:ascii="Arial" w:cs="Arial" w:eastAsia="Arial" w:hAnsi="Arial"/>
          <w:sz w:val="17"/>
          <w:szCs w:val="17"/>
          <w:color w:val="auto"/>
        </w:rPr>
      </w:pPr>
    </w:p>
    <w:p>
      <w:pPr>
        <w:jc w:val="both"/>
        <w:ind w:firstLine="644"/>
        <w:spacing w:after="0" w:line="279" w:lineRule="auto"/>
        <w:tabs>
          <w:tab w:leader="none" w:pos="83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The Company shall register this Preferred Investment Option, upon records to be maintained by the Company for that purpose (the “</w:t>
      </w:r>
      <w:r>
        <w:rPr>
          <w:rFonts w:ascii="Arial" w:cs="Arial" w:eastAsia="Arial" w:hAnsi="Arial"/>
          <w:sz w:val="17"/>
          <w:szCs w:val="17"/>
          <w:u w:val="single" w:color="auto"/>
          <w:color w:val="auto"/>
        </w:rPr>
        <w:t>Preferred Investment Option Register</w:t>
      </w:r>
      <w:r>
        <w:rPr>
          <w:rFonts w:ascii="Arial" w:cs="Arial" w:eastAsia="Arial" w:hAnsi="Arial"/>
          <w:sz w:val="17"/>
          <w:szCs w:val="17"/>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4" w:name="page15"/>
    <w:bookmarkEnd w:id="14"/>
    <w:p>
      <w:pPr>
        <w:jc w:val="both"/>
        <w:ind w:firstLine="644"/>
        <w:spacing w:after="0" w:line="255" w:lineRule="auto"/>
        <w:tabs>
          <w:tab w:leader="none" w:pos="86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92" w:lineRule="exact"/>
        <w:rPr>
          <w:rFonts w:ascii="Arial" w:cs="Arial" w:eastAsia="Arial" w:hAnsi="Arial"/>
          <w:sz w:val="18"/>
          <w:szCs w:val="18"/>
          <w:color w:val="auto"/>
        </w:rPr>
      </w:pPr>
    </w:p>
    <w:p>
      <w:pPr>
        <w:jc w:val="both"/>
        <w:ind w:firstLine="644"/>
        <w:spacing w:after="0" w:line="287" w:lineRule="auto"/>
        <w:tabs>
          <w:tab w:leader="none" w:pos="83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Representation by the Holder</w:t>
      </w:r>
      <w:r>
        <w:rPr>
          <w:rFonts w:ascii="Arial" w:cs="Arial" w:eastAsia="Arial" w:hAnsi="Arial"/>
          <w:sz w:val="16"/>
          <w:szCs w:val="16"/>
          <w:color w:val="auto"/>
        </w:rPr>
        <w:t>. The Holder, by the acceptance hereof, understands that the Preferred Investment Options are “restricted securities” and have not been registered under the Securities Act of 1933, as amended, or any applicable state securities law, and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 and has no direct or indirect arrangement or understandings with any other persons to distribute or regarding the distribution of such Preferred Investment Option. At the time the Holder was offered this Preferred Investment Option, it was, and as of the date hereof it is, and on each date on which it exercises this Preferred Investment Option, it will be an “accredited investor” as defined in Rule 501(a) under the Securities Act. The Holder, either alone or together with its representatives, has such knowledge, sophistication and experience in business and financial matters so as to be capable of evaluating the merits and risks of the prospective investment in the Preferred Investment Option, and has so evaluated the merits and risks of such investment. The Holder is able to bear the economic risk of an investment in the Preferred Investment Option and, at the present time, is able to afford a complete loss of such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7" w:lineRule="exact"/>
        <w:rPr>
          <w:rFonts w:ascii="Arial" w:cs="Arial" w:eastAsia="Arial" w:hAnsi="Arial"/>
          <w:sz w:val="18"/>
          <w:szCs w:val="18"/>
          <w:color w:val="auto"/>
        </w:rPr>
      </w:pPr>
    </w:p>
    <w:p>
      <w:pPr>
        <w:jc w:val="both"/>
        <w:ind w:firstLine="644"/>
        <w:spacing w:after="0" w:line="273" w:lineRule="auto"/>
        <w:tabs>
          <w:tab w:leader="none" w:pos="85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Preferred Investment Option</w:t>
      </w:r>
      <w:r>
        <w:rPr>
          <w:rFonts w:ascii="Arial" w:cs="Arial" w:eastAsia="Arial" w:hAnsi="Arial"/>
          <w:sz w:val="17"/>
          <w:szCs w:val="17"/>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5" w:name="page16"/>
    <w:bookmarkEnd w:id="15"/>
    <w:p>
      <w:pPr>
        <w:ind w:left="-460" w:firstLine="644"/>
        <w:spacing w:after="0" w:line="342" w:lineRule="auto"/>
        <w:tabs>
          <w:tab w:leader="none" w:pos="38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60" w:hanging="176"/>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972"/>
        <w:spacing w:after="0" w:line="287" w:lineRule="auto"/>
        <w:rPr>
          <w:sz w:val="20"/>
          <w:szCs w:val="20"/>
          <w:color w:val="auto"/>
        </w:rPr>
      </w:pPr>
      <w:r>
        <w:rPr>
          <w:rFonts w:ascii="Arial" w:cs="Arial" w:eastAsia="Arial" w:hAnsi="Arial"/>
          <w:sz w:val="16"/>
          <w:szCs w:val="16"/>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8" w:lineRule="exact"/>
        <w:rPr>
          <w:sz w:val="20"/>
          <w:szCs w:val="20"/>
          <w:color w:val="auto"/>
        </w:rPr>
      </w:pPr>
    </w:p>
    <w:p>
      <w:pPr>
        <w:jc w:val="both"/>
        <w:ind w:left="180" w:firstLine="648"/>
        <w:spacing w:after="0" w:line="269"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6" w:name="page17"/>
    <w:bookmarkEnd w:id="16"/>
    <w:p>
      <w:pPr>
        <w:jc w:val="both"/>
        <w:ind w:left="180" w:firstLine="648"/>
        <w:spacing w:after="0" w:line="286" w:lineRule="auto"/>
        <w:rPr>
          <w:sz w:val="20"/>
          <w:szCs w:val="20"/>
          <w:color w:val="auto"/>
        </w:rPr>
      </w:pPr>
      <w:r>
        <w:rPr>
          <w:rFonts w:ascii="Arial" w:cs="Arial" w:eastAsia="Arial" w:hAnsi="Arial"/>
          <w:sz w:val="17"/>
          <w:szCs w:val="17"/>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65" w:lineRule="exact"/>
        <w:rPr>
          <w:sz w:val="20"/>
          <w:szCs w:val="20"/>
          <w:color w:val="auto"/>
        </w:rPr>
      </w:pPr>
    </w:p>
    <w:p>
      <w:pPr>
        <w:ind w:left="-460" w:firstLine="644"/>
        <w:spacing w:after="0" w:line="277" w:lineRule="auto"/>
        <w:tabs>
          <w:tab w:leader="none" w:pos="3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38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83" w:lineRule="exact"/>
        <w:rPr>
          <w:rFonts w:ascii="Arial" w:cs="Arial" w:eastAsia="Arial" w:hAnsi="Arial"/>
          <w:sz w:val="18"/>
          <w:szCs w:val="18"/>
          <w:color w:val="auto"/>
        </w:rPr>
      </w:pPr>
    </w:p>
    <w:p>
      <w:pPr>
        <w:jc w:val="both"/>
        <w:ind w:left="-460" w:firstLine="644"/>
        <w:spacing w:after="0" w:line="293" w:lineRule="auto"/>
        <w:tabs>
          <w:tab w:leader="none" w:pos="40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4" w:lineRule="exact"/>
        <w:rPr>
          <w:rFonts w:ascii="Arial" w:cs="Arial" w:eastAsia="Arial" w:hAnsi="Arial"/>
          <w:sz w:val="16"/>
          <w:szCs w:val="16"/>
          <w:color w:val="auto"/>
        </w:rPr>
      </w:pPr>
    </w:p>
    <w:p>
      <w:pPr>
        <w:ind w:left="-460" w:firstLine="644"/>
        <w:spacing w:after="0" w:line="277" w:lineRule="auto"/>
        <w:tabs>
          <w:tab w:leader="none" w:pos="39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to the address of the Holder in the Warrant Register.</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3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7" w:name="page18"/>
    <w:bookmarkEnd w:id="17"/>
    <w:p>
      <w:pPr>
        <w:jc w:val="both"/>
        <w:ind w:firstLine="644"/>
        <w:spacing w:after="0" w:line="279" w:lineRule="auto"/>
        <w:tabs>
          <w:tab w:leader="none" w:pos="80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1" w:lineRule="exact"/>
        <w:rPr>
          <w:rFonts w:ascii="Arial" w:cs="Arial" w:eastAsia="Arial" w:hAnsi="Arial"/>
          <w:sz w:val="17"/>
          <w:szCs w:val="17"/>
          <w:color w:val="auto"/>
        </w:rPr>
      </w:pPr>
    </w:p>
    <w:p>
      <w:pPr>
        <w:jc w:val="both"/>
        <w:ind w:firstLine="644"/>
        <w:spacing w:after="0" w:line="301" w:lineRule="auto"/>
        <w:tabs>
          <w:tab w:leader="none" w:pos="88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57" w:lineRule="exact"/>
        <w:rPr>
          <w:rFonts w:ascii="Arial" w:cs="Arial" w:eastAsia="Arial" w:hAnsi="Arial"/>
          <w:sz w:val="16"/>
          <w:szCs w:val="16"/>
          <w:color w:val="auto"/>
        </w:rPr>
      </w:pPr>
    </w:p>
    <w:p>
      <w:pPr>
        <w:ind w:firstLine="644"/>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Preferred Investment Option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firstLine="644"/>
        <w:spacing w:after="0" w:line="259" w:lineRule="auto"/>
        <w:tabs>
          <w:tab w:leader="none" w:pos="91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86" w:lineRule="exact"/>
        <w:rPr>
          <w:rFonts w:ascii="Arial" w:cs="Arial" w:eastAsia="Arial" w:hAnsi="Arial"/>
          <w:sz w:val="18"/>
          <w:szCs w:val="18"/>
          <w:color w:val="auto"/>
        </w:rPr>
      </w:pPr>
    </w:p>
    <w:p>
      <w:pPr>
        <w:ind w:firstLine="644"/>
        <w:spacing w:after="0" w:line="277" w:lineRule="auto"/>
        <w:tabs>
          <w:tab w:leader="none" w:pos="86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Preferred Investment Option are for the convenience of reference only and shall not, for any purpose, be deemed a part of this Preferred Investment Option.</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8" w:name="page19"/>
    <w:bookmarkEnd w:id="18"/>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Preferred Investment Option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MICROBOT MEDICAL INC.</w:t>
      </w:r>
    </w:p>
    <w:p>
      <w:pPr>
        <w:spacing w:after="0" w:line="229" w:lineRule="exact"/>
        <w:rPr>
          <w:sz w:val="20"/>
          <w:szCs w:val="20"/>
          <w:color w:val="auto"/>
        </w:rPr>
      </w:pPr>
    </w:p>
    <w:p>
      <w:pPr>
        <w:jc w:val="both"/>
        <w:ind w:firstLine="1304"/>
        <w:spacing w:after="0" w:line="263" w:lineRule="auto"/>
        <w:tabs>
          <w:tab w:leader="none" w:pos="15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311" w:lineRule="auto"/>
        <w:rPr>
          <w:sz w:val="20"/>
          <w:szCs w:val="20"/>
          <w:color w:val="auto"/>
        </w:rPr>
      </w:pPr>
      <w:r>
        <w:rPr>
          <w:rFonts w:ascii="Arial" w:cs="Arial" w:eastAsia="Arial" w:hAnsi="Arial"/>
          <w:sz w:val="16"/>
          <w:szCs w:val="16"/>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48" w:lineRule="exact"/>
        <w:rPr>
          <w:sz w:val="20"/>
          <w:szCs w:val="20"/>
          <w:color w:val="auto"/>
        </w:rPr>
      </w:pPr>
    </w:p>
    <w:p>
      <w:pPr>
        <w:ind w:left="1560" w:hanging="256"/>
        <w:spacing w:after="0"/>
        <w:tabs>
          <w:tab w:leader="none" w:pos="1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Please issue said Preferred Investment Option Shares in the name of the undersigned or in such other name as is specified below:</w:t>
      </w:r>
    </w:p>
    <w:p>
      <w:pPr>
        <w:spacing w:after="0" w:line="248"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103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854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2854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 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548640" cy="685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 cy="68580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www.mintz.com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May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acted as counsel to Microbot Medical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Prospectus Supplement, dated May 22, 2023, to a Prospectus, dated December 4, 2020 (the “</w:t>
      </w:r>
      <w:r>
        <w:rPr>
          <w:rFonts w:ascii="Arial" w:cs="Arial" w:eastAsia="Arial" w:hAnsi="Arial"/>
          <w:sz w:val="17"/>
          <w:szCs w:val="17"/>
          <w:u w:val="single" w:color="auto"/>
          <w:color w:val="auto"/>
        </w:rPr>
        <w:t>Prospectus and Prospectus Supplement</w:t>
      </w:r>
      <w:r>
        <w:rPr>
          <w:rFonts w:ascii="Arial" w:cs="Arial" w:eastAsia="Arial" w:hAnsi="Arial"/>
          <w:sz w:val="17"/>
          <w:szCs w:val="17"/>
          <w:color w:val="auto"/>
        </w:rPr>
        <w:t>”), filed pursuant to a Registration Statement on Form S-3, Registration No. 333-250966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filed by the Company with the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Prospectus Supplement relates to the sale of 655,569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pursuant to a Securities Purchase Agreement, dated May 22, 2023, between the Company and the purchasers named therein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Shares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Registration Statement, the Prospectus and the Prospectus Supplement, will be validly issued, fully paid and nonassessable.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May 22, 2023,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w:t>
      </w:r>
    </w:p>
    <w:p>
      <w:pPr>
        <w:jc w:val="both"/>
        <w:ind w:left="660"/>
        <w:spacing w:after="0" w:line="211" w:lineRule="auto"/>
        <w:rPr>
          <w:sz w:val="20"/>
          <w:szCs w:val="20"/>
          <w:color w:val="auto"/>
        </w:rPr>
      </w:pPr>
      <w:r>
        <w:rPr>
          <w:rFonts w:ascii="Arial" w:cs="Arial" w:eastAsia="Arial" w:hAnsi="Arial"/>
          <w:sz w:val="18"/>
          <w:szCs w:val="18"/>
          <w:color w:val="auto"/>
        </w:rPr>
        <w:t>deliver the Securities, in each case, have been satisfied or waived, but in no event later than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hereof.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with offices located at One Financial Center, Boston, MA 02111.</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EGS</w:t>
      </w:r>
      <w:r>
        <w:rPr>
          <w:rFonts w:ascii="Arial" w:cs="Arial" w:eastAsia="Arial" w:hAnsi="Arial"/>
          <w:sz w:val="16"/>
          <w:szCs w:val="16"/>
          <w:color w:val="auto"/>
        </w:rPr>
        <w:t>” means Ellenoff Grossman &amp; Schole LLP, with offices located at 1345 Avenue of the Americas, New York, New York 10105-0302.</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6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equals $2.20 (less $0.0001 for each Pre-Funded Warrant), subject to adjustment for reverse and forward stock splits, stock dividends, stock combinations and other similar transactions of the Common Stock that occur after the date of this Agreement.</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333-250966 which registers the sale of the Shares and Pre-Funded Warrants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Subscription Amount</w:t>
      </w:r>
      <w:r>
        <w:rPr>
          <w:rFonts w:ascii="Arial" w:cs="Arial" w:eastAsia="Arial" w:hAnsi="Arial"/>
          <w:sz w:val="17"/>
          <w:szCs w:val="17"/>
          <w:color w:val="auto"/>
        </w:rPr>
        <w:t>” means, as to each Purchaser, the aggregate amount to be paid for Shares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$1,442,250 of Shares. Notwithstanding anything herein to the contrary, to the extent that 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and Pre-Funded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Arial" w:cs="Arial" w:eastAsia="Arial" w:hAnsi="Arial"/>
          <w:sz w:val="16"/>
          <w:szCs w:val="16"/>
          <w:u w:val="single" w:color="auto"/>
          <w:color w:val="auto"/>
        </w:rPr>
        <w:t>Pre-Settlement Period</w:t>
      </w:r>
      <w:r>
        <w:rPr>
          <w:rFonts w:ascii="Arial" w:cs="Arial" w:eastAsia="Arial" w:hAnsi="Arial"/>
          <w:sz w:val="16"/>
          <w:szCs w:val="16"/>
          <w:color w:val="auto"/>
        </w:rPr>
        <w:t>”), such Purchaser sells to any Person all, or any portion, of the Shares to be issued hereunder to such Purchaser at the Closing (collectively, the “</w:t>
      </w:r>
      <w:r>
        <w:rPr>
          <w:rFonts w:ascii="Arial" w:cs="Arial" w:eastAsia="Arial" w:hAnsi="Arial"/>
          <w:sz w:val="16"/>
          <w:szCs w:val="16"/>
          <w:u w:val="single" w:color="auto"/>
          <w:color w:val="auto"/>
        </w:rPr>
        <w:t>Pre-Settlement Shares</w:t>
      </w:r>
      <w:r>
        <w:rPr>
          <w:rFonts w:ascii="Arial" w:cs="Arial" w:eastAsia="Arial" w:hAnsi="Arial"/>
          <w:sz w:val="16"/>
          <w:szCs w:val="16"/>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Deliveries</w:t>
      </w:r>
      <w:r>
        <w:rPr>
          <w:rFonts w:ascii="Arial" w:cs="Arial" w:eastAsia="Arial" w:hAnsi="Arial"/>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300" w:firstLine="652"/>
        <w:spacing w:after="0" w:line="277" w:lineRule="auto"/>
        <w:tabs>
          <w:tab w:leader="none" w:pos="2667" w:val="left"/>
        </w:tabs>
        <w:numPr>
          <w:ilvl w:val="2"/>
          <w:numId w:val="21"/>
        </w:numPr>
        <w:rPr>
          <w:rFonts w:ascii="Arial" w:cs="Arial" w:eastAsia="Arial" w:hAnsi="Arial"/>
          <w:sz w:val="18"/>
          <w:szCs w:val="18"/>
          <w:color w:val="auto"/>
        </w:rPr>
      </w:pPr>
      <w:r>
        <w:rPr>
          <w:rFonts w:ascii="Arial" w:cs="Arial" w:eastAsia="Arial" w:hAnsi="Arial"/>
          <w:sz w:val="18"/>
          <w:szCs w:val="18"/>
          <w:color w:val="auto"/>
        </w:rPr>
        <w:t>a legal opinion of Company Counsel, directed to the Placement Agent and the Purchasers, in a form reasonably acceptable to the Placement Agent and Purchasers;</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subject to Section 2.1, the Company shall have provided each Purchaser with the Company’s wire instructions;</w:t>
      </w:r>
    </w:p>
    <w:p>
      <w:pPr>
        <w:spacing w:after="0" w:line="236" w:lineRule="exact"/>
        <w:rPr>
          <w:rFonts w:ascii="Arial" w:cs="Arial" w:eastAsia="Arial" w:hAnsi="Arial"/>
          <w:sz w:val="17"/>
          <w:szCs w:val="17"/>
          <w:color w:val="auto"/>
        </w:rPr>
      </w:pPr>
    </w:p>
    <w:p>
      <w:pPr>
        <w:jc w:val="both"/>
        <w:ind w:left="1300" w:firstLine="652"/>
        <w:spacing w:after="0" w:line="286" w:lineRule="auto"/>
        <w:tabs>
          <w:tab w:leader="none" w:pos="2655" w:val="left"/>
        </w:tabs>
        <w:numPr>
          <w:ilvl w:val="2"/>
          <w:numId w:val="21"/>
        </w:numPr>
        <w:rPr>
          <w:rFonts w:ascii="Arial" w:cs="Arial" w:eastAsia="Arial" w:hAnsi="Arial"/>
          <w:sz w:val="17"/>
          <w:szCs w:val="17"/>
          <w:color w:val="auto"/>
        </w:rPr>
      </w:pPr>
      <w:r>
        <w:rPr>
          <w:rFonts w:ascii="Arial" w:cs="Arial" w:eastAsia="Arial" w:hAnsi="Arial"/>
          <w:sz w:val="17"/>
          <w:szCs w:val="17"/>
          <w:color w:val="auto"/>
        </w:rPr>
        <w:t>subject to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Shares equal to such Purchaser’s Subscription Amount divided by the Per Share Purchase Price, registered in the name of such Purchaser;</w:t>
      </w:r>
    </w:p>
    <w:p>
      <w:pPr>
        <w:spacing w:after="0" w:line="165" w:lineRule="exact"/>
        <w:rPr>
          <w:rFonts w:ascii="Arial" w:cs="Arial" w:eastAsia="Arial" w:hAnsi="Arial"/>
          <w:sz w:val="17"/>
          <w:szCs w:val="17"/>
          <w:color w:val="auto"/>
        </w:rPr>
      </w:pPr>
    </w:p>
    <w:p>
      <w:pPr>
        <w:jc w:val="both"/>
        <w:ind w:left="1300" w:firstLine="652"/>
        <w:spacing w:after="0" w:line="257" w:lineRule="auto"/>
        <w:tabs>
          <w:tab w:leader="none" w:pos="2601"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7" w:lineRule="exact"/>
        <w:rPr>
          <w:rFonts w:ascii="Arial" w:cs="Arial" w:eastAsia="Arial" w:hAnsi="Arial"/>
          <w:sz w:val="18"/>
          <w:szCs w:val="18"/>
          <w:color w:val="auto"/>
        </w:rPr>
      </w:pPr>
    </w:p>
    <w:p>
      <w:pPr>
        <w:ind w:left="2560" w:hanging="608"/>
        <w:spacing w:after="0"/>
        <w:tabs>
          <w:tab w:leader="none" w:pos="25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300" w:firstLine="652"/>
        <w:spacing w:after="0" w:line="277" w:lineRule="auto"/>
        <w:tabs>
          <w:tab w:leader="none" w:pos="2484" w:val="left"/>
        </w:tabs>
        <w:numPr>
          <w:ilvl w:val="2"/>
          <w:numId w:val="22"/>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1300" w:firstLine="652"/>
        <w:spacing w:after="0" w:line="259" w:lineRule="auto"/>
        <w:tabs>
          <w:tab w:leader="none" w:pos="25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86" w:lineRule="exact"/>
        <w:rPr>
          <w:rFonts w:ascii="Arial" w:cs="Arial" w:eastAsia="Arial" w:hAnsi="Arial"/>
          <w:sz w:val="18"/>
          <w:szCs w:val="18"/>
          <w:color w:val="auto"/>
        </w:rPr>
      </w:pPr>
    </w:p>
    <w:p>
      <w:pPr>
        <w:ind w:left="1300" w:firstLine="652"/>
        <w:spacing w:after="0" w:line="277" w:lineRule="auto"/>
        <w:tabs>
          <w:tab w:leader="none" w:pos="25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2540" w:hanging="588"/>
        <w:spacing w:after="0"/>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1300" w:firstLine="652"/>
        <w:spacing w:after="0" w:line="279" w:lineRule="auto"/>
        <w:tabs>
          <w:tab w:leader="none" w:pos="2442"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Arial" w:cs="Arial" w:eastAsia="Arial" w:hAnsi="Arial"/>
          <w:sz w:val="17"/>
          <w:szCs w:val="17"/>
          <w:color w:val="auto"/>
        </w:rPr>
      </w:pPr>
    </w:p>
    <w:p>
      <w:pPr>
        <w:ind w:left="1300" w:firstLine="652"/>
        <w:spacing w:after="0" w:line="277" w:lineRule="auto"/>
        <w:tabs>
          <w:tab w:leader="none" w:pos="25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2540" w:hanging="588"/>
        <w:spacing w:after="0"/>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723" w:val="left"/>
        </w:tabs>
        <w:numPr>
          <w:ilvl w:val="1"/>
          <w:numId w:val="23"/>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the Company hereby makes the following representations and warranties to each Purchaser:</w:t>
      </w:r>
    </w:p>
    <w:p>
      <w:pPr>
        <w:spacing w:after="0" w:line="170" w:lineRule="exact"/>
        <w:rPr>
          <w:sz w:val="20"/>
          <w:szCs w:val="20"/>
          <w:color w:val="auto"/>
        </w:rPr>
      </w:pPr>
    </w:p>
    <w:p>
      <w:pPr>
        <w:jc w:val="both"/>
        <w:ind w:left="660" w:firstLine="644"/>
        <w:spacing w:after="0" w:line="257" w:lineRule="auto"/>
        <w:tabs>
          <w:tab w:leader="none" w:pos="1928"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7" w:lineRule="exact"/>
        <w:rPr>
          <w:rFonts w:ascii="Arial" w:cs="Arial" w:eastAsia="Arial" w:hAnsi="Arial"/>
          <w:sz w:val="18"/>
          <w:szCs w:val="18"/>
          <w:color w:val="auto"/>
        </w:rPr>
      </w:pPr>
    </w:p>
    <w:p>
      <w:pPr>
        <w:jc w:val="both"/>
        <w:ind w:firstLine="8"/>
        <w:spacing w:after="0" w:line="287" w:lineRule="auto"/>
        <w:tabs>
          <w:tab w:leader="none" w:pos="59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171" w:lineRule="exact"/>
        <w:rPr>
          <w:rFonts w:ascii="Arial" w:cs="Arial" w:eastAsia="Arial" w:hAnsi="Arial"/>
          <w:sz w:val="16"/>
          <w:szCs w:val="16"/>
          <w:color w:val="auto"/>
        </w:rPr>
      </w:pPr>
    </w:p>
    <w:p>
      <w:pPr>
        <w:jc w:val="both"/>
        <w:ind w:firstLine="8"/>
        <w:spacing w:after="0" w:line="269" w:lineRule="auto"/>
        <w:tabs>
          <w:tab w:leader="none" w:pos="68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8"/>
        <w:spacing w:after="0" w:line="252" w:lineRule="auto"/>
        <w:tabs>
          <w:tab w:leader="none" w:pos="60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9" w:lineRule="exact"/>
        <w:rPr>
          <w:rFonts w:ascii="Arial" w:cs="Arial" w:eastAsia="Arial" w:hAnsi="Arial"/>
          <w:sz w:val="18"/>
          <w:szCs w:val="18"/>
          <w:color w:val="auto"/>
        </w:rPr>
      </w:pPr>
    </w:p>
    <w:p>
      <w:pPr>
        <w:jc w:val="both"/>
        <w:ind w:firstLine="8"/>
        <w:spacing w:after="0" w:line="255" w:lineRule="auto"/>
        <w:tabs>
          <w:tab w:leader="none" w:pos="5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8"/>
        <w:spacing w:after="0" w:line="285" w:lineRule="auto"/>
        <w:tabs>
          <w:tab w:leader="none" w:pos="68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and the Pre-Funded Warrants. The Company has prepared and filed the Registration Statement in conformity with the requirements of the Securities Act, which became effective on December 4, 2020,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8"/>
        <w:spacing w:after="0" w:line="284" w:lineRule="auto"/>
        <w:tabs>
          <w:tab w:leader="none" w:pos="53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as of the date set forth therein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8"/>
        <w:spacing w:after="0" w:line="286" w:lineRule="auto"/>
        <w:tabs>
          <w:tab w:leader="none" w:pos="53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7" w:lineRule="exact"/>
        <w:rPr>
          <w:rFonts w:ascii="Arial" w:cs="Arial" w:eastAsia="Arial" w:hAnsi="Arial"/>
          <w:sz w:val="16"/>
          <w:szCs w:val="16"/>
          <w:color w:val="auto"/>
        </w:rPr>
      </w:pPr>
    </w:p>
    <w:p>
      <w:pPr>
        <w:jc w:val="both"/>
        <w:ind w:firstLine="8"/>
        <w:spacing w:after="0" w:line="268" w:lineRule="auto"/>
        <w:tabs>
          <w:tab w:leader="none" w:pos="6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firstLine="8"/>
        <w:spacing w:after="0" w:line="269" w:lineRule="auto"/>
        <w:tabs>
          <w:tab w:leader="none" w:pos="51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5" w:lineRule="exact"/>
        <w:rPr>
          <w:rFonts w:ascii="Arial" w:cs="Arial" w:eastAsia="Arial" w:hAnsi="Arial"/>
          <w:sz w:val="17"/>
          <w:szCs w:val="17"/>
          <w:color w:val="auto"/>
        </w:rPr>
      </w:pPr>
    </w:p>
    <w:p>
      <w:pPr>
        <w:jc w:val="both"/>
        <w:ind w:firstLine="8"/>
        <w:spacing w:after="0" w:line="288" w:lineRule="auto"/>
        <w:tabs>
          <w:tab w:leader="none" w:pos="57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ind w:firstLine="8"/>
        <w:spacing w:after="0" w:line="271" w:lineRule="auto"/>
        <w:tabs>
          <w:tab w:leader="none" w:pos="51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78" w:lineRule="exact"/>
        <w:rPr>
          <w:rFonts w:ascii="Arial" w:cs="Arial" w:eastAsia="Arial" w:hAnsi="Arial"/>
          <w:sz w:val="17"/>
          <w:szCs w:val="17"/>
          <w:color w:val="auto"/>
        </w:rPr>
      </w:pPr>
    </w:p>
    <w:p>
      <w:pPr>
        <w:jc w:val="both"/>
        <w:ind w:firstLine="8"/>
        <w:spacing w:after="0" w:line="270" w:lineRule="auto"/>
        <w:tabs>
          <w:tab w:leader="none" w:pos="32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0" w:lineRule="exact"/>
        <w:rPr>
          <w:rFonts w:ascii="Arial" w:cs="Arial" w:eastAsia="Arial" w:hAnsi="Arial"/>
          <w:sz w:val="17"/>
          <w:szCs w:val="17"/>
          <w:color w:val="auto"/>
        </w:rPr>
      </w:pPr>
    </w:p>
    <w:p>
      <w:pPr>
        <w:jc w:val="both"/>
        <w:ind w:firstLine="8"/>
        <w:spacing w:after="0" w:line="279" w:lineRule="auto"/>
        <w:tabs>
          <w:tab w:leader="none" w:pos="58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7"/>
          <w:szCs w:val="17"/>
          <w:u w:val="single" w:color="auto"/>
          <w:color w:val="auto"/>
        </w:rPr>
        <w:t>Material Permits</w:t>
      </w:r>
      <w:r>
        <w:rPr>
          <w:rFonts w:ascii="Arial" w:cs="Arial" w:eastAsia="Arial" w:hAnsi="Arial"/>
          <w:sz w:val="17"/>
          <w:szCs w:val="17"/>
          <w:color w:val="auto"/>
        </w:rPr>
        <w:t>”), and neither the Company nor any Subsidiary has received any notice of proceedings relating to the revocation or modification of any Material Permit.</w:t>
      </w:r>
    </w:p>
    <w:p>
      <w:pPr>
        <w:spacing w:after="0" w:line="171" w:lineRule="exact"/>
        <w:rPr>
          <w:rFonts w:ascii="Arial" w:cs="Arial" w:eastAsia="Arial" w:hAnsi="Arial"/>
          <w:sz w:val="17"/>
          <w:szCs w:val="17"/>
          <w:color w:val="auto"/>
        </w:rPr>
      </w:pPr>
    </w:p>
    <w:p>
      <w:pPr>
        <w:jc w:val="both"/>
        <w:ind w:firstLine="8"/>
        <w:spacing w:after="0" w:line="254" w:lineRule="auto"/>
        <w:tabs>
          <w:tab w:leader="none" w:pos="58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Title to Assets</w:t>
      </w:r>
      <w:r>
        <w:rPr>
          <w:rFonts w:ascii="Arial" w:cs="Arial" w:eastAsia="Arial" w:hAnsi="Arial"/>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jc w:val="both"/>
        <w:ind w:firstLine="8"/>
        <w:spacing w:after="0" w:line="268" w:lineRule="auto"/>
        <w:tabs>
          <w:tab w:leader="none" w:pos="579"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6" w:lineRule="exact"/>
        <w:rPr>
          <w:rFonts w:ascii="Arial" w:cs="Arial" w:eastAsia="Arial" w:hAnsi="Arial"/>
          <w:sz w:val="17"/>
          <w:szCs w:val="17"/>
          <w:color w:val="auto"/>
        </w:rPr>
      </w:pPr>
    </w:p>
    <w:p>
      <w:pPr>
        <w:jc w:val="both"/>
        <w:ind w:firstLine="8"/>
        <w:spacing w:after="0" w:line="257" w:lineRule="auto"/>
        <w:tabs>
          <w:tab w:leader="none" w:pos="53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Arial" w:cs="Arial" w:eastAsia="Arial" w:hAnsi="Arial"/>
          <w:sz w:val="18"/>
          <w:szCs w:val="18"/>
          <w:color w:val="auto"/>
        </w:rPr>
      </w:pPr>
    </w:p>
    <w:p>
      <w:pPr>
        <w:jc w:val="both"/>
        <w:ind w:firstLine="8"/>
        <w:spacing w:after="0" w:line="270" w:lineRule="auto"/>
        <w:tabs>
          <w:tab w:leader="none" w:pos="654"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ind w:firstLine="8"/>
        <w:spacing w:after="0" w:line="285" w:lineRule="auto"/>
        <w:tabs>
          <w:tab w:leader="none" w:pos="66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3" w:lineRule="exact"/>
        <w:rPr>
          <w:rFonts w:ascii="Arial" w:cs="Arial" w:eastAsia="Arial" w:hAnsi="Arial"/>
          <w:sz w:val="16"/>
          <w:szCs w:val="16"/>
          <w:color w:val="auto"/>
        </w:rPr>
      </w:pPr>
    </w:p>
    <w:p>
      <w:pPr>
        <w:jc w:val="both"/>
        <w:ind w:firstLine="8"/>
        <w:spacing w:after="0" w:line="25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7" w:lineRule="exact"/>
        <w:rPr>
          <w:rFonts w:ascii="Arial" w:cs="Arial" w:eastAsia="Arial" w:hAnsi="Arial"/>
          <w:sz w:val="18"/>
          <w:szCs w:val="18"/>
          <w:color w:val="auto"/>
        </w:rPr>
      </w:pPr>
    </w:p>
    <w:p>
      <w:pPr>
        <w:jc w:val="both"/>
        <w:ind w:firstLine="8"/>
        <w:spacing w:after="0" w:line="311" w:lineRule="auto"/>
        <w:tabs>
          <w:tab w:leader="none" w:pos="56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48" w:lineRule="exact"/>
        <w:rPr>
          <w:rFonts w:ascii="Arial" w:cs="Arial" w:eastAsia="Arial" w:hAnsi="Arial"/>
          <w:sz w:val="16"/>
          <w:szCs w:val="16"/>
          <w:color w:val="auto"/>
        </w:rPr>
      </w:pPr>
    </w:p>
    <w:p>
      <w:pPr>
        <w:ind w:firstLine="8"/>
        <w:spacing w:after="0" w:line="277"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both"/>
        <w:ind w:firstLine="8"/>
        <w:spacing w:after="0" w:line="270" w:lineRule="auto"/>
        <w:tabs>
          <w:tab w:leader="none" w:pos="56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Arial" w:cs="Arial" w:eastAsia="Arial" w:hAnsi="Arial"/>
          <w:sz w:val="17"/>
          <w:szCs w:val="17"/>
          <w:color w:val="auto"/>
        </w:rPr>
      </w:pPr>
    </w:p>
    <w:p>
      <w:pPr>
        <w:jc w:val="both"/>
        <w:ind w:firstLine="8"/>
        <w:spacing w:after="0" w:line="255" w:lineRule="auto"/>
        <w:tabs>
          <w:tab w:leader="none" w:pos="75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firstLine="8"/>
        <w:spacing w:after="0" w:line="289" w:lineRule="auto"/>
        <w:tabs>
          <w:tab w:leader="none" w:pos="559"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66" w:lineRule="exact"/>
        <w:rPr>
          <w:rFonts w:ascii="Arial" w:cs="Arial" w:eastAsia="Arial" w:hAnsi="Arial"/>
          <w:sz w:val="16"/>
          <w:szCs w:val="16"/>
          <w:color w:val="auto"/>
        </w:rPr>
      </w:pPr>
    </w:p>
    <w:p>
      <w:pPr>
        <w:jc w:val="both"/>
        <w:ind w:firstLine="8"/>
        <w:spacing w:after="0" w:line="301" w:lineRule="auto"/>
        <w:tabs>
          <w:tab w:leader="none" w:pos="55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both"/>
        <w:ind w:firstLine="8"/>
        <w:spacing w:after="0" w:line="283" w:lineRule="auto"/>
        <w:tabs>
          <w:tab w:leader="none" w:pos="33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w:t>
      </w:r>
    </w:p>
    <w:p>
      <w:pPr>
        <w:spacing w:after="0" w:line="1" w:lineRule="exact"/>
        <w:rPr>
          <w:rFonts w:ascii="Arial" w:cs="Arial" w:eastAsia="Arial" w:hAnsi="Arial"/>
          <w:sz w:val="16"/>
          <w:szCs w:val="16"/>
          <w:color w:val="auto"/>
        </w:rPr>
      </w:pPr>
    </w:p>
    <w:p>
      <w:pPr>
        <w:jc w:val="both"/>
        <w:ind w:firstLine="8"/>
        <w:spacing w:after="0" w:line="295" w:lineRule="auto"/>
        <w:tabs>
          <w:tab w:leader="none" w:pos="2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61" w:lineRule="exact"/>
        <w:rPr>
          <w:rFonts w:ascii="Arial" w:cs="Arial" w:eastAsia="Arial" w:hAnsi="Arial"/>
          <w:sz w:val="16"/>
          <w:szCs w:val="16"/>
          <w:color w:val="auto"/>
        </w:rPr>
      </w:pPr>
    </w:p>
    <w:p>
      <w:pPr>
        <w:jc w:val="both"/>
        <w:ind w:firstLine="8"/>
        <w:spacing w:after="0" w:line="254" w:lineRule="auto"/>
        <w:tabs>
          <w:tab w:leader="none" w:pos="34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4" w:lineRule="exact"/>
        <w:rPr>
          <w:rFonts w:ascii="Arial" w:cs="Arial" w:eastAsia="Arial" w:hAnsi="Arial"/>
          <w:sz w:val="18"/>
          <w:szCs w:val="18"/>
          <w:color w:val="auto"/>
        </w:rPr>
      </w:pPr>
    </w:p>
    <w:p>
      <w:pPr>
        <w:jc w:val="both"/>
        <w:ind w:firstLine="8"/>
        <w:spacing w:after="0" w:line="255" w:lineRule="auto"/>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8"/>
        <w:spacing w:after="0" w:line="263" w:lineRule="auto"/>
        <w:tabs>
          <w:tab w:leader="none" w:pos="3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2022.</w:t>
      </w:r>
    </w:p>
    <w:p>
      <w:pPr>
        <w:spacing w:after="0" w:line="183" w:lineRule="exact"/>
        <w:rPr>
          <w:rFonts w:ascii="Arial" w:cs="Arial" w:eastAsia="Arial" w:hAnsi="Arial"/>
          <w:sz w:val="18"/>
          <w:szCs w:val="18"/>
          <w:color w:val="auto"/>
        </w:rPr>
      </w:pPr>
    </w:p>
    <w:p>
      <w:pPr>
        <w:jc w:val="both"/>
        <w:ind w:firstLine="8"/>
        <w:spacing w:after="0" w:line="291" w:lineRule="auto"/>
        <w:tabs>
          <w:tab w:leader="none" w:pos="31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Securities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66" w:lineRule="exact"/>
        <w:rPr>
          <w:rFonts w:ascii="Arial" w:cs="Arial" w:eastAsia="Arial" w:hAnsi="Arial"/>
          <w:sz w:val="16"/>
          <w:szCs w:val="16"/>
          <w:color w:val="auto"/>
        </w:rPr>
      </w:pPr>
    </w:p>
    <w:p>
      <w:pPr>
        <w:jc w:val="both"/>
        <w:ind w:firstLine="8"/>
        <w:spacing w:after="0" w:line="268" w:lineRule="auto"/>
        <w:tabs>
          <w:tab w:leader="none" w:pos="27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xml:space="preserve">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Arial" w:cs="Arial" w:eastAsia="Arial" w:hAnsi="Arial"/>
          <w:sz w:val="17"/>
          <w:szCs w:val="17"/>
          <w:color w:val="auto"/>
        </w:rPr>
      </w:pPr>
    </w:p>
    <w:p>
      <w:pPr>
        <w:jc w:val="both"/>
        <w:ind w:firstLine="8"/>
        <w:spacing w:after="0" w:line="257" w:lineRule="auto"/>
        <w:tabs>
          <w:tab w:leader="none" w:pos="36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Regulation M Compliance</w:t>
      </w:r>
      <w:r>
        <w:rPr>
          <w:rFonts w:ascii="Arial" w:cs="Arial" w:eastAsia="Arial" w:hAnsi="Arial"/>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jc w:val="both"/>
        <w:ind w:firstLine="8"/>
        <w:spacing w:after="0" w:line="285" w:lineRule="auto"/>
        <w:tabs>
          <w:tab w:leader="none" w:pos="35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8" w:lineRule="exact"/>
        <w:rPr>
          <w:rFonts w:ascii="Arial" w:cs="Arial" w:eastAsia="Arial" w:hAnsi="Arial"/>
          <w:sz w:val="16"/>
          <w:szCs w:val="16"/>
          <w:color w:val="auto"/>
        </w:rPr>
      </w:pPr>
    </w:p>
    <w:p>
      <w:pPr>
        <w:jc w:val="both"/>
        <w:ind w:firstLine="8"/>
        <w:spacing w:after="0" w:line="255" w:lineRule="auto"/>
        <w:tabs>
          <w:tab w:leader="none" w:pos="5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both"/>
        <w:ind w:firstLine="8"/>
        <w:spacing w:after="0" w:line="269" w:lineRule="auto"/>
        <w:tabs>
          <w:tab w:leader="none" w:pos="27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Arial" w:cs="Arial" w:eastAsia="Arial" w:hAnsi="Arial"/>
          <w:sz w:val="17"/>
          <w:szCs w:val="17"/>
          <w:u w:val="single" w:color="auto"/>
          <w:color w:val="auto"/>
        </w:rPr>
        <w:t>IT Systems and Data</w:t>
      </w:r>
      <w:r>
        <w:rPr>
          <w:rFonts w:ascii="Arial" w:cs="Arial" w:eastAsia="Arial" w:hAnsi="Arial"/>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1" w:lineRule="exact"/>
        <w:rPr>
          <w:rFonts w:ascii="Arial" w:cs="Arial" w:eastAsia="Arial" w:hAnsi="Arial"/>
          <w:sz w:val="17"/>
          <w:szCs w:val="17"/>
          <w:color w:val="auto"/>
        </w:rPr>
      </w:pPr>
    </w:p>
    <w:p>
      <w:pPr>
        <w:jc w:val="both"/>
        <w:ind w:firstLine="8"/>
        <w:spacing w:after="0" w:line="263" w:lineRule="auto"/>
        <w:tabs>
          <w:tab w:leader="none" w:pos="36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8"/>
        <w:spacing w:after="0" w:line="277" w:lineRule="auto"/>
        <w:tabs>
          <w:tab w:leader="none" w:pos="26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70" w:lineRule="exact"/>
        <w:rPr>
          <w:rFonts w:ascii="Arial" w:cs="Arial" w:eastAsia="Arial" w:hAnsi="Arial"/>
          <w:sz w:val="18"/>
          <w:szCs w:val="18"/>
          <w:color w:val="auto"/>
        </w:rPr>
      </w:pPr>
    </w:p>
    <w:p>
      <w:pPr>
        <w:jc w:val="both"/>
        <w:ind w:firstLine="8"/>
        <w:spacing w:after="0" w:line="255" w:lineRule="auto"/>
        <w:tabs>
          <w:tab w:leader="none" w:pos="46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or Affiliates is subject to the Bank Holding Company Act of 1956, as amended (the “</w:t>
      </w:r>
      <w:r>
        <w:rPr>
          <w:rFonts w:ascii="Arial" w:cs="Arial" w:eastAsia="Arial" w:hAnsi="Arial"/>
          <w:sz w:val="18"/>
          <w:szCs w:val="18"/>
          <w:u w:val="single" w:color="auto"/>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u w:val="single" w:color="auto"/>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92" w:lineRule="exact"/>
        <w:rPr>
          <w:rFonts w:ascii="Arial" w:cs="Arial" w:eastAsia="Arial" w:hAnsi="Arial"/>
          <w:sz w:val="18"/>
          <w:szCs w:val="18"/>
          <w:color w:val="auto"/>
        </w:rPr>
      </w:pPr>
    </w:p>
    <w:p>
      <w:pPr>
        <w:jc w:val="both"/>
        <w:ind w:firstLine="8"/>
        <w:spacing w:after="0" w:line="275" w:lineRule="auto"/>
        <w:tabs>
          <w:tab w:leader="none" w:pos="35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380" w:firstLine="924"/>
        <w:spacing w:after="0" w:line="269" w:lineRule="auto"/>
        <w:tabs>
          <w:tab w:leader="none" w:pos="188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301" w:lineRule="auto"/>
        <w:tabs>
          <w:tab w:leader="none" w:pos="186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57" w:lineRule="exact"/>
        <w:rPr>
          <w:rFonts w:ascii="Arial" w:cs="Arial" w:eastAsia="Arial" w:hAnsi="Arial"/>
          <w:sz w:val="16"/>
          <w:szCs w:val="16"/>
          <w:color w:val="auto"/>
        </w:rPr>
      </w:pPr>
    </w:p>
    <w:p>
      <w:pPr>
        <w:jc w:val="both"/>
        <w:ind w:left="380" w:firstLine="924"/>
        <w:spacing w:after="0" w:line="291" w:lineRule="auto"/>
        <w:tabs>
          <w:tab w:leader="none" w:pos="183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Pre-Funded Warrants, it will be either (i) an “accredited investor” as defined in Rule 501(a)(1), (a)(2), (a)(3), (a)(7), (a)(8), (a)</w:t>
      </w:r>
    </w:p>
    <w:p>
      <w:pPr>
        <w:ind w:left="380"/>
        <w:spacing w:after="0"/>
        <w:rPr>
          <w:rFonts w:ascii="Arial" w:cs="Arial" w:eastAsia="Arial" w:hAnsi="Arial"/>
          <w:sz w:val="16"/>
          <w:szCs w:val="16"/>
          <w:color w:val="auto"/>
        </w:rPr>
      </w:pPr>
      <w:r>
        <w:rPr>
          <w:rFonts w:ascii="Arial" w:cs="Arial" w:eastAsia="Arial" w:hAnsi="Arial"/>
          <w:sz w:val="18"/>
          <w:szCs w:val="18"/>
          <w:color w:val="auto"/>
        </w:rPr>
        <w:t>(9), (a)(12), or (a)(13) under the Securities Act or (ii) a “qualified institutional buyer” as defined in Rule 144A(a) under the Securities Act.</w:t>
      </w:r>
    </w:p>
    <w:p>
      <w:pPr>
        <w:spacing w:after="0" w:line="210" w:lineRule="exact"/>
        <w:rPr>
          <w:rFonts w:ascii="Arial" w:cs="Arial" w:eastAsia="Arial" w:hAnsi="Arial"/>
          <w:sz w:val="16"/>
          <w:szCs w:val="16"/>
          <w:color w:val="auto"/>
        </w:rPr>
      </w:pPr>
    </w:p>
    <w:p>
      <w:pPr>
        <w:jc w:val="both"/>
        <w:ind w:left="380" w:firstLine="924"/>
        <w:spacing w:after="0" w:line="259" w:lineRule="auto"/>
        <w:tabs>
          <w:tab w:leader="none" w:pos="21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left="380" w:firstLine="924"/>
        <w:spacing w:after="0" w:line="269" w:lineRule="auto"/>
        <w:tabs>
          <w:tab w:leader="none" w:pos="200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78" w:lineRule="exact"/>
        <w:rPr>
          <w:rFonts w:ascii="Arial" w:cs="Arial" w:eastAsia="Arial" w:hAnsi="Arial"/>
          <w:sz w:val="17"/>
          <w:szCs w:val="17"/>
          <w:color w:val="auto"/>
        </w:rPr>
      </w:pPr>
    </w:p>
    <w:p>
      <w:pPr>
        <w:jc w:val="both"/>
        <w:ind w:left="380" w:firstLine="924"/>
        <w:spacing w:after="0" w:line="286" w:lineRule="auto"/>
        <w:tabs>
          <w:tab w:leader="none" w:pos="185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Pre-Funded Warrant Shares</w:t>
      </w:r>
      <w:r>
        <w:rPr>
          <w:rFonts w:ascii="Arial" w:cs="Arial" w:eastAsia="Arial" w:hAnsi="Arial"/>
          <w:sz w:val="15"/>
          <w:szCs w:val="15"/>
          <w:color w:val="auto"/>
        </w:rPr>
        <w:t>.</w:t>
      </w:r>
    </w:p>
    <w:p>
      <w:pPr>
        <w:spacing w:after="0" w:line="225" w:lineRule="exact"/>
        <w:rPr>
          <w:sz w:val="20"/>
          <w:szCs w:val="20"/>
          <w:color w:val="auto"/>
        </w:rPr>
      </w:pPr>
    </w:p>
    <w:p>
      <w:pPr>
        <w:jc w:val="both"/>
        <w:ind w:firstLine="8"/>
        <w:spacing w:after="0" w:line="269" w:lineRule="auto"/>
        <w:tabs>
          <w:tab w:leader="none" w:pos="523"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Furnishing of Information</w:t>
      </w:r>
      <w:r>
        <w:rPr>
          <w:rFonts w:ascii="Arial" w:cs="Arial" w:eastAsia="Arial" w:hAnsi="Arial"/>
          <w:sz w:val="16"/>
          <w:szCs w:val="16"/>
          <w:color w:val="auto"/>
        </w:rPr>
        <w:t>. Until the earliest of the time that (i) no Purchaser owns Securities or (ii) the Pre-Funded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25" w:lineRule="exact"/>
        <w:rPr>
          <w:sz w:val="20"/>
          <w:szCs w:val="20"/>
          <w:color w:val="auto"/>
        </w:rPr>
      </w:pPr>
    </w:p>
    <w:p>
      <w:pPr>
        <w:jc w:val="both"/>
        <w:ind w:firstLine="8"/>
        <w:spacing w:after="0" w:line="259" w:lineRule="auto"/>
        <w:tabs>
          <w:tab w:leader="none" w:pos="6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the date hereof until five (5) Trading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the Prospectus Supplement and filing a registration statement on Form S-8 in connection with any employee benefit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8"/>
        <w:spacing w:after="0" w:line="287"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From the date hereof until the one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six months following the Closing Date, the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67" w:lineRule="exact"/>
        <w:rPr>
          <w:rFonts w:ascii="Arial" w:cs="Arial" w:eastAsia="Arial" w:hAnsi="Arial"/>
          <w:sz w:val="16"/>
          <w:szCs w:val="16"/>
          <w:color w:val="auto"/>
        </w:rPr>
      </w:pPr>
    </w:p>
    <w:p>
      <w:pPr>
        <w:ind w:firstLine="8"/>
        <w:spacing w:after="0" w:line="277" w:lineRule="auto"/>
        <w:tabs>
          <w:tab w:leader="none" w:pos="5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the foregoing, this Section 4.11 shall not apply in respect of an Exempt Issuance, except that no Variable Rate Transaction shall be an Exempt Issuance.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Exercise Procedures</w:t>
      </w:r>
      <w:r>
        <w:rPr>
          <w:rFonts w:ascii="Arial" w:cs="Arial" w:eastAsia="Arial" w:hAnsi="Arial"/>
          <w:sz w:val="18"/>
          <w:szCs w:val="18"/>
          <w:color w:val="auto"/>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11"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hereto on a day that is not a Trading Day or later than 5:30 p.m. (New York City time) on any Trading Day, (c)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 PARTY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8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MICROBOT MEDICAL INC.</w:t>
      </w:r>
      <w:r>
        <w:rPr>
          <w:sz w:val="20"/>
          <w:szCs w:val="20"/>
          <w:color w:val="auto"/>
        </w:rPr>
        <w:tab/>
      </w:r>
      <w:r>
        <w:rPr>
          <w:rFonts w:ascii="Arial" w:cs="Arial" w:eastAsia="Arial" w:hAnsi="Arial"/>
          <w:sz w:val="16"/>
          <w:szCs w:val="16"/>
          <w:u w:val="single" w:color="auto"/>
          <w:color w:val="auto"/>
        </w:rPr>
        <w:t>Address for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375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$1.4 Million Registered Direct Offering of Common Stock Priced At-The-Market under Nasdaq Rules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Mass., May 22, 2023 (GLOBE NEWSWIRE) — Microbot Medical Inc. (Nasdaq: MBOT) today announced that it has entered into definitive agreements for the purchase and sale of 655,569 shares of the Company’s common stock at a purchase price of $2.20 per share of common stock in a registered direct offering priced at-the-market under Nasdaq rules. The closing of the offering is expected to occur on or about May 24, 2023, subject to the satisfaction of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proceeds to the Company from the offering are expected to be $1,442,252, before deducting the placement agent’s fees and other offering expenses payable by the Company. The Company intends to use the net proceeds from the offering for the continued development, commercialization and</w:t>
      </w:r>
    </w:p>
    <w:p>
      <w:pPr>
        <w:jc w:val="both"/>
        <w:spacing w:after="0" w:line="211" w:lineRule="auto"/>
        <w:rPr>
          <w:sz w:val="20"/>
          <w:szCs w:val="20"/>
          <w:color w:val="auto"/>
        </w:rPr>
      </w:pPr>
      <w:r>
        <w:rPr>
          <w:rFonts w:ascii="Arial" w:cs="Arial" w:eastAsia="Arial" w:hAnsi="Arial"/>
          <w:sz w:val="18"/>
          <w:szCs w:val="18"/>
          <w:color w:val="auto"/>
        </w:rPr>
        <w:t>regulatory activities for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shares described above are being offered by the Company pursuant to a “shelf” registration statement on Form S-3 (File No. 333-250966) previously filed with the Securities and Exchange Commission (the “SEC”) and declared effective by the SEC on December 4, 2020. The offering of the securities is made only by means of a prospectus, including a prospectus supplement, forming a part of the effective registration statement. A final prospectus supplement and accompanying prospectus relating to the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865-5711 or e-mail at placements@hcwco.com.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 the satisfaction of customary closing conditions related to the offering, the intended use of proceeds from the offering,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1D2228"/>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D2228"/>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2228"/>
        </w:rPr>
        <w:t>IR@microbotmedical.com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Microbot Medical Announces Closing of $1.4 Million Registered Direct Offering of Common Stock Priced At-The-Market under Nasdaq Rules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HINGHAM, Mass., May 23, 2023 (GLOBE NEWSWIRE) — Microbot Medical Inc. (Nasdaq: MBOT) today announced that it has closed its previously announced registered direct offering for the purchase and sale of 655,569 shares of the Company’s common stock at a purchase price of $2.20 per share of common stock priced at-the-market under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acted as the exclusive placement agent for the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proceeds to the Company from the offering were approximately $1,442,252, before deducting the placement agent’s fees and other offering expenses payable by the Company. The Company intends to use the net proceeds from the offering for the continued development, commercialization and</w:t>
      </w:r>
    </w:p>
    <w:p>
      <w:pPr>
        <w:jc w:val="both"/>
        <w:spacing w:after="0" w:line="211" w:lineRule="auto"/>
        <w:rPr>
          <w:sz w:val="20"/>
          <w:szCs w:val="20"/>
          <w:color w:val="auto"/>
        </w:rPr>
      </w:pPr>
      <w:r>
        <w:rPr>
          <w:rFonts w:ascii="Arial" w:cs="Arial" w:eastAsia="Arial" w:hAnsi="Arial"/>
          <w:sz w:val="18"/>
          <w:szCs w:val="18"/>
          <w:color w:val="auto"/>
        </w:rPr>
        <w:t>regulatory activities for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shares described above were offered by the Company pursuant to a “shelf” registration statement on Form S-3 (File No. 333-250966) previously filed with the Securities and Exchange Commission (the “SEC”) and declared effective by the SEC on December 4, 2020. The offering of the securities was made only by means of a prospectus, including a prospectus supplement, forming a part of the effective registration statement. A final prospectus supplement and accompanying prospectus relating to the offering was filed with the SEC. Electronic copies of the final prospectus supplement and accompanying prospectus may be obtained on the SEC’s website at http://www.sec.gov or by contacting H.C. Wainwright &amp; Co., LLC at 430 Park Avenue, 3rd Floor, New York, NY 10022, by phone at (212) 865-5711 or e-mail at placements@hcwco.com.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intended use of proceeds from the offering,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IR@microbotmedical.com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3"/>
    </w:lvl>
  </w:abstractNum>
  <w:abstractNum w:abstractNumId="3">
    <w:nsid w:val="75A2A8D4"/>
    <w:multiLevelType w:val="hybridMultilevel"/>
    <w:lvl w:ilvl="0">
      <w:lvlJc w:val="left"/>
      <w:lvlText w:val="(%1)"/>
      <w:numFmt w:val="upperLetter"/>
      <w:start w:val="1"/>
    </w:lvl>
    <w:lvl w:ilvl="1">
      <w:lvlJc w:val="left"/>
      <w:lvlText w:val="(%2)"/>
      <w:numFmt w:val="lowerLetter"/>
      <w:start w:val="26"/>
    </w:lvl>
  </w:abstractNum>
  <w:abstractNum w:abstractNumId="4">
    <w:nsid w:val="8EDBDAB"/>
    <w:multiLevelType w:val="hybridMultilevel"/>
    <w:lvl w:ilvl="0">
      <w:lvlJc w:val="left"/>
      <w:lvlText w:val="(%1)"/>
      <w:numFmt w:val="upperLetter"/>
      <w:start w:val="24"/>
    </w:lvl>
  </w:abstractNum>
  <w:abstractNum w:abstractNumId="5">
    <w:nsid w:val="79838CB2"/>
    <w:multiLevelType w:val="hybridMultilevel"/>
    <w:lvl w:ilvl="0">
      <w:lvlJc w:val="left"/>
      <w:lvlText w:val="%1)"/>
      <w:numFmt w:val="lowerLetter"/>
      <w:start w:val="4"/>
    </w:lvl>
    <w:lvl w:ilvl="1">
      <w:lvlJc w:val="left"/>
      <w:lvlText w:val="%2."/>
      <w:numFmt w:val="lowerRoman"/>
      <w:start w:val="1"/>
    </w:lvl>
  </w:abstractNum>
  <w:abstractNum w:abstractNumId="6">
    <w:nsid w:val="4353D0CD"/>
    <w:multiLevelType w:val="hybridMultilevel"/>
    <w:lvl w:ilvl="0">
      <w:lvlJc w:val="left"/>
      <w:lvlText w:val="%1."/>
      <w:numFmt w:val="lowerRoman"/>
      <w:start w:val="4"/>
    </w:lvl>
  </w:abstractNum>
  <w:abstractNum w:abstractNumId="7">
    <w:nsid w:val="B03E0C6"/>
    <w:multiLevelType w:val="hybridMultilevel"/>
    <w:lvl w:ilvl="0">
      <w:lvlJc w:val="left"/>
      <w:lvlText w:val="%1)"/>
      <w:numFmt w:val="lowerLetter"/>
      <w:start w:val="5"/>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4"/>
    </w:lvl>
  </w:abstractNum>
  <w:abstractNum w:abstractNumId="10">
    <w:nsid w:val="71F32454"/>
    <w:multiLevelType w:val="hybridMultilevel"/>
    <w:lvl w:ilvl="0">
      <w:lvlJc w:val="left"/>
      <w:lvlText w:val="%1)"/>
      <w:numFmt w:val="lowerLetter"/>
      <w:start w:val="5"/>
    </w:lvl>
    <w:lvl w:ilvl="1">
      <w:lvlJc w:val="left"/>
      <w:lvlText w:val="%2."/>
      <w:numFmt w:val="lowerRoman"/>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4"/>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3"/>
    </w:lvl>
  </w:abstractNum>
  <w:abstractNum w:abstractNumId="15">
    <w:nsid w:val="8138641"/>
    <w:multiLevelType w:val="hybridMultilevel"/>
    <w:lvl w:ilvl="0">
      <w:lvlJc w:val="left"/>
      <w:lvlText w:val="%1)"/>
      <w:numFmt w:val="lowerLetter"/>
      <w:start w:val="5"/>
    </w:lvl>
  </w:abstractNum>
  <w:abstractNum w:abstractNumId="16">
    <w:nsid w:val="1E7FF521"/>
    <w:multiLevelType w:val="hybridMultilevel"/>
    <w:lvl w:ilvl="0">
      <w:lvlJc w:val="left"/>
      <w:lvlText w:val="%1)"/>
      <w:numFmt w:val="lowerLetter"/>
      <w:start w:val="10"/>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3"/>
    </w:lvl>
  </w:abstractNum>
  <w:abstractNum w:abstractNumId="19">
    <w:nsid w:val="6CEAF087"/>
    <w:multiLevelType w:val="hybridMultilevel"/>
    <w:lvl w:ilvl="0">
      <w:lvlJc w:val="left"/>
      <w:lvlText w:val="(%1)"/>
      <w:numFmt w:val="decimal"/>
      <w:start w:val="4"/>
    </w:lvl>
  </w:abstractNum>
  <w:abstractNum w:abstractNumId="20">
    <w:nsid w:val="22221A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
    <w:nsid w:val="4516DDE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2">
    <w:nsid w:val="3006C83E"/>
    <w:multiLevelType w:val="hybridMultilevel"/>
    <w:lvl w:ilvl="0">
      <w:lvlJc w:val="left"/>
      <w:lvlText w:val="(%1)"/>
      <w:numFmt w:val="lowerLetter"/>
      <w:start w:val="1"/>
    </w:lvl>
    <w:lvl w:ilvl="1">
      <w:lvlJc w:val="left"/>
      <w:lvlText w:val="(%2)"/>
      <w:numFmt w:val="lowerRoman"/>
      <w:start w:val="1"/>
    </w:lvl>
  </w:abstractNum>
  <w:abstractNum w:abstractNumId="23">
    <w:nsid w:val="614FD4A1"/>
    <w:multiLevelType w:val="hybridMultilevel"/>
    <w:lvl w:ilvl="0">
      <w:lvlJc w:val="left"/>
      <w:lvlText w:val="%1"/>
      <w:numFmt w:val="lowerLetter"/>
      <w:start w:val="1"/>
    </w:lvl>
    <w:lvl w:ilvl="1">
      <w:lvlJc w:val="left"/>
      <w:lvlText w:val="(%2)"/>
      <w:numFmt w:val="lowerLetter"/>
      <w:start w:val="1"/>
    </w:lvl>
  </w:abstractNum>
  <w:abstractNum w:abstractNumId="24">
    <w:nsid w:val="419AC241"/>
    <w:multiLevelType w:val="hybridMultilevel"/>
    <w:lvl w:ilvl="0">
      <w:lvlJc w:val="left"/>
      <w:lvlText w:val="(%1)"/>
      <w:numFmt w:val="lowerLetter"/>
      <w:start w:val="2"/>
    </w:lvl>
    <w:lvl w:ilvl="1">
      <w:lvlJc w:val="left"/>
      <w:lvlText w:val="%2"/>
      <w:numFmt w:val="lowerLetter"/>
      <w:start w:val="1"/>
    </w:lvl>
  </w:abstractNum>
  <w:abstractNum w:abstractNumId="25">
    <w:nsid w:val="5577F8E1"/>
    <w:multiLevelType w:val="hybridMultilevel"/>
    <w:lvl w:ilvl="0">
      <w:lvlJc w:val="left"/>
      <w:lvlText w:val="(%1)"/>
      <w:numFmt w:val="lowerLetter"/>
      <w:start w:val="4"/>
    </w:lvl>
  </w:abstractNum>
  <w:abstractNum w:abstractNumId="26">
    <w:nsid w:val="440BADFC"/>
    <w:multiLevelType w:val="hybridMultilevel"/>
    <w:lvl w:ilvl="0">
      <w:lvlJc w:val="left"/>
      <w:lvlText w:val="(%1)"/>
      <w:numFmt w:val="lowerLetter"/>
      <w:start w:val="7"/>
    </w:lvl>
  </w:abstractNum>
  <w:abstractNum w:abstractNumId="27">
    <w:nsid w:val="5072367"/>
    <w:multiLevelType w:val="hybridMultilevel"/>
    <w:lvl w:ilvl="0">
      <w:lvlJc w:val="left"/>
      <w:lvlText w:val="(%1)"/>
      <w:numFmt w:val="lowerLetter"/>
      <w:start w:val="8"/>
    </w:lvl>
  </w:abstractNum>
  <w:abstractNum w:abstractNumId="28">
    <w:nsid w:val="3804823E"/>
    <w:multiLevelType w:val="hybridMultilevel"/>
    <w:lvl w:ilvl="0">
      <w:lvlJc w:val="left"/>
      <w:lvlText w:val="(%1)"/>
      <w:numFmt w:val="lowerLetter"/>
      <w:start w:val="10"/>
    </w:lvl>
  </w:abstractNum>
  <w:abstractNum w:abstractNumId="29">
    <w:nsid w:val="77465F01"/>
    <w:multiLevelType w:val="hybridMultilevel"/>
    <w:lvl w:ilvl="0">
      <w:lvlJc w:val="left"/>
      <w:lvlText w:val="(%1)"/>
      <w:numFmt w:val="lowerLetter"/>
      <w:start w:val="12"/>
    </w:lvl>
  </w:abstractNum>
  <w:abstractNum w:abstractNumId="30">
    <w:nsid w:val="7724C67E"/>
    <w:multiLevelType w:val="hybridMultilevel"/>
    <w:lvl w:ilvl="0">
      <w:lvlJc w:val="left"/>
      <w:lvlText w:val="(%1)"/>
      <w:numFmt w:val="lowerLetter"/>
      <w:start w:val="16"/>
    </w:lvl>
  </w:abstractNum>
  <w:abstractNum w:abstractNumId="31">
    <w:nsid w:val="5C482A97"/>
    <w:multiLevelType w:val="hybridMultilevel"/>
    <w:lvl w:ilvl="0">
      <w:lvlJc w:val="left"/>
      <w:lvlText w:val="(%1)"/>
      <w:numFmt w:val="lowerLetter"/>
      <w:start w:val="19"/>
    </w:lvl>
  </w:abstractNum>
  <w:abstractNum w:abstractNumId="32">
    <w:nsid w:val="2463B9EA"/>
    <w:multiLevelType w:val="hybridMultilevel"/>
    <w:lvl w:ilvl="0">
      <w:lvlJc w:val="left"/>
      <w:lvlText w:val="(%1)"/>
      <w:numFmt w:val="lowerLetter"/>
      <w:start w:val="23"/>
    </w:lvl>
  </w:abstractNum>
  <w:abstractNum w:abstractNumId="33">
    <w:nsid w:val="5E884ADC"/>
    <w:multiLevelType w:val="hybridMultilevel"/>
    <w:lvl w:ilvl="0">
      <w:lvlJc w:val="left"/>
      <w:lvlText w:val="(%1)"/>
      <w:numFmt w:val="lowerLetter"/>
      <w:start w:val="27"/>
    </w:lvl>
  </w:abstractNum>
  <w:abstractNum w:abstractNumId="34">
    <w:nsid w:val="51EAD36B"/>
    <w:multiLevelType w:val="hybridMultilevel"/>
    <w:lvl w:ilvl="0">
      <w:lvlJc w:val="left"/>
      <w:lvlText w:val="(%1)"/>
      <w:numFmt w:val="lowerLetter"/>
      <w:start w:val="25"/>
    </w:lvl>
  </w:abstractNum>
  <w:abstractNum w:abstractNumId="35">
    <w:nsid w:val="2D517796"/>
    <w:multiLevelType w:val="hybridMultilevel"/>
    <w:lvl w:ilvl="0">
      <w:lvlJc w:val="left"/>
      <w:lvlText w:val="(%1)"/>
      <w:numFmt w:val="lowerLetter"/>
      <w:start w:val="28"/>
    </w:lvl>
  </w:abstractNum>
  <w:abstractNum w:abstractNumId="36">
    <w:nsid w:val="580BD78F"/>
    <w:multiLevelType w:val="hybridMultilevel"/>
    <w:lvl w:ilvl="0">
      <w:lvlJc w:val="left"/>
      <w:lvlText w:val="(%1)"/>
      <w:numFmt w:val="lowerLetter"/>
      <w:start w:val="30"/>
    </w:lvl>
  </w:abstractNum>
  <w:abstractNum w:abstractNumId="37">
    <w:nsid w:val="153EA438"/>
    <w:multiLevelType w:val="hybridMultilevel"/>
    <w:lvl w:ilvl="0">
      <w:lvlJc w:val="left"/>
      <w:lvlText w:val="(%1)"/>
      <w:numFmt w:val="lowerLetter"/>
      <w:start w:val="34"/>
    </w:lvl>
  </w:abstractNum>
  <w:abstractNum w:abstractNumId="38">
    <w:nsid w:val="3855585C"/>
    <w:multiLevelType w:val="hybridMultilevel"/>
    <w:lvl w:ilvl="0">
      <w:lvlJc w:val="left"/>
      <w:lvlText w:val="(%1)"/>
      <w:numFmt w:val="lowerLetter"/>
      <w:start w:val="36"/>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2023-05-23T15:12:15Z</dcterms:created>
  <dcterms:modified xsi:type="dcterms:W3CDTF">2023-05-23T15:12:15Z</dcterms:modified>
</cp:coreProperties>
</file>