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MCGLYNN MARTIN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STEMCELLS,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643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4.21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Company's quarterly match of employee contributions to the 401(k) Plan is made in common stock of the Company.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Martin McGlynn by Iris Brest,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493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Know all by these presents, that the undersigned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83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hereby constitutes and appoints each of Iris Brest and George Koshy, signing singly, the undersigned's true and lawful attorney-in-fact to:</w:t>
      </w:r>
    </w:p>
    <w:p>
      <w:pPr>
        <w:spacing w:after="0" w:line="372" w:lineRule="exact"/>
        <w:rPr>
          <w:sz w:val="20"/>
          <w:szCs w:val="20"/>
          <w:color w:val="auto"/>
        </w:rPr>
      </w:pPr>
    </w:p>
    <w:p>
      <w:pPr>
        <w:ind w:right="2319" w:firstLine="8"/>
        <w:spacing w:after="0" w:line="237" w:lineRule="auto"/>
        <w:tabs>
          <w:tab w:leader="none" w:pos="84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execute for and on behalf of the undersigned, in the undersigned's capacity as an officer and/or director of StemCells, Inc. (the "Company"), Forms 3, 4, and 5 in accordance with Section 16(a) of the Securities Exchange Act of 1934 and the rules thereunder;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 and perform any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all acts for and on behalf of the undersigned which may be necessary or desirable to complete and execute any such Form 3, 4, or 5 and timely file such form with the United States Securities and Exchange Commission and any stock exchange or similar authority; and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60" w:hanging="852"/>
        <w:spacing w:after="0"/>
        <w:tabs>
          <w:tab w:leader="none" w:pos="8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take any other action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type whatsoever in connection with the foregoing which, in the opinion of such attorney-in-fact, may be of benefit to, in the best interest of, or legally required by, the undersigned, it being understood that the documents executed by such attorney-in-fact on behalf of the undersigned pursuant to this Power of attorney shall be in such form and shall contain such terms and conditions as such attorney-in-fact may approve in such attorney-in-fact's discretion.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hereby grants to such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attorney-in-fact full power and authority to do and perform any and every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act and thing whatsoever requisite, necessary, or proper to be done in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exercise of any of the rights and powers herein granted, as fully to all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intents and purposes as the undersigned might or could do if personally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present, with full power of substitution or revocation, hereby ratifying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confirming all that such attorney-in-fact, or such attorney-in-fact's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substitute or substitutes, shall lawfully do or cause to be done by virtue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this power of attorney and the rights and powers herein granted.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undersigned acknowledges that the foregoing attorney-in-fact, in serving in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capacity at the request of the undersigned, is not assuming, nor 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assuming, any of the undersigned's responsibilities to comply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Section 16 of the Securities Exchange Act of 1934.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Power of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 shall remain in full force and effect until the undersigned is no longer required to file Forms 3, 4, and 5 with respect to the undersigned's holdings of and transactions in securities issued by the Company, unless earlier revoked by the undersigned in a signed writing delivered to the foregoing attorney-in-fact.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WITNESS WHEREOF, the undersigned has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caused this Power of Attorney to be executed as of this 1st day of July, 2005.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_______________________________________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_____________Martin McGlynn_____________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Print Name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(%1)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(%1)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1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2019-12-24T00:56:07Z</dcterms:created>
  <dcterms:modified xsi:type="dcterms:W3CDTF">2019-12-24T00:56:07Z</dcterms:modified>
</cp:coreProperties>
</file>